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default" w:ascii="方正小标宋简体" w:hAnsi="黑体" w:eastAsia="方正小标宋简体"/>
          <w:sz w:val="36"/>
          <w:szCs w:val="36"/>
          <w:highlight w:val="none"/>
          <w:lang w:val="en-US"/>
        </w:rPr>
      </w:pPr>
      <w:r>
        <w:rPr>
          <w:rFonts w:hint="eastAsia" w:ascii="方正小标宋简体" w:hAnsi="黑体" w:eastAsia="方正小标宋简体"/>
          <w:sz w:val="36"/>
          <w:szCs w:val="36"/>
          <w:highlight w:val="none"/>
          <w:lang w:val="en-US" w:eastAsia="zh-CN"/>
        </w:rPr>
        <w:t>2026年9月耗材、脱硫工艺水回收改造等物资采购询比文件</w:t>
      </w:r>
    </w:p>
    <w:p>
      <w:pPr>
        <w:adjustRightInd w:val="0"/>
        <w:snapToGrid w:val="0"/>
        <w:spacing w:after="0" w:line="240" w:lineRule="auto"/>
        <w:jc w:val="center"/>
        <w:rPr>
          <w:rFonts w:hint="default" w:ascii="仿宋" w:hAnsi="仿宋" w:eastAsia="仿宋" w:cs="仿宋"/>
          <w:b/>
          <w:bCs/>
          <w:sz w:val="24"/>
          <w:szCs w:val="24"/>
          <w:lang w:eastAsia="zh"/>
        </w:rPr>
      </w:pPr>
      <w:bookmarkStart w:id="1" w:name="_GoBack"/>
      <w:r>
        <w:rPr>
          <w:rFonts w:ascii="宋体" w:hAnsi="宋体" w:eastAsia="宋体" w:cs="宋体"/>
          <w:b/>
          <w:bCs/>
          <w:sz w:val="24"/>
          <w:szCs w:val="24"/>
        </w:rPr>
        <w:t>Dokumen permintaan penawaran pengadaan bahan habis pakai, material modifikasi sistem daur ulang air proses desulfurisasi, dan material lainnya bulan September 2026</w:t>
      </w:r>
    </w:p>
    <w:bookmarkEnd w:id="1"/>
    <w:p>
      <w:pPr>
        <w:adjustRightInd w:val="0"/>
        <w:snapToGrid w:val="0"/>
        <w:spacing w:after="0" w:line="240" w:lineRule="auto"/>
        <w:jc w:val="center"/>
        <w:rPr>
          <w:rFonts w:hint="eastAsia" w:ascii="仿宋" w:hAnsi="仿宋" w:eastAsia="仿宋" w:cs="仿宋"/>
          <w:b/>
          <w:bCs/>
          <w:sz w:val="24"/>
          <w:szCs w:val="24"/>
        </w:rPr>
      </w:pPr>
    </w:p>
    <w:tbl>
      <w:tblPr>
        <w:tblStyle w:val="4"/>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9936" w:type="dxa"/>
            <w:tcMar>
              <w:top w:w="9" w:type="dxa"/>
              <w:left w:w="9" w:type="dxa"/>
              <w:right w:w="9" w:type="dxa"/>
            </w:tcMar>
            <w:vAlign w:val="center"/>
          </w:tcPr>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一、基本情况</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I.</w:t>
            </w:r>
            <w:r>
              <w:rPr>
                <w:rStyle w:val="10"/>
                <w:rFonts w:hint="eastAsia" w:ascii="仿宋" w:hAnsi="仿宋" w:eastAsia="仿宋" w:cs="仿宋"/>
                <w:b w:val="0"/>
                <w:bCs/>
                <w:sz w:val="20"/>
                <w:szCs w:val="20"/>
                <w:lang w:bidi="ar"/>
              </w:rPr>
              <w:t xml:space="preserve"> </w:t>
            </w:r>
            <w:r>
              <w:rPr>
                <w:rFonts w:hint="eastAsia" w:ascii="仿宋" w:hAnsi="仿宋" w:eastAsia="仿宋" w:cs="仿宋"/>
                <w:sz w:val="21"/>
                <w:szCs w:val="21"/>
              </w:rPr>
              <w:t>Ketentuan Umum</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highlight w:val="none"/>
                <w:lang w:bidi="ar"/>
              </w:rPr>
              <w:t xml:space="preserve">1. </w:t>
            </w:r>
            <w:r>
              <w:rPr>
                <w:rStyle w:val="10"/>
                <w:rFonts w:ascii="仿宋" w:hAnsi="仿宋" w:eastAsia="仿宋" w:cs="仿宋"/>
                <w:b w:val="0"/>
                <w:sz w:val="21"/>
                <w:szCs w:val="21"/>
                <w:highlight w:val="none"/>
              </w:rPr>
              <w:t>采购人：</w:t>
            </w:r>
            <w:r>
              <w:rPr>
                <w:rStyle w:val="10"/>
                <w:rFonts w:hint="eastAsia" w:ascii="仿宋" w:hAnsi="仿宋" w:eastAsia="仿宋" w:cs="仿宋"/>
                <w:b w:val="0"/>
                <w:sz w:val="21"/>
                <w:szCs w:val="21"/>
                <w:highlight w:val="none"/>
                <w:lang w:val="en-US" w:eastAsia="zh-CN"/>
              </w:rPr>
              <w:t>印尼华瑞电力有限公司</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highlight w:val="none"/>
              </w:rPr>
              <w:t>1.</w:t>
            </w:r>
            <w:r>
              <w:rPr>
                <w:highlight w:val="none"/>
              </w:rPr>
              <w:t xml:space="preserve"> </w:t>
            </w:r>
            <w:r>
              <w:rPr>
                <w:rFonts w:hint="eastAsia" w:ascii="仿宋" w:hAnsi="仿宋" w:eastAsia="仿宋" w:cs="仿宋"/>
                <w:sz w:val="21"/>
                <w:szCs w:val="21"/>
              </w:rPr>
              <w:t>Pengguna Jasa</w:t>
            </w:r>
            <w:r>
              <w:rPr>
                <w:rStyle w:val="10"/>
                <w:rFonts w:hint="eastAsia" w:ascii="仿宋" w:hAnsi="仿宋" w:eastAsia="仿宋" w:cs="仿宋"/>
                <w:b w:val="0"/>
                <w:sz w:val="18"/>
                <w:szCs w:val="18"/>
                <w:highlight w:val="none"/>
              </w:rPr>
              <w:t>:</w:t>
            </w:r>
            <w:r>
              <w:rPr>
                <w:b/>
                <w:sz w:val="24"/>
                <w:szCs w:val="24"/>
                <w:highlight w:val="none"/>
              </w:rPr>
              <w:t xml:space="preserve"> </w:t>
            </w:r>
            <w:r>
              <w:rPr>
                <w:rStyle w:val="10"/>
                <w:rFonts w:hint="eastAsia" w:ascii="仿宋" w:hAnsi="仿宋" w:eastAsia="仿宋" w:cs="仿宋"/>
                <w:b w:val="0"/>
                <w:sz w:val="21"/>
                <w:szCs w:val="21"/>
                <w:highlight w:val="none"/>
              </w:rPr>
              <w:t>PT PEMBANGKITAN LISTRIK PINTAR ENERGI</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lang w:val="id-ID" w:eastAsia="zh-CN"/>
              </w:rPr>
            </w:pPr>
            <w:r>
              <w:rPr>
                <w:rStyle w:val="10"/>
                <w:rFonts w:hint="default" w:ascii="仿宋" w:hAnsi="仿宋" w:eastAsia="仿宋" w:cs="仿宋"/>
                <w:b w:val="0"/>
                <w:sz w:val="21"/>
                <w:szCs w:val="21"/>
              </w:rPr>
              <w:t>2. 联系人：</w:t>
            </w:r>
            <w:r>
              <w:rPr>
                <w:rStyle w:val="10"/>
                <w:rFonts w:hint="default" w:ascii="仿宋" w:hAnsi="仿宋" w:eastAsia="仿宋" w:cs="仿宋"/>
                <w:b w:val="0"/>
                <w:sz w:val="21"/>
                <w:szCs w:val="21"/>
                <w:lang w:val="id-ID"/>
              </w:rPr>
              <w:t>(</w:t>
            </w:r>
            <w:r>
              <w:rPr>
                <w:rStyle w:val="10"/>
                <w:rFonts w:hint="default" w:ascii="仿宋" w:hAnsi="仿宋" w:eastAsia="仿宋" w:cs="仿宋"/>
                <w:b w:val="0"/>
                <w:sz w:val="21"/>
                <w:szCs w:val="21"/>
              </w:rPr>
              <w:t>技术</w:t>
            </w:r>
            <w:r>
              <w:rPr>
                <w:rStyle w:val="10"/>
                <w:rFonts w:hint="eastAsia" w:ascii="仿宋" w:hAnsi="仿宋" w:eastAsia="仿宋" w:cs="仿宋"/>
                <w:b w:val="0"/>
                <w:sz w:val="21"/>
                <w:szCs w:val="21"/>
                <w:lang w:eastAsia="zh-CN"/>
              </w:rPr>
              <w:t>：</w:t>
            </w:r>
            <w:r>
              <w:rPr>
                <w:rStyle w:val="10"/>
                <w:rFonts w:hint="eastAsia" w:ascii="仿宋" w:hAnsi="仿宋" w:eastAsia="仿宋" w:cs="仿宋"/>
                <w:b w:val="0"/>
                <w:sz w:val="21"/>
                <w:szCs w:val="21"/>
                <w:highlight w:val="none"/>
                <w:lang w:val="en-US" w:eastAsia="zh-CN"/>
              </w:rPr>
              <w:t xml:space="preserve">时亚楠 </w:t>
            </w:r>
            <w:r>
              <w:rPr>
                <w:rStyle w:val="10"/>
                <w:rFonts w:hint="default" w:ascii="仿宋" w:hAnsi="仿宋" w:eastAsia="仿宋" w:cs="仿宋"/>
                <w:b w:val="0"/>
                <w:sz w:val="21"/>
                <w:szCs w:val="21"/>
                <w:highlight w:val="none"/>
                <w:lang w:val="en-US" w:eastAsia="zh-CN"/>
              </w:rPr>
              <w:t>085768874384</w:t>
            </w:r>
            <w:r>
              <w:rPr>
                <w:rStyle w:val="10"/>
                <w:rFonts w:hint="default" w:ascii="仿宋" w:hAnsi="仿宋" w:eastAsia="仿宋" w:cs="仿宋"/>
                <w:b w:val="0"/>
                <w:sz w:val="21"/>
                <w:szCs w:val="21"/>
                <w:highlight w:val="none"/>
                <w:lang w:val="id-ID" w:eastAsia="zh-CN"/>
              </w:rPr>
              <w:t>) (</w:t>
            </w:r>
            <w:r>
              <w:rPr>
                <w:rStyle w:val="10"/>
                <w:rFonts w:hint="default" w:ascii="仿宋" w:hAnsi="仿宋" w:eastAsia="仿宋" w:cs="仿宋"/>
                <w:b w:val="0"/>
                <w:sz w:val="21"/>
                <w:szCs w:val="21"/>
              </w:rPr>
              <w:t>商务</w:t>
            </w:r>
            <w:r>
              <w:rPr>
                <w:rStyle w:val="10"/>
                <w:rFonts w:hint="eastAsia" w:ascii="仿宋" w:hAnsi="仿宋" w:eastAsia="仿宋" w:cs="仿宋"/>
                <w:b w:val="0"/>
                <w:sz w:val="21"/>
                <w:szCs w:val="21"/>
                <w:highlight w:val="none"/>
                <w:lang w:eastAsia="zh-CN"/>
              </w:rPr>
              <w:t>：</w:t>
            </w:r>
            <w:r>
              <w:rPr>
                <w:rStyle w:val="10"/>
                <w:rFonts w:hint="eastAsia" w:ascii="仿宋" w:hAnsi="仿宋" w:eastAsia="仿宋" w:cs="仿宋"/>
                <w:b w:val="0"/>
                <w:sz w:val="21"/>
                <w:szCs w:val="21"/>
                <w:highlight w:val="none"/>
                <w:lang w:val="en-US" w:eastAsia="zh-CN"/>
              </w:rPr>
              <w:t xml:space="preserve">张郡书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Style w:val="10"/>
                <w:rFonts w:hint="default" w:ascii="仿宋" w:hAnsi="仿宋" w:eastAsia="仿宋" w:cs="仿宋"/>
                <w:b w:val="0"/>
                <w:sz w:val="21"/>
                <w:szCs w:val="21"/>
                <w:lang w:val="id-ID"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8"/>
                <w:szCs w:val="18"/>
              </w:rPr>
            </w:pPr>
            <w:r>
              <w:rPr>
                <w:rStyle w:val="10"/>
                <w:rFonts w:hint="default" w:ascii="仿宋" w:hAnsi="仿宋" w:eastAsia="仿宋" w:cs="仿宋"/>
                <w:b w:val="0"/>
                <w:sz w:val="21"/>
                <w:szCs w:val="21"/>
              </w:rPr>
              <w:t>2.</w:t>
            </w:r>
            <w:r>
              <w:t xml:space="preserve"> </w:t>
            </w:r>
            <w:r>
              <w:rPr>
                <w:rStyle w:val="10"/>
                <w:rFonts w:hint="default" w:ascii="仿宋" w:hAnsi="仿宋" w:eastAsia="仿宋" w:cs="仿宋"/>
                <w:b w:val="0"/>
                <w:sz w:val="21"/>
                <w:szCs w:val="21"/>
              </w:rPr>
              <w:t xml:space="preserve">Kontak: </w:t>
            </w:r>
            <w:r>
              <w:rPr>
                <w:rFonts w:hint="eastAsia" w:ascii="仿宋" w:hAnsi="仿宋" w:eastAsia="仿宋" w:cs="仿宋"/>
                <w:sz w:val="21"/>
                <w:szCs w:val="21"/>
              </w:rPr>
              <w:t xml:space="preserve">(Teknis: </w:t>
            </w:r>
            <w:r>
              <w:rPr>
                <w:rFonts w:hint="eastAsia" w:ascii="仿宋" w:hAnsi="仿宋" w:eastAsia="仿宋" w:cs="仿宋"/>
                <w:sz w:val="21"/>
                <w:szCs w:val="21"/>
                <w:lang w:val="en-US" w:eastAsia="zh-CN"/>
              </w:rPr>
              <w:t>Shi Yanan</w:t>
            </w:r>
            <w:r>
              <w:rPr>
                <w:rStyle w:val="10"/>
                <w:rFonts w:hint="eastAsia" w:ascii="仿宋" w:hAnsi="仿宋" w:eastAsia="仿宋" w:cs="仿宋"/>
                <w:b w:val="0"/>
                <w:sz w:val="21"/>
                <w:szCs w:val="21"/>
                <w:highlight w:val="none"/>
                <w:lang w:val="en-US" w:eastAsia="zh-CN"/>
              </w:rPr>
              <w:t xml:space="preserve"> </w:t>
            </w:r>
            <w:r>
              <w:rPr>
                <w:rStyle w:val="10"/>
                <w:rFonts w:hint="default" w:ascii="仿宋" w:hAnsi="仿宋" w:eastAsia="仿宋" w:cs="仿宋"/>
                <w:b w:val="0"/>
                <w:sz w:val="21"/>
                <w:szCs w:val="21"/>
                <w:highlight w:val="none"/>
                <w:lang w:val="en-US" w:eastAsia="zh-CN"/>
              </w:rPr>
              <w:t>085768874384</w:t>
            </w:r>
            <w:r>
              <w:rPr>
                <w:rStyle w:val="10"/>
                <w:rFonts w:hint="eastAsia" w:ascii="仿宋" w:hAnsi="仿宋" w:eastAsia="仿宋" w:cs="仿宋"/>
                <w:b w:val="0"/>
                <w:sz w:val="21"/>
                <w:szCs w:val="21"/>
                <w:highlight w:val="none"/>
                <w:lang w:val="en-US" w:eastAsia="zh-CN"/>
              </w:rPr>
              <w:t>)</w:t>
            </w:r>
            <w:r>
              <w:rPr>
                <w:rFonts w:hint="eastAsia" w:ascii="仿宋" w:hAnsi="仿宋" w:eastAsia="仿宋" w:cs="仿宋"/>
                <w:sz w:val="21"/>
                <w:szCs w:val="21"/>
              </w:rPr>
              <w:t xml:space="preserve"> (Komersial: </w:t>
            </w:r>
            <w:r>
              <w:rPr>
                <w:rFonts w:hint="eastAsia" w:ascii="仿宋" w:hAnsi="仿宋" w:eastAsia="仿宋" w:cs="仿宋"/>
                <w:sz w:val="21"/>
                <w:szCs w:val="21"/>
                <w:lang w:val="en-US" w:eastAsia="zh-CN"/>
              </w:rPr>
              <w:t>Zhang</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Junshu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Fonts w:hint="eastAsia" w:ascii="仿宋" w:hAnsi="仿宋" w:eastAsia="仿宋" w:cs="仿宋"/>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 报价专用邮箱：</w:t>
            </w:r>
            <w:r>
              <w:rPr>
                <w:rStyle w:val="10"/>
                <w:rFonts w:hint="default" w:ascii="仿宋" w:hAnsi="仿宋" w:eastAsia="仿宋" w:cs="仿宋"/>
                <w:b w:val="0"/>
                <w:color w:val="0000FF"/>
                <w:sz w:val="21"/>
                <w:szCs w:val="21"/>
                <w:u w:val="single"/>
              </w:rPr>
              <w:t>731465071@qq.com</w:t>
            </w:r>
            <w:r>
              <w:rPr>
                <w:rStyle w:val="10"/>
                <w:rFonts w:ascii="仿宋" w:hAnsi="仿宋" w:eastAsia="仿宋" w:cs="仿宋"/>
                <w:b w:val="0"/>
                <w:sz w:val="21"/>
                <w:szCs w:val="21"/>
              </w:rPr>
              <w:t>。最终报价文件只能发送该邮箱，否则不予认可，且邮件标题名称必须为“玻雅项目</w:t>
            </w:r>
            <w:r>
              <w:rPr>
                <w:rStyle w:val="10"/>
                <w:rFonts w:hint="default" w:ascii="仿宋" w:hAnsi="仿宋" w:eastAsia="仿宋" w:cs="仿宋"/>
                <w:b w:val="0"/>
                <w:sz w:val="21"/>
                <w:szCs w:val="21"/>
              </w:rPr>
              <w:t>XXX采购标段报价文件（**公司）”。请勿重复发送，采购人只认可最后一次报价。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w:t>
            </w:r>
            <w:r>
              <w:t xml:space="preserve"> </w:t>
            </w:r>
            <w:r>
              <w:rPr>
                <w:rStyle w:val="7"/>
                <w:rFonts w:hint="eastAsia" w:ascii="仿宋" w:hAnsi="仿宋" w:eastAsia="仿宋" w:cs="仿宋"/>
                <w:b w:val="0"/>
                <w:bCs/>
                <w:sz w:val="21"/>
                <w:szCs w:val="21"/>
              </w:rPr>
              <w:t>Email Khusus Penawaran:</w:t>
            </w:r>
            <w:r>
              <w:rPr>
                <w:rFonts w:hint="eastAsia" w:ascii="仿宋" w:hAnsi="仿宋" w:eastAsia="仿宋" w:cs="仿宋"/>
                <w:b w:val="0"/>
                <w:bCs/>
                <w:sz w:val="21"/>
                <w:szCs w:val="21"/>
              </w:rPr>
              <w:t xml:space="preserve"> 731465071@qq.com</w:t>
            </w:r>
            <w:r>
              <w:rPr>
                <w:rFonts w:hint="eastAsia" w:ascii="仿宋" w:hAnsi="仿宋" w:eastAsia="仿宋" w:cs="仿宋"/>
                <w:b w:val="0"/>
                <w:bCs/>
                <w:sz w:val="21"/>
                <w:szCs w:val="21"/>
                <w:lang w:val="id-ID"/>
              </w:rPr>
              <w:t xml:space="preserve">. </w:t>
            </w:r>
            <w:r>
              <w:rPr>
                <w:rFonts w:hint="eastAsia" w:ascii="仿宋" w:hAnsi="仿宋" w:eastAsia="仿宋" w:cs="仿宋"/>
                <w:b w:val="0"/>
                <w:bCs/>
                <w:sz w:val="21"/>
                <w:szCs w:val="21"/>
              </w:rPr>
              <w:t xml:space="preserve">Dokumen penawaran akhir </w:t>
            </w:r>
            <w:r>
              <w:rPr>
                <w:rStyle w:val="7"/>
                <w:rFonts w:hint="eastAsia" w:ascii="仿宋" w:hAnsi="仿宋" w:eastAsia="仿宋" w:cs="仿宋"/>
                <w:b w:val="0"/>
                <w:bCs/>
                <w:sz w:val="21"/>
                <w:szCs w:val="21"/>
              </w:rPr>
              <w:t>hanya dapat dikirimkan ke alamat email tersebut</w:t>
            </w:r>
            <w:r>
              <w:rPr>
                <w:rFonts w:hint="eastAsia" w:ascii="仿宋" w:hAnsi="仿宋" w:eastAsia="仿宋" w:cs="仿宋"/>
                <w:b w:val="0"/>
                <w:bCs/>
                <w:sz w:val="21"/>
                <w:szCs w:val="21"/>
              </w:rPr>
              <w:t xml:space="preserve">; apabila dikirimkan ke alamat lain maka </w:t>
            </w:r>
            <w:r>
              <w:rPr>
                <w:rStyle w:val="7"/>
                <w:rFonts w:hint="eastAsia" w:ascii="仿宋" w:hAnsi="仿宋" w:eastAsia="仿宋" w:cs="仿宋"/>
                <w:b w:val="0"/>
                <w:bCs/>
                <w:sz w:val="21"/>
                <w:szCs w:val="21"/>
              </w:rPr>
              <w:t>tidak akan diakui</w:t>
            </w:r>
            <w:r>
              <w:rPr>
                <w:rFonts w:hint="eastAsia" w:ascii="仿宋" w:hAnsi="仿宋" w:eastAsia="仿宋" w:cs="仿宋"/>
                <w:b w:val="0"/>
                <w:bCs/>
                <w:sz w:val="21"/>
                <w:szCs w:val="21"/>
              </w:rPr>
              <w:t>.Judul email wajib mencantumkan:“Dokumen Penawaran Paket Pengadaan Proyek Boya XXX (</w:t>
            </w:r>
            <w:r>
              <w:rPr>
                <w:rStyle w:val="7"/>
                <w:rFonts w:hint="eastAsia" w:ascii="仿宋" w:hAnsi="仿宋" w:eastAsia="仿宋" w:cs="仿宋"/>
                <w:b w:val="0"/>
                <w:bCs/>
                <w:sz w:val="21"/>
                <w:szCs w:val="21"/>
              </w:rPr>
              <w:t>Nama Perusahaan)”</w:t>
            </w:r>
            <w:r>
              <w:rPr>
                <w:rFonts w:hint="eastAsia" w:ascii="仿宋" w:hAnsi="仿宋" w:eastAsia="仿宋" w:cs="仿宋"/>
                <w:b w:val="0"/>
                <w:bCs/>
                <w:sz w:val="21"/>
                <w:szCs w:val="21"/>
              </w:rPr>
              <w:t xml:space="preserve">Penawaran </w:t>
            </w:r>
            <w:r>
              <w:rPr>
                <w:rStyle w:val="7"/>
                <w:rFonts w:hint="eastAsia" w:ascii="仿宋" w:hAnsi="仿宋" w:eastAsia="仿宋" w:cs="仿宋"/>
                <w:b w:val="0"/>
                <w:bCs/>
                <w:sz w:val="21"/>
                <w:szCs w:val="21"/>
              </w:rPr>
              <w:t>tidak diperkenankan dikirim berulang</w:t>
            </w:r>
            <w:r>
              <w:rPr>
                <w:rFonts w:hint="eastAsia" w:ascii="仿宋" w:hAnsi="仿宋" w:eastAsia="仿宋" w:cs="仿宋"/>
                <w:b w:val="0"/>
                <w:bCs/>
                <w:sz w:val="21"/>
                <w:szCs w:val="21"/>
              </w:rPr>
              <w:t xml:space="preserve">; Pengguna Jasa hanya akan mengakui </w:t>
            </w:r>
            <w:r>
              <w:rPr>
                <w:rStyle w:val="7"/>
                <w:rFonts w:hint="eastAsia" w:ascii="仿宋" w:hAnsi="仿宋" w:eastAsia="仿宋" w:cs="仿宋"/>
                <w:b w:val="0"/>
                <w:bCs/>
                <w:sz w:val="21"/>
                <w:szCs w:val="21"/>
              </w:rPr>
              <w:t>penawaran terakhir</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jc w:val="left"/>
              <w:textAlignment w:val="center"/>
              <w:rPr>
                <w:rStyle w:val="10"/>
                <w:rFonts w:hint="default" w:ascii="仿宋" w:hAnsi="仿宋" w:eastAsia="仿宋" w:cs="仿宋"/>
                <w:b w:val="0"/>
                <w:sz w:val="21"/>
                <w:szCs w:val="21"/>
              </w:rPr>
            </w:pPr>
            <w:r>
              <w:rPr>
                <w:rStyle w:val="10"/>
                <w:rFonts w:ascii="仿宋" w:hAnsi="仿宋" w:eastAsia="仿宋" w:cs="仿宋"/>
                <w:b w:val="0"/>
                <w:sz w:val="21"/>
                <w:szCs w:val="21"/>
              </w:rPr>
              <w:t>澄清专用邮箱：</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。采购过程中若有疑问可发送至该邮箱，否则不予回复，且邮件标题名称必须为“玻雅项目XXX采购标段投标疑问（**公司）”。</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rPr>
              <w:t xml:space="preserve">Email Klarifikasi: </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 xml:space="preserve">. Pertanyaan selama proses pengadaan dapat dikirimkan ke alamat ini; </w:t>
            </w:r>
            <w:r>
              <w:rPr>
                <w:rFonts w:hint="eastAsia" w:ascii="仿宋" w:hAnsi="仿宋" w:eastAsia="仿宋" w:cs="仿宋"/>
                <w:sz w:val="21"/>
                <w:szCs w:val="21"/>
              </w:rPr>
              <w:t>tidak akan ditanggapi</w:t>
            </w:r>
            <w:r>
              <w:rPr>
                <w:rStyle w:val="10"/>
                <w:rFonts w:hint="default" w:ascii="仿宋" w:hAnsi="仿宋" w:eastAsia="仿宋" w:cs="仿宋"/>
                <w:b w:val="0"/>
                <w:sz w:val="21"/>
                <w:szCs w:val="21"/>
              </w:rPr>
              <w:t xml:space="preserve"> jika dikirim ke alamat lain. Subjek email harus berjudul “</w:t>
            </w:r>
            <w:r>
              <w:rPr>
                <w:rFonts w:hint="eastAsia" w:ascii="仿宋" w:hAnsi="仿宋" w:eastAsia="仿宋" w:cs="仿宋"/>
                <w:sz w:val="21"/>
                <w:szCs w:val="21"/>
              </w:rPr>
              <w:t>Pertanyaan Tender/Pengadaan</w:t>
            </w:r>
            <w:r>
              <w:rPr>
                <w:rStyle w:val="10"/>
                <w:rFonts w:hint="default" w:ascii="仿宋" w:hAnsi="仿宋" w:eastAsia="仿宋" w:cs="仿宋"/>
                <w:b w:val="0"/>
                <w:sz w:val="21"/>
                <w:szCs w:val="21"/>
              </w:rPr>
              <w:t xml:space="preserve"> Paket Pengadaan Proyek Boja XXX (Nama Perusahaan)”.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0" w:leftChars="0" w:firstLine="0" w:firstLineChars="0"/>
              <w:textAlignment w:val="center"/>
              <w:rPr>
                <w:rStyle w:val="10"/>
                <w:rFonts w:hint="default" w:ascii="仿宋" w:hAnsi="仿宋" w:eastAsia="仿宋" w:cs="仿宋"/>
                <w:b w:val="0"/>
                <w:bCs/>
                <w:sz w:val="21"/>
                <w:szCs w:val="21"/>
                <w:highlight w:val="yellow"/>
                <w:lang w:val="en-US" w:bidi="ar"/>
              </w:rPr>
            </w:pPr>
            <w:r>
              <w:rPr>
                <w:rStyle w:val="10"/>
                <w:rFonts w:hint="eastAsia" w:ascii="仿宋" w:hAnsi="仿宋" w:eastAsia="仿宋" w:cs="仿宋"/>
                <w:b w:val="0"/>
                <w:sz w:val="21"/>
                <w:szCs w:val="21"/>
                <w:lang w:val="en-US" w:eastAsia="zh-CN"/>
              </w:rPr>
              <w:t>4.</w:t>
            </w:r>
            <w:r>
              <w:rPr>
                <w:rStyle w:val="10"/>
                <w:rFonts w:ascii="仿宋" w:hAnsi="仿宋" w:eastAsia="仿宋" w:cs="仿宋"/>
                <w:b w:val="0"/>
                <w:sz w:val="21"/>
                <w:szCs w:val="21"/>
              </w:rPr>
              <w:t>采购内容：详见报价表</w:t>
            </w:r>
            <w:r>
              <w:rPr>
                <w:rStyle w:val="10"/>
                <w:rFonts w:hint="eastAsia" w:ascii="仿宋" w:hAnsi="仿宋" w:eastAsia="仿宋" w:cs="仿宋"/>
                <w:b w:val="0"/>
                <w:sz w:val="21"/>
                <w:szCs w:val="21"/>
                <w:highlight w:val="none"/>
                <w:lang w:val="en-US" w:eastAsia="zh-CN"/>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sz w:val="21"/>
                <w:szCs w:val="21"/>
              </w:rPr>
            </w:pPr>
            <w:r>
              <w:rPr>
                <w:rStyle w:val="10"/>
                <w:rFonts w:hint="default" w:ascii="仿宋" w:hAnsi="仿宋" w:eastAsia="仿宋" w:cs="仿宋"/>
                <w:b w:val="0"/>
                <w:sz w:val="21"/>
                <w:szCs w:val="21"/>
              </w:rPr>
              <w:t>4.</w:t>
            </w:r>
            <w:r>
              <w:t xml:space="preserve"> </w:t>
            </w:r>
            <w:r>
              <w:rPr>
                <w:rStyle w:val="10"/>
                <w:rFonts w:hint="default" w:ascii="仿宋" w:hAnsi="仿宋" w:eastAsia="仿宋" w:cs="仿宋"/>
                <w:b w:val="0"/>
                <w:sz w:val="21"/>
                <w:szCs w:val="21"/>
              </w:rPr>
              <w:t>Ruang Lingkup Pengadaan:</w:t>
            </w:r>
            <w:r>
              <w:rPr>
                <w:rStyle w:val="10"/>
                <w:rFonts w:hint="eastAsia" w:ascii="仿宋" w:hAnsi="仿宋" w:eastAsia="仿宋" w:cs="仿宋"/>
                <w:b w:val="0"/>
                <w:sz w:val="20"/>
                <w:szCs w:val="20"/>
                <w:lang w:val="en-US" w:eastAsia="zh-CN"/>
              </w:rPr>
              <w:t>S</w:t>
            </w:r>
            <w:r>
              <w:rPr>
                <w:rFonts w:hint="eastAsia" w:ascii="仿宋" w:hAnsi="仿宋" w:eastAsia="仿宋" w:cs="仿宋"/>
                <w:sz w:val="22"/>
                <w:szCs w:val="22"/>
              </w:rPr>
              <w:t>ebagaimana tercantum dalam tabel penawaran harga.</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sz w:val="21"/>
                <w:szCs w:val="21"/>
                <w:lang w:val="en-US" w:eastAsia="zh-CN"/>
              </w:rPr>
              <w:t>5.</w:t>
            </w:r>
            <w:r>
              <w:rPr>
                <w:rStyle w:val="10"/>
                <w:rFonts w:ascii="仿宋" w:hAnsi="仿宋" w:eastAsia="仿宋" w:cs="仿宋"/>
                <w:b w:val="0"/>
                <w:sz w:val="21"/>
                <w:szCs w:val="21"/>
              </w:rPr>
              <w:t>采购方式：公开询比。</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6"/>
                <w:szCs w:val="16"/>
              </w:rPr>
            </w:pPr>
            <w:r>
              <w:rPr>
                <w:rStyle w:val="10"/>
                <w:rFonts w:hint="default" w:ascii="仿宋" w:hAnsi="仿宋" w:eastAsia="仿宋" w:cs="仿宋"/>
                <w:b w:val="0"/>
                <w:sz w:val="21"/>
                <w:szCs w:val="21"/>
              </w:rPr>
              <w:t xml:space="preserve">5. Metode Pengadaan: </w:t>
            </w:r>
            <w:r>
              <w:rPr>
                <w:rFonts w:hint="eastAsia" w:ascii="仿宋" w:hAnsi="仿宋" w:eastAsia="仿宋" w:cs="仿宋"/>
                <w:sz w:val="21"/>
                <w:szCs w:val="21"/>
              </w:rPr>
              <w:t>Permintaan Penawaran Terbuka (Open Inquiry/Comparison).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sz w:val="21"/>
                <w:szCs w:val="21"/>
                <w:lang w:val="en-US" w:eastAsia="zh-CN"/>
              </w:rPr>
              <w:t>6.</w:t>
            </w:r>
            <w:r>
              <w:rPr>
                <w:rStyle w:val="10"/>
                <w:rFonts w:ascii="仿宋" w:hAnsi="仿宋" w:eastAsia="仿宋" w:cs="仿宋"/>
                <w:b w:val="0"/>
                <w:sz w:val="21"/>
                <w:szCs w:val="21"/>
              </w:rPr>
              <w:t>评审方法：经评审的最低价法，按照满足采购需求且报价最低原则按顺序推荐候选成交供应商</w:t>
            </w:r>
            <w:r>
              <w:rPr>
                <w:rStyle w:val="10"/>
                <w:rFonts w:ascii="仿宋" w:hAnsi="仿宋" w:eastAsia="仿宋" w:cs="仿宋"/>
                <w:b w:val="0"/>
                <w:sz w:val="21"/>
                <w:szCs w:val="21"/>
                <w:highlight w:val="none"/>
              </w:rPr>
              <w:t>。</w:t>
            </w:r>
          </w:p>
          <w:p>
            <w:pPr>
              <w:widowControl/>
              <w:adjustRightInd w:val="0"/>
              <w:snapToGrid w:val="0"/>
              <w:spacing w:line="320" w:lineRule="exact"/>
              <w:ind w:left="284" w:hanging="284"/>
              <w:textAlignment w:val="center"/>
              <w:rPr>
                <w:rStyle w:val="10"/>
                <w:rFonts w:hint="eastAsia" w:ascii="仿宋" w:hAnsi="仿宋" w:eastAsia="仿宋" w:cs="仿宋"/>
                <w:b w:val="0"/>
                <w:sz w:val="15"/>
                <w:szCs w:val="15"/>
              </w:rPr>
            </w:pPr>
            <w:r>
              <w:rPr>
                <w:rStyle w:val="10"/>
                <w:rFonts w:hint="default" w:ascii="仿宋" w:hAnsi="仿宋" w:eastAsia="仿宋" w:cs="仿宋"/>
                <w:b w:val="0"/>
                <w:sz w:val="21"/>
                <w:szCs w:val="21"/>
              </w:rPr>
              <w:t xml:space="preserve">6. </w:t>
            </w:r>
            <w:r>
              <w:rPr>
                <w:rFonts w:hint="eastAsia" w:ascii="仿宋" w:hAnsi="仿宋" w:eastAsia="仿宋" w:cs="仿宋"/>
                <w:sz w:val="21"/>
                <w:szCs w:val="21"/>
              </w:rPr>
              <w:t xml:space="preserve">Metode Evaluasi: </w:t>
            </w:r>
            <w:r>
              <w:rPr>
                <w:rFonts w:hint="eastAsia" w:ascii="仿宋" w:hAnsi="仿宋" w:eastAsia="仿宋" w:cs="仿宋"/>
                <w:sz w:val="22"/>
                <w:szCs w:val="22"/>
              </w:rPr>
              <w:t>Metode harga terendah setelah evaluasi (Evaluated Lowest Price Method), yaitu dengan merekomendasikan calon penyedia berdasarkan pemenuhan persyaratan pengadaan dan penawaran harga terendah.</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none"/>
              </w:rPr>
            </w:pPr>
            <w:r>
              <w:rPr>
                <w:rStyle w:val="10"/>
                <w:rFonts w:hint="eastAsia" w:ascii="仿宋" w:hAnsi="仿宋" w:eastAsia="仿宋" w:cs="仿宋"/>
                <w:b w:val="0"/>
                <w:bCs/>
                <w:sz w:val="21"/>
                <w:szCs w:val="21"/>
                <w:highlight w:val="none"/>
                <w:lang w:val="en-US" w:eastAsia="zh-CN"/>
              </w:rPr>
              <w:t>7.</w:t>
            </w:r>
            <w:r>
              <w:rPr>
                <w:rStyle w:val="10"/>
                <w:rFonts w:ascii="仿宋" w:hAnsi="仿宋" w:eastAsia="仿宋" w:cs="仿宋"/>
                <w:b w:val="0"/>
                <w:bCs/>
                <w:sz w:val="21"/>
                <w:szCs w:val="21"/>
                <w:highlight w:val="none"/>
              </w:rPr>
              <w:t>报价截止时间：</w:t>
            </w:r>
            <w:bookmarkStart w:id="0" w:name="OLE_LINK1"/>
            <w:r>
              <w:rPr>
                <w:rStyle w:val="10"/>
                <w:rFonts w:hint="eastAsia" w:ascii="仿宋" w:hAnsi="仿宋" w:eastAsia="仿宋" w:cs="仿宋"/>
                <w:b w:val="0"/>
                <w:sz w:val="21"/>
                <w:szCs w:val="21"/>
                <w:highlight w:val="none"/>
                <w:lang w:val="en-US" w:eastAsia="zh-CN"/>
              </w:rPr>
              <w:t>2026</w:t>
            </w:r>
            <w:r>
              <w:rPr>
                <w:rStyle w:val="10"/>
                <w:rFonts w:hint="default" w:ascii="仿宋" w:hAnsi="仿宋" w:eastAsia="仿宋" w:cs="仿宋"/>
                <w:b w:val="0"/>
                <w:sz w:val="21"/>
                <w:szCs w:val="21"/>
                <w:highlight w:val="none"/>
              </w:rPr>
              <w:t>年</w:t>
            </w:r>
            <w:r>
              <w:rPr>
                <w:rStyle w:val="10"/>
                <w:rFonts w:hint="eastAsia" w:ascii="仿宋" w:hAnsi="仿宋" w:eastAsia="仿宋" w:cs="仿宋"/>
                <w:b w:val="0"/>
                <w:sz w:val="21"/>
                <w:szCs w:val="21"/>
                <w:highlight w:val="none"/>
                <w:lang w:val="en-US" w:eastAsia="zh-CN"/>
              </w:rPr>
              <w:t>9</w:t>
            </w:r>
            <w:r>
              <w:rPr>
                <w:rStyle w:val="10"/>
                <w:rFonts w:hint="default" w:ascii="仿宋" w:hAnsi="仿宋" w:eastAsia="仿宋" w:cs="仿宋"/>
                <w:b w:val="0"/>
                <w:sz w:val="21"/>
                <w:szCs w:val="21"/>
                <w:highlight w:val="none"/>
              </w:rPr>
              <w:t>月</w:t>
            </w:r>
            <w:r>
              <w:rPr>
                <w:rStyle w:val="10"/>
                <w:rFonts w:hint="eastAsia" w:ascii="仿宋" w:hAnsi="仿宋" w:eastAsia="仿宋" w:cs="仿宋"/>
                <w:b w:val="0"/>
                <w:sz w:val="21"/>
                <w:szCs w:val="21"/>
                <w:highlight w:val="none"/>
                <w:lang w:val="en-US" w:eastAsia="zh-CN"/>
              </w:rPr>
              <w:t>29</w:t>
            </w:r>
            <w:r>
              <w:rPr>
                <w:rStyle w:val="10"/>
                <w:rFonts w:hint="default" w:ascii="仿宋" w:hAnsi="仿宋" w:eastAsia="仿宋" w:cs="仿宋"/>
                <w:b w:val="0"/>
                <w:sz w:val="21"/>
                <w:szCs w:val="21"/>
                <w:highlight w:val="none"/>
              </w:rPr>
              <w:t>日</w:t>
            </w:r>
            <w:r>
              <w:rPr>
                <w:rStyle w:val="10"/>
                <w:rFonts w:hint="eastAsia" w:ascii="仿宋" w:hAnsi="仿宋" w:eastAsia="仿宋" w:cs="仿宋"/>
                <w:b w:val="0"/>
                <w:sz w:val="21"/>
                <w:szCs w:val="21"/>
                <w:highlight w:val="none"/>
                <w:lang w:val="en-US" w:eastAsia="zh-CN"/>
              </w:rPr>
              <w:t>9:</w:t>
            </w:r>
            <w:r>
              <w:rPr>
                <w:rStyle w:val="10"/>
                <w:rFonts w:hint="eastAsia" w:ascii="仿宋" w:hAnsi="仿宋" w:eastAsia="仿宋" w:cs="仿宋"/>
                <w:b w:val="0"/>
                <w:sz w:val="21"/>
                <w:szCs w:val="21"/>
                <w:highlight w:val="none"/>
                <w:lang w:eastAsia="zh-CN"/>
              </w:rPr>
              <w:t>0</w:t>
            </w:r>
            <w:r>
              <w:rPr>
                <w:rStyle w:val="10"/>
                <w:rFonts w:hint="eastAsia" w:ascii="仿宋" w:hAnsi="仿宋" w:eastAsia="仿宋" w:cs="仿宋"/>
                <w:b w:val="0"/>
                <w:sz w:val="21"/>
                <w:szCs w:val="21"/>
                <w:highlight w:val="none"/>
                <w:lang w:val="en-US" w:eastAsia="zh-CN"/>
              </w:rPr>
              <w:t>0</w:t>
            </w:r>
            <w:r>
              <w:rPr>
                <w:rStyle w:val="10"/>
                <w:rFonts w:hint="default" w:ascii="仿宋" w:hAnsi="仿宋" w:eastAsia="仿宋" w:cs="仿宋"/>
                <w:b w:val="0"/>
                <w:sz w:val="21"/>
                <w:szCs w:val="21"/>
                <w:highlight w:val="none"/>
              </w:rPr>
              <w:t>点前</w:t>
            </w:r>
            <w:bookmarkEnd w:id="0"/>
            <w:r>
              <w:rPr>
                <w:rStyle w:val="10"/>
                <w:rFonts w:hint="default" w:ascii="仿宋" w:hAnsi="仿宋" w:eastAsia="仿宋" w:cs="仿宋"/>
                <w:b w:val="0"/>
                <w:sz w:val="21"/>
                <w:szCs w:val="21"/>
                <w:highlight w:val="none"/>
              </w:rPr>
              <w:t>（雅加达时间）。</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rPr>
            </w:pPr>
            <w:r>
              <w:rPr>
                <w:rStyle w:val="10"/>
                <w:rFonts w:hint="default" w:ascii="仿宋" w:hAnsi="仿宋" w:eastAsia="仿宋" w:cs="仿宋"/>
                <w:b w:val="0"/>
                <w:bCs/>
                <w:sz w:val="21"/>
                <w:szCs w:val="21"/>
                <w:highlight w:val="none"/>
              </w:rPr>
              <w:t xml:space="preserve">7. </w:t>
            </w:r>
            <w:r>
              <w:rPr>
                <w:rFonts w:hint="eastAsia" w:ascii="仿宋" w:hAnsi="仿宋" w:eastAsia="仿宋" w:cs="仿宋"/>
                <w:sz w:val="22"/>
                <w:szCs w:val="22"/>
              </w:rPr>
              <w:t xml:space="preserve">Batas waktu penyampaian penawaran: </w:t>
            </w:r>
            <w:r>
              <w:rPr>
                <w:rFonts w:hint="eastAsia" w:ascii="仿宋" w:hAnsi="仿宋" w:eastAsia="仿宋" w:cs="仿宋"/>
                <w:sz w:val="22"/>
                <w:szCs w:val="22"/>
                <w:lang w:val="en-US" w:eastAsia="zh-CN"/>
              </w:rPr>
              <w:t>Sebelum pukul 09.00 WIB (Waktu Jakarta) pada tanggal 29 September 2026.</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rPr>
              <w:t>8.</w:t>
            </w:r>
            <w:r>
              <w:rPr>
                <w:rStyle w:val="10"/>
                <w:rFonts w:ascii="仿宋" w:hAnsi="仿宋" w:eastAsia="仿宋" w:cs="仿宋"/>
                <w:b w:val="0"/>
                <w:bCs/>
                <w:sz w:val="21"/>
                <w:szCs w:val="21"/>
              </w:rPr>
              <w:t>送货地址：</w:t>
            </w:r>
            <w:r>
              <w:rPr>
                <w:rStyle w:val="10"/>
                <w:rFonts w:hint="default" w:ascii="仿宋" w:hAnsi="仿宋" w:eastAsia="仿宋" w:cs="仿宋"/>
                <w:b w:val="0"/>
                <w:bCs/>
                <w:sz w:val="21"/>
                <w:szCs w:val="21"/>
              </w:rPr>
              <w:t>PLTU SUMSEL 8 Desa Tanjung Lalang, Tanjung Agung, Kabupaten Muara Enim, Sumatera Selatan</w:t>
            </w:r>
            <w:r>
              <w:rPr>
                <w:rStyle w:val="10"/>
                <w:rFonts w:hint="eastAsia" w:ascii="仿宋" w:hAnsi="仿宋" w:eastAsia="仿宋" w:cs="仿宋"/>
                <w:b w:val="0"/>
                <w:bCs/>
                <w:sz w:val="21"/>
                <w:szCs w:val="21"/>
                <w:lang w:eastAsia="zh-CN"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8. Alamat Pengiriman:</w:t>
            </w:r>
            <w:r>
              <w:rPr>
                <w:rFonts w:hint="eastAsia" w:ascii="仿宋" w:hAnsi="仿宋" w:eastAsia="仿宋" w:cs="仿宋"/>
                <w:b w:val="0"/>
                <w:bCs w:val="0"/>
                <w:sz w:val="21"/>
                <w:szCs w:val="21"/>
              </w:rPr>
              <w:t xml:space="preserve">PLTU Sumsel 8, Desa Tanjung Lalang, </w:t>
            </w:r>
            <w:r>
              <w:rPr>
                <w:rStyle w:val="7"/>
                <w:rFonts w:hint="eastAsia" w:ascii="仿宋" w:hAnsi="仿宋" w:eastAsia="仿宋" w:cs="仿宋"/>
                <w:b w:val="0"/>
                <w:bCs w:val="0"/>
                <w:sz w:val="21"/>
                <w:szCs w:val="21"/>
              </w:rPr>
              <w:t>Kecamatan Tanjung Agung</w:t>
            </w:r>
            <w:r>
              <w:rPr>
                <w:rFonts w:hint="eastAsia" w:ascii="仿宋" w:hAnsi="仿宋" w:eastAsia="仿宋" w:cs="仿宋"/>
                <w:b w:val="0"/>
                <w:bCs w:val="0"/>
                <w:sz w:val="21"/>
                <w:szCs w:val="21"/>
              </w:rPr>
              <w:t>, Kabupaten Muara Enim, Sumatera Selatan.</w:t>
            </w:r>
            <w:r>
              <w:rPr>
                <w:rStyle w:val="10"/>
                <w:rFonts w:hint="default" w:ascii="仿宋" w:hAnsi="仿宋" w:eastAsia="仿宋" w:cs="仿宋"/>
                <w:b w:val="0"/>
                <w:bCs/>
                <w:sz w:val="21"/>
                <w:szCs w:val="21"/>
                <w:lang w:bidi="ar"/>
              </w:rPr>
              <w:t xml:space="preserve">  </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9.</w:t>
            </w:r>
            <w:r>
              <w:rPr>
                <w:rStyle w:val="10"/>
                <w:rFonts w:hint="default" w:ascii="仿宋" w:hAnsi="仿宋" w:eastAsia="仿宋" w:cs="仿宋"/>
                <w:b w:val="0"/>
                <w:bCs/>
                <w:sz w:val="21"/>
                <w:szCs w:val="21"/>
                <w:lang w:bidi="ar"/>
              </w:rPr>
              <w:t>采购监督投诉受理邮箱</w:t>
            </w:r>
            <w:r>
              <w:rPr>
                <w:rStyle w:val="10"/>
                <w:rFonts w:hint="eastAsia" w:ascii="仿宋" w:hAnsi="仿宋" w:eastAsia="仿宋" w:cs="仿宋"/>
                <w:b w:val="0"/>
                <w:bCs/>
                <w:sz w:val="21"/>
                <w:szCs w:val="21"/>
                <w:lang w:val="en-US" w:eastAsia="zh-CN" w:bidi="ar"/>
              </w:rPr>
              <w:t>:</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6"/>
                <w:bCs/>
                <w:lang w:bidi="ar"/>
              </w:rPr>
            </w:pPr>
            <w:r>
              <w:rPr>
                <w:rStyle w:val="10"/>
                <w:rFonts w:hint="default" w:ascii="仿宋" w:hAnsi="仿宋" w:eastAsia="仿宋" w:cs="仿宋"/>
                <w:b w:val="0"/>
                <w:bCs/>
                <w:sz w:val="21"/>
                <w:szCs w:val="21"/>
                <w:lang w:bidi="ar"/>
              </w:rPr>
              <w:t xml:space="preserve">9. Alamat Email Pengaduan Pengawasan Pengadaan: </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二、报价说明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II.  </w:t>
            </w:r>
            <w:r>
              <w:rPr>
                <w:rFonts w:hint="eastAsia" w:ascii="仿宋" w:hAnsi="仿宋" w:eastAsia="仿宋" w:cs="仿宋"/>
                <w:sz w:val="22"/>
                <w:szCs w:val="22"/>
              </w:rPr>
              <w:t>Ketentuan Penawaran</w:t>
            </w:r>
          </w:p>
          <w:p>
            <w:pPr>
              <w:keepNext w:val="0"/>
              <w:keepLines w:val="0"/>
              <w:pageBreakBefore w:val="0"/>
              <w:widowControl/>
              <w:kinsoku/>
              <w:wordWrap/>
              <w:overflowPunct/>
              <w:topLinePunct w:val="0"/>
              <w:autoSpaceDE/>
              <w:autoSpaceDN/>
              <w:bidi w:val="0"/>
              <w:adjustRightInd w:val="0"/>
              <w:snapToGrid w:val="0"/>
              <w:spacing w:line="300" w:lineRule="exact"/>
              <w:ind w:left="210" w:hanging="210" w:hangingChars="100"/>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1.</w:t>
            </w:r>
            <w:r>
              <w:rPr>
                <w:rStyle w:val="10"/>
                <w:rFonts w:hint="default" w:ascii="仿宋" w:hAnsi="仿宋" w:eastAsia="仿宋" w:cs="仿宋"/>
                <w:b w:val="0"/>
                <w:bCs/>
                <w:sz w:val="21"/>
                <w:szCs w:val="21"/>
                <w:lang w:bidi="ar"/>
              </w:rPr>
              <w:t>报价人的报价包括人工费、材料费、运杂费、管理费、利润、PPN税费、保险费以及标的物运抵到采购人指定交货地点有关的一切费用，固定价格保持不变。</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1. </w:t>
            </w:r>
            <w:r>
              <w:rPr>
                <w:rFonts w:hint="eastAsia" w:ascii="仿宋" w:hAnsi="仿宋" w:eastAsia="仿宋" w:cs="仿宋"/>
                <w:b w:val="0"/>
                <w:bCs/>
                <w:sz w:val="21"/>
                <w:szCs w:val="21"/>
              </w:rPr>
              <w:t xml:space="preserve">Penawaran dari peserta harus mencakup </w:t>
            </w:r>
            <w:r>
              <w:rPr>
                <w:rStyle w:val="7"/>
                <w:rFonts w:hint="eastAsia" w:ascii="仿宋" w:hAnsi="仿宋" w:eastAsia="仿宋" w:cs="仿宋"/>
                <w:b w:val="0"/>
                <w:bCs/>
                <w:sz w:val="21"/>
                <w:szCs w:val="21"/>
              </w:rPr>
              <w:t>biaya tenaga kerja, biaya material, biaya transportasi dan penanganan, biaya manajemen, keuntungan, pajak PPN, biaya asuransi, serta seluruh biaya yang timbul hingga barang tiba di lokasi penyerahan yang ditetapkan oleh Pengguna Jasa</w:t>
            </w:r>
            <w:r>
              <w:rPr>
                <w:rFonts w:hint="eastAsia" w:ascii="仿宋" w:hAnsi="仿宋" w:eastAsia="仿宋" w:cs="仿宋"/>
                <w:b w:val="0"/>
                <w:bCs/>
                <w:sz w:val="21"/>
                <w:szCs w:val="21"/>
              </w:rPr>
              <w:t>.</w:t>
            </w:r>
            <w:r>
              <w:rPr>
                <w:rStyle w:val="7"/>
                <w:rFonts w:hint="eastAsia" w:ascii="仿宋" w:hAnsi="仿宋" w:eastAsia="仿宋" w:cs="仿宋"/>
                <w:b w:val="0"/>
                <w:bCs/>
                <w:sz w:val="21"/>
                <w:szCs w:val="21"/>
              </w:rPr>
              <w:t>Harga bersifat tetap (fixed price) dan tidak dapat berubah.</w:t>
            </w:r>
          </w:p>
          <w:p>
            <w:pPr>
              <w:keepNext w:val="0"/>
              <w:keepLines w:val="0"/>
              <w:pageBreakBefore w:val="0"/>
              <w:widowControl/>
              <w:kinsoku/>
              <w:wordWrap/>
              <w:overflowPunct/>
              <w:topLinePunct w:val="0"/>
              <w:autoSpaceDE/>
              <w:autoSpaceDN/>
              <w:bidi w:val="0"/>
              <w:adjustRightInd w:val="0"/>
              <w:snapToGrid w:val="0"/>
              <w:spacing w:line="300" w:lineRule="exact"/>
              <w:ind w:left="0"/>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bidi="ar"/>
              </w:rPr>
              <w:t xml:space="preserve">2. </w:t>
            </w:r>
            <w:r>
              <w:rPr>
                <w:rStyle w:val="10"/>
                <w:rFonts w:hint="default" w:ascii="仿宋" w:hAnsi="仿宋" w:eastAsia="仿宋" w:cs="仿宋"/>
                <w:b w:val="0"/>
                <w:bCs/>
                <w:sz w:val="21"/>
                <w:szCs w:val="21"/>
                <w:lang w:bidi="ar"/>
              </w:rPr>
              <w:t>特别注意：所报货物参数规格务必符合要求，所报产品差异应注明。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2. </w:t>
            </w:r>
            <w:r>
              <w:rPr>
                <w:rStyle w:val="7"/>
                <w:rFonts w:hint="eastAsia" w:ascii="仿宋" w:hAnsi="仿宋" w:eastAsia="仿宋" w:cs="仿宋"/>
                <w:b w:val="0"/>
                <w:bCs/>
                <w:sz w:val="21"/>
                <w:szCs w:val="21"/>
              </w:rPr>
              <w:t>Ketentuan Khusus:</w:t>
            </w:r>
            <w:r>
              <w:rPr>
                <w:rFonts w:hint="eastAsia" w:ascii="仿宋" w:hAnsi="仿宋" w:eastAsia="仿宋" w:cs="仿宋"/>
                <w:b w:val="0"/>
                <w:bCs/>
                <w:sz w:val="21"/>
                <w:szCs w:val="21"/>
              </w:rPr>
              <w:t xml:space="preserve"> Spesifikasi dan parameter barang yang ditawarkan </w:t>
            </w:r>
            <w:r>
              <w:rPr>
                <w:rStyle w:val="7"/>
                <w:rFonts w:hint="eastAsia" w:ascii="仿宋" w:hAnsi="仿宋" w:eastAsia="仿宋" w:cs="仿宋"/>
                <w:b w:val="0"/>
                <w:bCs/>
                <w:sz w:val="21"/>
                <w:szCs w:val="21"/>
              </w:rPr>
              <w:t>wajib sesuai dengan persyaratan</w:t>
            </w:r>
            <w:r>
              <w:rPr>
                <w:rFonts w:hint="eastAsia" w:ascii="仿宋" w:hAnsi="仿宋" w:eastAsia="仿宋" w:cs="仿宋"/>
                <w:b w:val="0"/>
                <w:bCs/>
                <w:sz w:val="21"/>
                <w:szCs w:val="21"/>
              </w:rPr>
              <w:t xml:space="preserve">. Apabila terdapat perbedaan, harus </w:t>
            </w:r>
            <w:r>
              <w:rPr>
                <w:rStyle w:val="7"/>
                <w:rFonts w:hint="eastAsia" w:ascii="仿宋" w:hAnsi="仿宋" w:eastAsia="仿宋" w:cs="仿宋"/>
                <w:b w:val="0"/>
                <w:bCs/>
                <w:sz w:val="21"/>
                <w:szCs w:val="21"/>
              </w:rPr>
              <w:t>dinyatakan secara jelas</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3. 供货周期：</w:t>
            </w:r>
            <w:r>
              <w:rPr>
                <w:rStyle w:val="10"/>
                <w:rFonts w:hint="eastAsia" w:ascii="仿宋" w:hAnsi="仿宋" w:eastAsia="仿宋" w:cs="仿宋"/>
                <w:b w:val="0"/>
                <w:bCs/>
                <w:sz w:val="21"/>
                <w:szCs w:val="21"/>
                <w:highlight w:val="none"/>
                <w:lang w:val="en-US" w:eastAsia="zh-CN" w:bidi="ar"/>
              </w:rPr>
              <w:t>以采购清单要求为准</w:t>
            </w:r>
            <w:r>
              <w:rPr>
                <w:rStyle w:val="10"/>
                <w:rFonts w:hint="default" w:ascii="仿宋" w:hAnsi="仿宋" w:eastAsia="仿宋" w:cs="仿宋"/>
                <w:b w:val="0"/>
                <w:bCs/>
                <w:sz w:val="21"/>
                <w:szCs w:val="21"/>
                <w:lang w:bidi="ar"/>
              </w:rPr>
              <w:t>，如有特殊产品交货期晚于该时间，经确认后可适当延长。</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5"/>
                <w:szCs w:val="15"/>
                <w:lang w:bidi="ar"/>
              </w:rPr>
            </w:pPr>
            <w:r>
              <w:rPr>
                <w:rStyle w:val="10"/>
                <w:rFonts w:hint="default" w:ascii="仿宋" w:hAnsi="仿宋" w:eastAsia="仿宋" w:cs="仿宋"/>
                <w:b w:val="0"/>
                <w:bCs/>
                <w:sz w:val="21"/>
                <w:szCs w:val="21"/>
                <w:lang w:bidi="ar"/>
              </w:rPr>
              <w:t>3.</w:t>
            </w:r>
            <w:r>
              <w:rPr>
                <w:rStyle w:val="10"/>
                <w:rFonts w:hint="default" w:ascii="仿宋" w:hAnsi="仿宋" w:eastAsia="仿宋" w:cs="仿宋"/>
                <w:b w:val="0"/>
                <w:bCs/>
                <w:color w:val="auto"/>
                <w:sz w:val="21"/>
                <w:szCs w:val="21"/>
                <w:shd w:val="clear" w:color="auto" w:fill="auto"/>
                <w:lang w:bidi="ar"/>
              </w:rPr>
              <w:t xml:space="preserve"> </w:t>
            </w:r>
            <w:r>
              <w:rPr>
                <w:rFonts w:hint="eastAsia" w:ascii="仿宋" w:hAnsi="仿宋" w:eastAsia="仿宋" w:cs="仿宋"/>
                <w:b w:val="0"/>
                <w:bCs w:val="0"/>
                <w:sz w:val="21"/>
                <w:szCs w:val="21"/>
              </w:rPr>
              <w:t xml:space="preserve">Jangka waktu pengiriman mengacu pada daftar pengadaan. </w:t>
            </w:r>
            <w:r>
              <w:rPr>
                <w:rFonts w:hint="eastAsia" w:ascii="仿宋" w:hAnsi="仿宋" w:eastAsia="仿宋" w:cs="仿宋"/>
                <w:sz w:val="21"/>
                <w:szCs w:val="21"/>
              </w:rPr>
              <w:t>Untuk produk khusus dengan waktu pengiriman lebih lama, jangka waktu dapat diperpanjang setelah mendapat persetujuan.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4. 资格审查资料：提供营业执照、税务登记证、法人身份证明文件。</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0"/>
                <w:szCs w:val="20"/>
                <w:lang w:val="en-US" w:eastAsia="zh-CN" w:bidi="ar"/>
              </w:rPr>
            </w:pPr>
            <w:r>
              <w:rPr>
                <w:rStyle w:val="10"/>
                <w:rFonts w:hint="default" w:ascii="仿宋" w:hAnsi="仿宋" w:eastAsia="仿宋" w:cs="仿宋"/>
                <w:b w:val="0"/>
                <w:bCs/>
                <w:sz w:val="21"/>
                <w:szCs w:val="21"/>
                <w:lang w:bidi="ar"/>
              </w:rPr>
              <w:t xml:space="preserve">4. </w:t>
            </w:r>
            <w:r>
              <w:rPr>
                <w:rStyle w:val="10"/>
                <w:rFonts w:hint="default" w:ascii="仿宋" w:hAnsi="仿宋" w:eastAsia="仿宋" w:cs="仿宋"/>
                <w:b w:val="0"/>
                <w:bCs/>
                <w:sz w:val="22"/>
                <w:szCs w:val="22"/>
                <w:lang w:bidi="ar"/>
              </w:rPr>
              <w:t>Dokumen Verifikasi Kualifikasi: Sediakan Surat Izin Usaha, Sertifikat Pendaftaran Pajak, dan</w:t>
            </w:r>
            <w:r>
              <w:rPr>
                <w:rStyle w:val="10"/>
                <w:rFonts w:hint="eastAsia" w:ascii="仿宋" w:hAnsi="仿宋" w:eastAsia="仿宋" w:cs="仿宋"/>
                <w:b w:val="0"/>
                <w:bCs/>
                <w:sz w:val="22"/>
                <w:szCs w:val="22"/>
                <w:lang w:val="en-US" w:eastAsia="zh-CN" w:bidi="ar"/>
              </w:rPr>
              <w:t xml:space="preserve"> </w:t>
            </w:r>
            <w:r>
              <w:rPr>
                <w:rFonts w:hint="eastAsia" w:ascii="仿宋" w:hAnsi="仿宋" w:eastAsia="仿宋" w:cs="仿宋"/>
                <w:sz w:val="22"/>
                <w:szCs w:val="22"/>
              </w:rPr>
              <w:t>Dokumen identitas perwakilan hukum (Direktur/Pimpinan Perusahaan)</w:t>
            </w:r>
            <w:r>
              <w:rPr>
                <w:rFonts w:hint="eastAsia" w:ascii="仿宋" w:hAnsi="仿宋" w:eastAsia="仿宋" w:cs="仿宋"/>
                <w:sz w:val="22"/>
                <w:szCs w:val="22"/>
                <w:lang w:val="en-US"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5. 付款方式：货到验收合格后通过银行转账付款，报价人应具有银行对公账户。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5. </w:t>
            </w:r>
            <w:r>
              <w:rPr>
                <w:rFonts w:hint="eastAsia" w:ascii="仿宋" w:hAnsi="仿宋" w:eastAsia="仿宋" w:cs="仿宋"/>
                <w:b w:val="0"/>
                <w:bCs w:val="0"/>
                <w:sz w:val="21"/>
                <w:szCs w:val="21"/>
              </w:rPr>
              <w:t xml:space="preserve">Metode Pembayaran: Pembayaran dilakukan melalui transfer bank setelah barang diterima dan dinyatakan lulus pemeriksaan. Peserta wajib memiliki </w:t>
            </w:r>
            <w:r>
              <w:rPr>
                <w:rStyle w:val="7"/>
                <w:rFonts w:hint="eastAsia" w:ascii="仿宋" w:hAnsi="仿宋" w:eastAsia="仿宋" w:cs="仿宋"/>
                <w:b w:val="0"/>
                <w:bCs w:val="0"/>
                <w:sz w:val="21"/>
                <w:szCs w:val="21"/>
              </w:rPr>
              <w:t>rekening bank atas nama perusahaan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lang w:bidi="ar"/>
              </w:rPr>
              <w:t>6</w:t>
            </w:r>
            <w:r>
              <w:rPr>
                <w:rStyle w:val="10"/>
                <w:rFonts w:hint="default" w:ascii="仿宋" w:hAnsi="仿宋" w:eastAsia="仿宋" w:cs="仿宋"/>
                <w:b w:val="0"/>
                <w:bCs/>
                <w:sz w:val="21"/>
                <w:szCs w:val="21"/>
                <w:highlight w:val="none"/>
                <w:lang w:bidi="ar"/>
              </w:rPr>
              <w:t>. 质保金：</w:t>
            </w:r>
            <w:r>
              <w:rPr>
                <w:rStyle w:val="10"/>
                <w:rFonts w:hint="default" w:ascii="仿宋" w:hAnsi="仿宋" w:eastAsia="仿宋" w:cs="仿宋"/>
                <w:b w:val="0"/>
                <w:bCs/>
                <w:sz w:val="21"/>
                <w:szCs w:val="21"/>
                <w:highlight w:val="none"/>
                <w:lang w:bidi="ar"/>
              </w:rPr>
              <w:sym w:font="Wingdings 2" w:char="00A3"/>
            </w:r>
            <w:r>
              <w:rPr>
                <w:rStyle w:val="10"/>
                <w:rFonts w:hint="default" w:ascii="仿宋" w:hAnsi="仿宋" w:eastAsia="仿宋" w:cs="仿宋"/>
                <w:b w:val="0"/>
                <w:bCs/>
                <w:sz w:val="21"/>
                <w:szCs w:val="21"/>
                <w:highlight w:val="none"/>
                <w:lang w:bidi="ar"/>
              </w:rPr>
              <w:t>不适用。</w:t>
            </w:r>
            <w:r>
              <w:rPr>
                <w:rStyle w:val="10"/>
                <w:rFonts w:hint="default" w:ascii="仿宋" w:hAnsi="仿宋" w:eastAsia="仿宋" w:cs="仿宋"/>
                <w:b w:val="0"/>
                <w:bCs/>
                <w:sz w:val="21"/>
                <w:szCs w:val="21"/>
                <w:highlight w:val="none"/>
                <w:lang w:bidi="ar"/>
              </w:rPr>
              <w:sym w:font="Wingdings 2" w:char="0052"/>
            </w:r>
            <w:r>
              <w:rPr>
                <w:rStyle w:val="10"/>
                <w:rFonts w:hint="default" w:ascii="仿宋" w:hAnsi="仿宋" w:eastAsia="仿宋" w:cs="仿宋"/>
                <w:b w:val="0"/>
                <w:bCs/>
                <w:sz w:val="21"/>
                <w:szCs w:val="21"/>
                <w:highlight w:val="none"/>
                <w:lang w:bidi="ar"/>
              </w:rPr>
              <w:t>适用：合同总额的</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3% </w:t>
            </w:r>
            <w:r>
              <w:rPr>
                <w:rStyle w:val="10"/>
                <w:rFonts w:hint="default" w:ascii="仿宋" w:hAnsi="仿宋" w:eastAsia="仿宋" w:cs="仿宋"/>
                <w:b w:val="0"/>
                <w:bCs/>
                <w:sz w:val="21"/>
                <w:szCs w:val="21"/>
                <w:highlight w:val="none"/>
                <w:lang w:bidi="ar"/>
              </w:rPr>
              <w:t>，期限</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6 </w:t>
            </w:r>
            <w:r>
              <w:rPr>
                <w:rStyle w:val="10"/>
                <w:rFonts w:hint="eastAsia" w:ascii="仿宋" w:hAnsi="仿宋" w:eastAsia="仿宋" w:cs="仿宋"/>
                <w:b w:val="0"/>
                <w:bCs/>
                <w:sz w:val="21"/>
                <w:szCs w:val="21"/>
                <w:highlight w:val="none"/>
                <w:u w:val="none"/>
                <w:lang w:val="en-US" w:eastAsia="zh-CN" w:bidi="ar"/>
              </w:rPr>
              <w:t>个月</w:t>
            </w:r>
            <w:r>
              <w:rPr>
                <w:rStyle w:val="10"/>
                <w:rFonts w:hint="default" w:ascii="仿宋" w:hAnsi="仿宋" w:eastAsia="仿宋" w:cs="仿宋"/>
                <w:b w:val="0"/>
                <w:bCs/>
                <w:sz w:val="21"/>
                <w:szCs w:val="21"/>
                <w:highlight w:val="none"/>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val="0"/>
                <w:sz w:val="18"/>
                <w:szCs w:val="18"/>
                <w:lang w:bidi="ar"/>
              </w:rPr>
            </w:pPr>
            <w:r>
              <w:rPr>
                <w:rStyle w:val="10"/>
                <w:rFonts w:hint="default" w:ascii="仿宋" w:hAnsi="仿宋" w:eastAsia="仿宋" w:cs="仿宋"/>
                <w:b w:val="0"/>
                <w:bCs/>
                <w:sz w:val="21"/>
                <w:szCs w:val="21"/>
                <w:lang w:bidi="ar"/>
              </w:rPr>
              <w:t>6.</w:t>
            </w:r>
            <w:r>
              <w:rPr>
                <w:rStyle w:val="10"/>
                <w:rFonts w:hint="eastAsia" w:ascii="仿宋" w:hAnsi="仿宋" w:eastAsia="仿宋" w:cs="仿宋"/>
                <w:b w:val="0"/>
                <w:bCs/>
                <w:sz w:val="18"/>
                <w:szCs w:val="18"/>
                <w:lang w:bidi="ar"/>
              </w:rPr>
              <w:t xml:space="preserve"> </w:t>
            </w:r>
            <w:r>
              <w:rPr>
                <w:rFonts w:hint="eastAsia" w:ascii="仿宋" w:hAnsi="仿宋" w:eastAsia="仿宋" w:cs="仿宋"/>
                <w:sz w:val="21"/>
                <w:szCs w:val="21"/>
              </w:rPr>
              <w:t>Uang Jaminan Pemeliharaan</w:t>
            </w:r>
            <w:r>
              <w:rPr>
                <w:rStyle w:val="10"/>
                <w:rFonts w:hint="default" w:ascii="仿宋" w:hAnsi="仿宋" w:eastAsia="仿宋" w:cs="仿宋"/>
                <w:b w:val="0"/>
                <w:bCs/>
                <w:sz w:val="21"/>
                <w:szCs w:val="21"/>
                <w:lang w:bidi="ar"/>
              </w:rPr>
              <w:t xml:space="preserve">: </w:t>
            </w:r>
            <w:r>
              <w:rPr>
                <w:rStyle w:val="10"/>
                <w:rFonts w:hint="default" w:ascii="仿宋" w:hAnsi="仿宋" w:eastAsia="仿宋" w:cs="仿宋"/>
                <w:b w:val="0"/>
                <w:bCs/>
                <w:sz w:val="21"/>
                <w:szCs w:val="21"/>
                <w:lang w:bidi="ar"/>
              </w:rPr>
              <w:sym w:font="Wingdings 2" w:char="00A3"/>
            </w:r>
            <w:r>
              <w:rPr>
                <w:rStyle w:val="10"/>
                <w:rFonts w:hint="default" w:ascii="仿宋" w:hAnsi="仿宋" w:eastAsia="仿宋" w:cs="仿宋"/>
                <w:b w:val="0"/>
                <w:bCs/>
                <w:sz w:val="21"/>
                <w:szCs w:val="21"/>
                <w:lang w:bidi="ar"/>
              </w:rPr>
              <w:t xml:space="preserve"> Tidak berlaku. </w:t>
            </w:r>
            <w:r>
              <w:rPr>
                <w:rFonts w:hint="eastAsia" w:eastAsia="仿宋" w:cs="Calibri"/>
                <w:bCs/>
                <w:color w:val="000000"/>
                <w:szCs w:val="21"/>
                <w:lang w:bidi="ar"/>
              </w:rPr>
              <w:sym w:font="Wingdings 2" w:char="0052"/>
            </w:r>
            <w:r>
              <w:rPr>
                <w:rStyle w:val="10"/>
                <w:rFonts w:hint="default" w:ascii="仿宋" w:hAnsi="仿宋" w:eastAsia="仿宋" w:cs="仿宋"/>
                <w:b w:val="0"/>
                <w:bCs/>
                <w:sz w:val="21"/>
                <w:szCs w:val="21"/>
                <w:lang w:bidi="ar"/>
              </w:rPr>
              <w:t xml:space="preserve"> </w:t>
            </w:r>
            <w:r>
              <w:rPr>
                <w:rFonts w:hint="eastAsia" w:ascii="仿宋" w:hAnsi="仿宋" w:eastAsia="仿宋" w:cs="仿宋"/>
                <w:b w:val="0"/>
                <w:bCs w:val="0"/>
                <w:sz w:val="21"/>
                <w:szCs w:val="21"/>
              </w:rPr>
              <w:t xml:space="preserve">Berlaku: sebesar </w:t>
            </w:r>
            <w:r>
              <w:rPr>
                <w:rStyle w:val="7"/>
                <w:rFonts w:hint="eastAsia" w:ascii="仿宋" w:hAnsi="仿宋" w:eastAsia="仿宋" w:cs="仿宋"/>
                <w:b w:val="0"/>
                <w:bCs w:val="0"/>
                <w:sz w:val="21"/>
                <w:szCs w:val="21"/>
              </w:rPr>
              <w:t>3% dari total nilai kontrak, dengan jangka waktu 6 bulan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7. 采购人不保证价格最低的供应商中标，也不对未中标的供应商作任何解释。对使用不符合质量要求的产品报价不予评审。</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bCs/>
                <w:color w:val="000000"/>
                <w:kern w:val="0"/>
                <w:szCs w:val="21"/>
                <w:lang w:val="en-US" w:eastAsia="zh-CN" w:bidi="ar"/>
              </w:rPr>
            </w:pPr>
            <w:r>
              <w:rPr>
                <w:rStyle w:val="10"/>
                <w:rFonts w:hint="default" w:ascii="仿宋" w:hAnsi="仿宋" w:eastAsia="仿宋" w:cs="仿宋"/>
                <w:b w:val="0"/>
                <w:bCs/>
                <w:sz w:val="21"/>
                <w:szCs w:val="21"/>
                <w:lang w:bidi="ar"/>
              </w:rPr>
              <w:t xml:space="preserve">7. </w:t>
            </w:r>
            <w:r>
              <w:rPr>
                <w:rFonts w:hint="eastAsia" w:ascii="仿宋" w:hAnsi="仿宋" w:eastAsia="仿宋" w:cs="仿宋"/>
                <w:b w:val="0"/>
                <w:bCs w:val="0"/>
                <w:sz w:val="21"/>
                <w:szCs w:val="21"/>
              </w:rPr>
              <w:t>Pengguna Jasa tidak menjamin bahwa penawar dengan harga terendah akan ditetapkan sebagai pemenang, serta tidak berkewajiban memberikan penjelasan kepada peserta yang tidak terpilih.</w:t>
            </w:r>
            <w:r>
              <w:rPr>
                <w:rFonts w:hint="eastAsia" w:ascii="仿宋" w:hAnsi="仿宋" w:eastAsia="仿宋" w:cs="仿宋"/>
                <w:b w:val="0"/>
                <w:bCs w:val="0"/>
                <w:sz w:val="21"/>
                <w:szCs w:val="21"/>
              </w:rPr>
              <w:br w:type="textWrapping"/>
            </w:r>
            <w:r>
              <w:rPr>
                <w:rFonts w:hint="eastAsia" w:ascii="仿宋" w:hAnsi="仿宋" w:eastAsia="仿宋" w:cs="仿宋"/>
                <w:b w:val="0"/>
                <w:bCs w:val="0"/>
                <w:sz w:val="21"/>
                <w:szCs w:val="21"/>
              </w:rPr>
              <w:t xml:space="preserve">Penawaran yang menggunakan produk yang tidak memenuhi persyaratan mutu </w:t>
            </w:r>
            <w:r>
              <w:rPr>
                <w:rStyle w:val="7"/>
                <w:rFonts w:hint="eastAsia" w:ascii="仿宋" w:hAnsi="仿宋" w:eastAsia="仿宋" w:cs="仿宋"/>
                <w:b w:val="0"/>
                <w:bCs w:val="0"/>
                <w:sz w:val="21"/>
                <w:szCs w:val="21"/>
              </w:rPr>
              <w:t>tidak akan dievaluasi</w:t>
            </w:r>
            <w:r>
              <w:rPr>
                <w:rStyle w:val="7"/>
                <w:rFonts w:hint="eastAsia" w:ascii="仿宋" w:hAnsi="仿宋" w:eastAsia="仿宋" w:cs="仿宋"/>
                <w:b w:val="0"/>
                <w:bCs w:val="0"/>
                <w:sz w:val="21"/>
                <w:szCs w:val="21"/>
                <w:lang w:val="en-US" w:eastAsia="zh-CN"/>
              </w:rPr>
              <w:t>.</w:t>
            </w:r>
          </w:p>
        </w:tc>
      </w:tr>
    </w:tbl>
    <w:p>
      <w:pPr>
        <w:widowControl/>
        <w:adjustRightInd w:val="0"/>
        <w:snapToGrid w:val="0"/>
        <w:spacing w:line="320" w:lineRule="exact"/>
        <w:textAlignment w:val="center"/>
        <w:rPr>
          <w:rStyle w:val="10"/>
          <w:rFonts w:hint="default" w:ascii="仿宋" w:hAnsi="仿宋" w:eastAsia="仿宋" w:cs="仿宋"/>
          <w:b w:val="0"/>
          <w:bCs/>
          <w:sz w:val="21"/>
          <w:szCs w:val="21"/>
          <w:lang w:bidi="ar"/>
        </w:rPr>
        <w:sectPr>
          <w:footerReference r:id="rId3" w:type="default"/>
          <w:pgSz w:w="11906" w:h="16838"/>
          <w:pgMar w:top="907" w:right="850" w:bottom="1134" w:left="1134" w:header="851" w:footer="992" w:gutter="0"/>
          <w:pgNumType w:fmt="decimal"/>
          <w:cols w:space="425" w:num="1"/>
          <w:docGrid w:type="lines" w:linePitch="312" w:charSpace="0"/>
        </w:sectPr>
      </w:pPr>
    </w:p>
    <w:p>
      <w:pPr>
        <w:widowControl/>
        <w:adjustRightInd w:val="0"/>
        <w:snapToGrid w:val="0"/>
        <w:spacing w:line="320" w:lineRule="exact"/>
        <w:textAlignment w:val="center"/>
        <w:rPr>
          <w:rStyle w:val="10"/>
          <w:rFonts w:hint="eastAsia"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三、报价表</w:t>
      </w:r>
    </w:p>
    <w:p>
      <w:pPr>
        <w:rPr>
          <w:rStyle w:val="10"/>
          <w:rFonts w:hint="default"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III. Formulir Penawaran</w:t>
      </w:r>
    </w:p>
    <w:tbl>
      <w:tblPr>
        <w:tblStyle w:val="5"/>
        <w:tblW w:w="13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865"/>
        <w:gridCol w:w="3192"/>
        <w:gridCol w:w="991"/>
        <w:gridCol w:w="792"/>
        <w:gridCol w:w="1032"/>
        <w:gridCol w:w="792"/>
        <w:gridCol w:w="1467"/>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72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序号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No. Seri</w:t>
            </w:r>
          </w:p>
        </w:tc>
        <w:tc>
          <w:tcPr>
            <w:tcW w:w="1865"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物资名称</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Nama Barang</w:t>
            </w:r>
          </w:p>
        </w:tc>
        <w:tc>
          <w:tcPr>
            <w:tcW w:w="31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规格/型号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Spesifikasi/Model</w:t>
            </w:r>
          </w:p>
        </w:tc>
        <w:tc>
          <w:tcPr>
            <w:tcW w:w="991"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单位</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Satuan</w:t>
            </w: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数量</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Jumlah</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 w:val="0"/>
                <w:bCs/>
                <w:color w:val="000000"/>
                <w:sz w:val="22"/>
                <w:szCs w:val="22"/>
                <w:lang w:bidi="ar"/>
              </w:rPr>
              <w:t>Harga Satuan (IDR)</w:t>
            </w: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合价（RP）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4"/>
                <w:rFonts w:hint="eastAsia" w:ascii="仿宋" w:hAnsi="仿宋" w:eastAsia="仿宋" w:cs="仿宋"/>
                <w:b w:val="0"/>
                <w:bCs/>
                <w:sz w:val="22"/>
                <w:szCs w:val="22"/>
                <w:lang w:bidi="ar"/>
              </w:rPr>
              <w:t>Harga Total (IDR)</w:t>
            </w:r>
          </w:p>
        </w:tc>
        <w:tc>
          <w:tcPr>
            <w:tcW w:w="1467" w:type="dxa"/>
            <w:vAlign w:val="top"/>
          </w:tcPr>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val="en-US" w:eastAsia="zh-CN" w:bidi="ar"/>
              </w:rPr>
            </w:pPr>
            <w:r>
              <w:rPr>
                <w:rStyle w:val="10"/>
                <w:rFonts w:hint="eastAsia" w:ascii="仿宋" w:hAnsi="仿宋" w:eastAsia="仿宋" w:cs="仿宋"/>
                <w:b w:val="0"/>
                <w:bCs/>
                <w:sz w:val="22"/>
                <w:szCs w:val="22"/>
                <w:vertAlign w:val="baseline"/>
                <w:lang w:val="en-US" w:eastAsia="zh-CN" w:bidi="ar"/>
              </w:rPr>
              <w:t>到货日期</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0"/>
                <w:rFonts w:hint="eastAsia" w:ascii="仿宋" w:hAnsi="仿宋" w:eastAsia="仿宋" w:cs="仿宋"/>
                <w:b w:val="0"/>
                <w:bCs/>
                <w:sz w:val="22"/>
                <w:szCs w:val="22"/>
                <w:vertAlign w:val="baseline"/>
                <w:lang w:val="en-US" w:eastAsia="zh-CN" w:bidi="ar"/>
              </w:rPr>
              <w:t>Tanggal kedatangan</w:t>
            </w:r>
          </w:p>
        </w:tc>
        <w:tc>
          <w:tcPr>
            <w:tcW w:w="3082" w:type="dxa"/>
            <w:vAlign w:val="center"/>
          </w:tcPr>
          <w:p>
            <w:pPr>
              <w:widowControl/>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备注</w:t>
            </w:r>
          </w:p>
          <w:p>
            <w:pPr>
              <w:widowControl/>
              <w:jc w:val="center"/>
              <w:textAlignment w:val="center"/>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rPr>
              <w:t>Catatan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镀锌钢管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pipa baja galvanis</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 xml:space="preserve">Φ76×4mm #20 钢 6 米/根，42KG/根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Φ76×4mm #20 baja 6 meter/pohon, 42KG/pohon</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KG</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1092</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碳钢90°弯头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Elbow 90° baja karbon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DN65</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碳钢45°弯头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Elbow 45° dari baja karbon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DN65</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抱箍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klem</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 xml:space="preserve">304不锈钢,宽12mm φ52-76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Stainless steel 304, lebar 12mm φ52-76</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金属膨胀螺栓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Baut ekspansi logam</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M16×80mm</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set</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镀锌钢管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pipa baja galvanis</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DN20 ×3mm#20 钢 6 米/根，12KG/根  DN20 ×3mm#20 baja 6 meter/pohon, 12KG/pohon</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KG</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480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碳钢90°弯头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Elbow 90° baja karbon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DN20</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碳钢45°弯头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Elbow 45° dari baja karbon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DN20</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碳钢三通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Tee baja karbon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DN20</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2026.09.30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高压连接片(压板)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Pelat koneksi tegangan tinggi (plat penekan)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JY1-2驼色   额定电压：660V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额定电流：24A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产品扭矩：1.5-1.8N/m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导线截面：2.5mm²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开孔间距：34-35mm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开孔大小：M10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适用于：三孔安装、中间有安装孔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JY1-2 warna unta Tegangan nominal: 660V Arus nominal: 24A Torsi produk: 1,5-1,8N/m Penampang kawat: 2,5mm² Jarak lubang pemasangan: 34-35mm Ukuran lubang: M10 Cocok untuk: pemasangan tiga lubang, dengan lubang pemasangan di tengah</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2026.11.30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3810</wp:posOffset>
                  </wp:positionH>
                  <wp:positionV relativeFrom="paragraph">
                    <wp:posOffset>186055</wp:posOffset>
                  </wp:positionV>
                  <wp:extent cx="1760855" cy="1146810"/>
                  <wp:effectExtent l="0" t="0" r="6985" b="11430"/>
                  <wp:wrapNone/>
                  <wp:docPr id="6"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_2"/>
                          <pic:cNvPicPr>
                            <a:picLocks noChangeAspect="1"/>
                          </pic:cNvPicPr>
                        </pic:nvPicPr>
                        <pic:blipFill>
                          <a:blip r:embed="rId5"/>
                          <a:srcRect t="1954"/>
                          <a:stretch>
                            <a:fillRect/>
                          </a:stretch>
                        </pic:blipFill>
                        <pic:spPr>
                          <a:xfrm>
                            <a:off x="16405225" y="16023590"/>
                            <a:ext cx="1760855" cy="114681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 xml:space="preserve"> 二位短接条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Jalur penghubung dua pin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 xml:space="preserve">FBI-2-5 圆柱套筒高9.5MM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FBI-2-5 Selongsong Silinder Tinggi 9,5MM</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2026.11.30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93345</wp:posOffset>
                  </wp:positionH>
                  <wp:positionV relativeFrom="paragraph">
                    <wp:posOffset>89535</wp:posOffset>
                  </wp:positionV>
                  <wp:extent cx="1671955" cy="758190"/>
                  <wp:effectExtent l="0" t="0" r="4445" b="3810"/>
                  <wp:wrapNone/>
                  <wp:docPr id="16"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3"/>
                          <pic:cNvPicPr>
                            <a:picLocks noChangeAspect="1"/>
                          </pic:cNvPicPr>
                        </pic:nvPicPr>
                        <pic:blipFill>
                          <a:blip r:embed="rId6"/>
                          <a:stretch>
                            <a:fillRect/>
                          </a:stretch>
                        </pic:blipFill>
                        <pic:spPr>
                          <a:xfrm>
                            <a:off x="15151100" y="19757390"/>
                            <a:ext cx="1671955" cy="75819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开放式多路输出开关电源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Catu daya saklar multi-keluaran terbuka</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 xml:space="preserve"> XP Power SDS60UQ01</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块potong</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2026.11.30</w:t>
            </w:r>
          </w:p>
        </w:tc>
        <w:tc>
          <w:tcPr>
            <w:tcW w:w="3082" w:type="dxa"/>
            <w:shd w:val="clear" w:color="auto" w:fill="auto"/>
            <w:vAlign w:val="bottom"/>
          </w:tcPr>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906145</wp:posOffset>
                  </wp:positionH>
                  <wp:positionV relativeFrom="paragraph">
                    <wp:posOffset>42545</wp:posOffset>
                  </wp:positionV>
                  <wp:extent cx="652145" cy="929005"/>
                  <wp:effectExtent l="0" t="0" r="14605" b="4445"/>
                  <wp:wrapNone/>
                  <wp:docPr id="18" name="ID_949E714E094045998E651BB471BC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D_949E714E094045998E651BB471BC2395"/>
                          <pic:cNvPicPr>
                            <a:picLocks noChangeAspect="1"/>
                          </pic:cNvPicPr>
                        </pic:nvPicPr>
                        <pic:blipFill>
                          <a:blip r:embed="rId7"/>
                          <a:stretch>
                            <a:fillRect/>
                          </a:stretch>
                        </pic:blipFill>
                        <pic:spPr>
                          <a:xfrm>
                            <a:off x="15591790" y="20493990"/>
                            <a:ext cx="652145" cy="929005"/>
                          </a:xfrm>
                          <a:prstGeom prst="rect">
                            <a:avLst/>
                          </a:prstGeom>
                          <a:noFill/>
                          <a:ln w="9525">
                            <a:noFill/>
                          </a:ln>
                        </pic:spPr>
                      </pic:pic>
                    </a:graphicData>
                  </a:graphic>
                </wp:anchor>
              </w:drawing>
            </w: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104140</wp:posOffset>
                  </wp:positionH>
                  <wp:positionV relativeFrom="paragraph">
                    <wp:posOffset>31750</wp:posOffset>
                  </wp:positionV>
                  <wp:extent cx="618490" cy="930910"/>
                  <wp:effectExtent l="0" t="0" r="10160" b="2540"/>
                  <wp:wrapNone/>
                  <wp:docPr id="17" name="ID_3080CA90364145E6908E0DFBC45E4FE1" descr="e75827c917d9089b3ab8fe9a4b2d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D_3080CA90364145E6908E0DFBC45E4FE1" descr="e75827c917d9089b3ab8fe9a4b2d8993"/>
                          <pic:cNvPicPr>
                            <a:picLocks noChangeAspect="1"/>
                          </pic:cNvPicPr>
                        </pic:nvPicPr>
                        <pic:blipFill>
                          <a:blip r:embed="rId8"/>
                          <a:stretch>
                            <a:fillRect/>
                          </a:stretch>
                        </pic:blipFill>
                        <pic:spPr>
                          <a:xfrm>
                            <a:off x="14832965" y="20448905"/>
                            <a:ext cx="618490" cy="930910"/>
                          </a:xfrm>
                          <a:prstGeom prst="rect">
                            <a:avLst/>
                          </a:prstGeom>
                          <a:noFill/>
                          <a:ln w="9525">
                            <a:noFill/>
                          </a:ln>
                        </pic:spPr>
                      </pic:pic>
                    </a:graphicData>
                  </a:graphic>
                </wp:anchor>
              </w:drawing>
            </w:r>
          </w:p>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center"/>
              <w:textAlignment w:val="bottom"/>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原厂采购：大连捷盛自动化科技公司原，非原厂,尺寸和功能可能与现场设备无法适配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Pembelian dari pabrik asli: Asli dari Dalian Jiesheng Automation Technology Company, bukan dari pabrik asli, ukuran dan fungsinya mungkin tidak cocok dengan peralatan di lokasi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导轨开关电源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Catu daya saklar rel DIN</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MDR-60-24 输出24DC/2.5A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MDR-60-24 Output 24DC/2,5A</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buah</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2026.11.30</w:t>
            </w:r>
          </w:p>
        </w:tc>
        <w:tc>
          <w:tcPr>
            <w:tcW w:w="3082" w:type="dxa"/>
            <w:shd w:val="clear" w:color="auto" w:fill="auto"/>
            <w:vAlign w:val="bottom"/>
          </w:tcPr>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197485</wp:posOffset>
                  </wp:positionH>
                  <wp:positionV relativeFrom="paragraph">
                    <wp:posOffset>41910</wp:posOffset>
                  </wp:positionV>
                  <wp:extent cx="400685" cy="1252855"/>
                  <wp:effectExtent l="0" t="0" r="18415" b="4445"/>
                  <wp:wrapNone/>
                  <wp:docPr id="19" name="ID_E07068BB5CF34F71A330ED614B72A6B7" descr="明纬导轨开关电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D_E07068BB5CF34F71A330ED614B72A6B7" descr="明纬导轨开关电源"/>
                          <pic:cNvPicPr>
                            <a:picLocks noChangeAspect="1"/>
                          </pic:cNvPicPr>
                        </pic:nvPicPr>
                        <pic:blipFill>
                          <a:blip r:embed="rId9"/>
                          <a:stretch>
                            <a:fillRect/>
                          </a:stretch>
                        </pic:blipFill>
                        <pic:spPr>
                          <a:xfrm>
                            <a:off x="15004415" y="23433405"/>
                            <a:ext cx="400685" cy="1252855"/>
                          </a:xfrm>
                          <a:prstGeom prst="rect">
                            <a:avLst/>
                          </a:prstGeom>
                          <a:noFill/>
                          <a:ln w="9525">
                            <a:noFill/>
                          </a:ln>
                        </pic:spPr>
                      </pic:pic>
                    </a:graphicData>
                  </a:graphic>
                </wp:anchor>
              </w:drawing>
            </w:r>
          </w:p>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center"/>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center"/>
              <w:textAlignment w:val="bottom"/>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原厂采购：明纬公司，非原厂,尺寸和功能可能与现场设备无法适配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Pembelian dari pabrikan asli: Perusahaan Mean Well, bukan pabrikan asli, ukuran dan fungsinya mungkin tidak cocok dengan peralatan di lokasi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865" w:type="dxa"/>
            <w:shd w:val="clear" w:color="auto" w:fill="auto"/>
            <w:vAlign w:val="center"/>
          </w:tcPr>
          <w:p>
            <w:pPr>
              <w:keepNext w:val="0"/>
              <w:keepLines w:val="0"/>
              <w:widowControl/>
              <w:suppressLineNumbers w:val="0"/>
              <w:jc w:val="left"/>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316不锈钢内螺纹二片式球阀Katup bola dua potong dengan ulir dalam dari stainless steel 316</w:t>
            </w:r>
          </w:p>
        </w:tc>
        <w:tc>
          <w:tcPr>
            <w:tcW w:w="31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iCs w:val="0"/>
                <w:color w:val="000000"/>
                <w:kern w:val="0"/>
                <w:sz w:val="24"/>
                <w:szCs w:val="24"/>
                <w:u w:val="none"/>
                <w:lang w:val="en-US" w:eastAsia="zh-CN" w:bidi="ar"/>
              </w:rPr>
              <w:t xml:space="preserve">DN25（1"）  </w:t>
            </w:r>
          </w:p>
        </w:tc>
        <w:tc>
          <w:tcPr>
            <w:tcW w:w="9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iCs w:val="0"/>
                <w:color w:val="000000"/>
                <w:kern w:val="0"/>
                <w:sz w:val="24"/>
                <w:szCs w:val="24"/>
                <w:u w:val="none"/>
                <w:lang w:val="en-US" w:eastAsia="zh-CN" w:bidi="ar"/>
              </w:rPr>
              <w:t>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barang</w:t>
            </w:r>
          </w:p>
        </w:tc>
        <w:tc>
          <w:tcPr>
            <w:tcW w:w="79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2026.10.30</w:t>
            </w:r>
          </w:p>
        </w:tc>
        <w:tc>
          <w:tcPr>
            <w:tcW w:w="3082"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413385</wp:posOffset>
                  </wp:positionH>
                  <wp:positionV relativeFrom="paragraph">
                    <wp:posOffset>460375</wp:posOffset>
                  </wp:positionV>
                  <wp:extent cx="798195" cy="861695"/>
                  <wp:effectExtent l="0" t="0" r="1905" b="14605"/>
                  <wp:wrapNone/>
                  <wp:docPr id="20"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6"/>
                          <pic:cNvPicPr>
                            <a:picLocks noChangeAspect="1"/>
                          </pic:cNvPicPr>
                        </pic:nvPicPr>
                        <pic:blipFill>
                          <a:blip r:embed="rId10"/>
                          <a:stretch>
                            <a:fillRect/>
                          </a:stretch>
                        </pic:blipFill>
                        <pic:spPr>
                          <a:xfrm>
                            <a:off x="15126970" y="26064845"/>
                            <a:ext cx="798195" cy="861695"/>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1865"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输送皮带冷硫化加强型修补胶条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（带织物层）Belt konveyor karet perbaikan tipe penguatan vulkanisasi dingin (dengan lapisan kain)</w:t>
            </w:r>
          </w:p>
        </w:tc>
        <w:tc>
          <w:tcPr>
            <w:tcW w:w="31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100*10000mm     10000mm/卷  到场要求大于9个月保质期。100*10000mm 10000mm/roll Persyaratan kedatangan lebih dari 9 bulan masa simpan.</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卷gulungan</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2026.12.30</w:t>
            </w:r>
          </w:p>
        </w:tc>
        <w:tc>
          <w:tcPr>
            <w:tcW w:w="308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r>
              <w:rPr>
                <w:rFonts w:hint="eastAsia" w:ascii="仿宋" w:hAnsi="仿宋" w:eastAsia="仿宋" w:cs="仿宋"/>
                <w:i w:val="0"/>
                <w:iCs w:val="0"/>
                <w:color w:val="000000"/>
                <w:kern w:val="0"/>
                <w:sz w:val="24"/>
                <w:szCs w:val="24"/>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59690</wp:posOffset>
                  </wp:positionH>
                  <wp:positionV relativeFrom="paragraph">
                    <wp:posOffset>176530</wp:posOffset>
                  </wp:positionV>
                  <wp:extent cx="1543685" cy="1269365"/>
                  <wp:effectExtent l="0" t="0" r="18415" b="6985"/>
                  <wp:wrapNone/>
                  <wp:docPr id="21"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_7"/>
                          <pic:cNvPicPr>
                            <a:picLocks noChangeAspect="1"/>
                          </pic:cNvPicPr>
                        </pic:nvPicPr>
                        <pic:blipFill>
                          <a:blip r:embed="rId11"/>
                          <a:stretch>
                            <a:fillRect/>
                          </a:stretch>
                        </pic:blipFill>
                        <pic:spPr>
                          <a:xfrm>
                            <a:off x="9357995" y="984885"/>
                            <a:ext cx="1543685" cy="1269365"/>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输送带冷硫化粘接剂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Perekat vulkanisasi dingin untuk sabuk konveyor</w:t>
            </w:r>
          </w:p>
        </w:tc>
        <w:tc>
          <w:tcPr>
            <w:tcW w:w="31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双组份，1kg / 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Dua komponen, 1kg / set</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set</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2026.12.30</w:t>
            </w:r>
          </w:p>
        </w:tc>
        <w:tc>
          <w:tcPr>
            <w:tcW w:w="308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r>
              <w:rPr>
                <w:rFonts w:hint="eastAsia" w:ascii="仿宋" w:hAnsi="仿宋" w:eastAsia="仿宋" w:cs="仿宋"/>
                <w:i w:val="0"/>
                <w:iCs w:val="0"/>
                <w:color w:val="000000"/>
                <w:kern w:val="0"/>
                <w:sz w:val="24"/>
                <w:szCs w:val="24"/>
                <w:u w:val="none"/>
                <w:lang w:val="en-US" w:eastAsia="zh-CN" w:bidi="ar"/>
              </w:rPr>
              <w:t>璜时得、索迈、贝索斯，或同等品牌。适配 EP 聚酯帆布输送带，常温冷硫化粘接；用于皮带冷接头、滚筒包胶、粘贴修补条；耐海边盐雾潮湿环境；产品未开封原厂保质期不少于 12 个月，货物到达现场验收时剩余保质期≥9 个月，进口高端产品允许原厂保质期按其说明书执行。Huangshi, Somai, Bezos, atau merek setara.Cocok untuk sabuk konveyor kanvas polyester EP, merekat dingin pada suhu normal; digunakan untuk sambungan dingin sabuk, pelapisan roller, menempelkan strip perbaikan; tahan terhadap lingkungan lembap dan kabut garam di tepi laut; masa simpan produk yang belum dibuka minimal 12 bulan, saat barang tiba di lokasi penerimaan harus tersisa masa simpan ≥9 bulan, untuk produk impor kelas atas masa simpan mengikuti keterangan pabrik.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输送带热硫化胶浆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Pasta karet vulkanisasi panas untuk konveyor</w:t>
            </w:r>
          </w:p>
        </w:tc>
        <w:tc>
          <w:tcPr>
            <w:tcW w:w="31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1kg / 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1kg / tong</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ember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2026.12.30</w:t>
            </w:r>
          </w:p>
        </w:tc>
        <w:tc>
          <w:tcPr>
            <w:tcW w:w="308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r>
              <w:rPr>
                <w:rFonts w:hint="eastAsia" w:ascii="仿宋" w:hAnsi="仿宋" w:eastAsia="仿宋" w:cs="仿宋"/>
                <w:i w:val="0"/>
                <w:iCs w:val="0"/>
                <w:color w:val="000000"/>
                <w:kern w:val="0"/>
                <w:sz w:val="24"/>
                <w:szCs w:val="24"/>
                <w:u w:val="none"/>
                <w:lang w:val="en-US" w:eastAsia="zh-CN" w:bidi="ar"/>
              </w:rPr>
              <w:t>乐雕、美诺力拓、卫力固，或同等品牌。EP 聚酯帆布输送带专用，适配硫化温度 145℃；对聚酯织物渗透力强，防止接头分层脱层；配合芯胶、面胶使用；产品未开封原厂保质期不少于 12 个月，货物到达现场验收时剩余保质期≥9 个月，进口高端产品允许原厂保质期按其说明书执行。LeDiao, Mino Rituo, WeiLiGu, atau merek setara.EP sabuk konveyor kanvas poliester khusus, cocok untuk suhu vulkanisasi 145℃; memiliki daya penetrasi yang kuat pada kain poliester, mencegah lapisan sambungan terkelupas; digunakan bersama karet inti dan karet permukaan; produk yang belum dibuka memiliki masa simpan pabrik minimal 12 bulan, saat tiba di lokasi dan diperiksa harus tersisa masa simpan ≥9 bulan, untuk produk impor premium masa simpan pabrik dapat mengikuti petunjuk pabrik.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输送带橡胶修补剂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Perekat karet untuk sabuk konveyor</w:t>
            </w:r>
          </w:p>
        </w:tc>
        <w:tc>
          <w:tcPr>
            <w:tcW w:w="31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双组份，500g / 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Dua komponen, 500g / set</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set</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2026.12.30</w:t>
            </w:r>
          </w:p>
        </w:tc>
        <w:tc>
          <w:tcPr>
            <w:tcW w:w="308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r>
              <w:rPr>
                <w:rFonts w:hint="eastAsia" w:ascii="仿宋" w:hAnsi="仿宋" w:eastAsia="仿宋" w:cs="仿宋"/>
                <w:i w:val="0"/>
                <w:iCs w:val="0"/>
                <w:color w:val="000000"/>
                <w:kern w:val="0"/>
                <w:sz w:val="24"/>
                <w:szCs w:val="24"/>
                <w:u w:val="none"/>
                <w:lang w:val="en-US" w:eastAsia="zh-CN" w:bidi="ar"/>
              </w:rPr>
              <w:t>可赛新、亿尚翔、威立固特，或同等品牌。适用于 EP 输送带坑洞、纵向撕裂填补；高弹性耐磨；露天输煤皮带抢修使用；产品未开封原厂保质期不少于 12 个月，货物到达现场验收时剩余保质期≥9 个月，进口高端产品允许原厂保质期按其说明书执行。Kesai Xin, Yishang Xiang, Weiligu Te, atau merek setara.Cocok untuk memperbaiki lubang dan sobekan memanjang pada sabuk konveyor EP; elastisitas tinggi dan tahan aus; digunakan untuk perbaikan cepat sabuk konveyor batu bara di luar ruangan; produk yang belum dibuka memiliki masa garansi pabrik minimal 12 bulan, saat barang diterima lapangan sisa masa garansi ≥9 bulan, produk impor kelas atas mengikuti ketentuan masa garansi sesuai petunjuk pabrik.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槽钢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baja kanal</w:t>
            </w:r>
          </w:p>
        </w:tc>
        <w:tc>
          <w:tcPr>
            <w:tcW w:w="319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 100×48×5.3mm Q235    6m/根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 100×48×5,3mm Q235 6m/per batang</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akar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2026.12.30 </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角铁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Besi siku</w:t>
            </w:r>
          </w:p>
        </w:tc>
        <w:tc>
          <w:tcPr>
            <w:tcW w:w="319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40×40×4mm Q235  6m/根40×40×4mm Q235 6m/per batang</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akar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2026.12.30 </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碳钢钢板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plat baja karbon</w:t>
            </w:r>
          </w:p>
        </w:tc>
        <w:tc>
          <w:tcPr>
            <w:tcW w:w="319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1200×2400×16mm  Q235  </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selembar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2026.12.30 </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碳钢钢板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plat baja karbon</w:t>
            </w:r>
          </w:p>
        </w:tc>
        <w:tc>
          <w:tcPr>
            <w:tcW w:w="319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1200×2400×20mm  Q235  </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selembar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2026.12.30 </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2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865"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碳钢钢板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plat baja karbon</w:t>
            </w:r>
          </w:p>
        </w:tc>
        <w:tc>
          <w:tcPr>
            <w:tcW w:w="3192"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1200×2400×30mm  Q235  </w:t>
            </w:r>
          </w:p>
        </w:tc>
        <w:tc>
          <w:tcPr>
            <w:tcW w:w="9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selembar</w:t>
            </w:r>
          </w:p>
        </w:tc>
        <w:tc>
          <w:tcPr>
            <w:tcW w:w="79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03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792"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6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2026.12.30 </w:t>
            </w:r>
          </w:p>
        </w:tc>
        <w:tc>
          <w:tcPr>
            <w:tcW w:w="3082"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single" w:color="000000" w:sz="4" w:space="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599"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小计 Subtotal</w:t>
            </w:r>
          </w:p>
        </w:tc>
        <w:tc>
          <w:tcPr>
            <w:tcW w:w="534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599" w:type="dxa"/>
            <w:gridSpan w:val="6"/>
            <w:shd w:val="clear" w:color="auto" w:fill="auto"/>
            <w:vAlign w:val="center"/>
          </w:tcPr>
          <w:p>
            <w:pPr>
              <w:rPr>
                <w:rStyle w:val="10"/>
                <w:rFonts w:hint="eastAsia" w:ascii="仿宋" w:hAnsi="仿宋" w:eastAsia="仿宋" w:cs="仿宋"/>
                <w:b w:val="0"/>
                <w:bCs/>
                <w:sz w:val="22"/>
                <w:szCs w:val="22"/>
                <w:vertAlign w:val="baseline"/>
                <w:lang w:bidi="ar"/>
              </w:rPr>
            </w:pPr>
            <w:r>
              <w:rPr>
                <w:rFonts w:hint="eastAsia" w:ascii="仿宋" w:hAnsi="仿宋" w:eastAsia="仿宋" w:cs="仿宋"/>
                <w:color w:val="000000"/>
                <w:kern w:val="0"/>
                <w:sz w:val="22"/>
                <w:szCs w:val="22"/>
                <w:vertAlign w:val="baseline"/>
                <w:lang w:val="en-US" w:eastAsia="zh-CN" w:bidi="ar"/>
              </w:rPr>
              <w:t>PPN11%</w:t>
            </w:r>
          </w:p>
        </w:tc>
        <w:tc>
          <w:tcPr>
            <w:tcW w:w="534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599"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总计 Total</w:t>
            </w:r>
          </w:p>
        </w:tc>
        <w:tc>
          <w:tcPr>
            <w:tcW w:w="534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59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交货期</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Pengiriman tepat waktu</w:t>
            </w:r>
          </w:p>
        </w:tc>
        <w:tc>
          <w:tcPr>
            <w:tcW w:w="4183" w:type="dxa"/>
            <w:gridSpan w:val="2"/>
            <w:shd w:val="clear" w:color="auto" w:fill="auto"/>
            <w:vAlign w:val="center"/>
          </w:tcPr>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p>
        </w:tc>
        <w:tc>
          <w:tcPr>
            <w:tcW w:w="2616" w:type="dxa"/>
            <w:gridSpan w:val="3"/>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供应商名称</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Nama Pemasok</w:t>
            </w:r>
          </w:p>
        </w:tc>
        <w:tc>
          <w:tcPr>
            <w:tcW w:w="4549" w:type="dxa"/>
            <w:gridSpan w:val="2"/>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59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联系地址</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Alamat Kontak</w:t>
            </w:r>
          </w:p>
        </w:tc>
        <w:tc>
          <w:tcPr>
            <w:tcW w:w="11348" w:type="dxa"/>
            <w:gridSpan w:val="7"/>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trPr>
        <w:tc>
          <w:tcPr>
            <w:tcW w:w="13940" w:type="dxa"/>
            <w:gridSpan w:val="9"/>
          </w:tcPr>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报价人：              （签字）                联系方式：</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Penyedia Penawaran:  (Tanda Tangan)              Rincian Kontak:</w:t>
            </w:r>
          </w:p>
          <w:p>
            <w:pPr>
              <w:widowControl/>
              <w:adjustRightInd w:val="0"/>
              <w:snapToGrid w:val="0"/>
              <w:spacing w:line="240" w:lineRule="auto"/>
              <w:ind w:firstLine="4620" w:firstLineChars="2100"/>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报价单位：            （盖章）</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Organisasi Penawaran:            (Stempel)</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备注：1. 报价人应签字盖章扫描后上传到报价专用邮箱。</w:t>
            </w:r>
          </w:p>
          <w:p>
            <w:pPr>
              <w:pStyle w:val="17"/>
              <w:widowControl/>
              <w:numPr>
                <w:ilvl w:val="0"/>
                <w:numId w:val="1"/>
              </w:numPr>
              <w:adjustRightInd w:val="0"/>
              <w:snapToGrid w:val="0"/>
              <w:spacing w:line="240" w:lineRule="auto"/>
              <w:ind w:hanging="153"/>
              <w:jc w:val="left"/>
              <w:textAlignment w:val="top"/>
              <w:rPr>
                <w:rStyle w:val="10"/>
                <w:rFonts w:hint="eastAsia" w:ascii="仿宋" w:hAnsi="仿宋" w:eastAsia="仿宋" w:cs="仿宋"/>
                <w:b w:val="0"/>
                <w:bCs/>
                <w:sz w:val="22"/>
                <w:szCs w:val="22"/>
                <w:highlight w:val="none"/>
                <w:lang w:bidi="ar"/>
              </w:rPr>
            </w:pPr>
            <w:r>
              <w:rPr>
                <w:rStyle w:val="10"/>
                <w:rFonts w:hint="eastAsia" w:ascii="仿宋" w:hAnsi="仿宋" w:eastAsia="仿宋" w:cs="仿宋"/>
                <w:b w:val="0"/>
                <w:bCs/>
                <w:sz w:val="22"/>
                <w:szCs w:val="22"/>
                <w:highlight w:val="none"/>
                <w:lang w:bidi="ar"/>
              </w:rPr>
              <w:t>报价人应附上营业执照、税务登记证、法人身份证明文件扫描件</w:t>
            </w:r>
            <w:r>
              <w:rPr>
                <w:rStyle w:val="10"/>
                <w:rFonts w:hint="eastAsia" w:ascii="仿宋" w:hAnsi="仿宋" w:eastAsia="仿宋" w:cs="仿宋"/>
                <w:b w:val="0"/>
                <w:bCs/>
                <w:sz w:val="22"/>
                <w:szCs w:val="22"/>
                <w:highlight w:val="none"/>
                <w:lang w:val="en-US" w:eastAsia="zh-CN" w:bidi="ar"/>
              </w:rPr>
              <w:t>。</w:t>
            </w:r>
          </w:p>
          <w:p>
            <w:pPr>
              <w:widowControl/>
              <w:adjustRightInd w:val="0"/>
              <w:snapToGrid w:val="0"/>
              <w:spacing w:line="240" w:lineRule="auto"/>
              <w:ind w:left="993" w:hanging="993"/>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Catatan: 1. Penyedia penawaran wajib menandatangani dan menempelkan stempel, kemudian memindai dan mengunggah dokumen ke alamat email penawaran yang ditentukan.</w:t>
            </w:r>
          </w:p>
          <w:p>
            <w:pPr>
              <w:numPr>
                <w:ilvl w:val="0"/>
                <w:numId w:val="2"/>
              </w:numPr>
              <w:ind w:left="630" w:leftChars="0" w:firstLine="0" w:firstLineChars="0"/>
              <w:rPr>
                <w:rStyle w:val="10"/>
                <w:rFonts w:hint="eastAsia" w:ascii="仿宋" w:hAnsi="仿宋" w:eastAsia="仿宋" w:cs="仿宋"/>
                <w:b w:val="0"/>
                <w:bCs/>
                <w:sz w:val="22"/>
                <w:szCs w:val="22"/>
                <w:lang w:eastAsia="zh-CN" w:bidi="ar"/>
              </w:rPr>
            </w:pPr>
            <w:r>
              <w:rPr>
                <w:rFonts w:hint="eastAsia" w:ascii="仿宋" w:hAnsi="仿宋" w:eastAsia="仿宋" w:cs="仿宋"/>
                <w:sz w:val="22"/>
                <w:szCs w:val="22"/>
              </w:rPr>
              <w:t>Penyedia/Penawar wajib melampirkan hasil pemindaian (scan) Izin Usaha, Surat Pendaftaran Pajak, serta dokumen identitas Direktur/Penanggung Jawab Perusahaan.</w:t>
            </w:r>
          </w:p>
        </w:tc>
      </w:tr>
    </w:tbl>
    <w:p/>
    <w:sectPr>
      <w:pgSz w:w="16838" w:h="11906" w:orient="landscape"/>
      <w:pgMar w:top="1134" w:right="907" w:bottom="85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A73EE"/>
    <w:multiLevelType w:val="multilevel"/>
    <w:tmpl w:val="153A73E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B8E672"/>
    <w:multiLevelType w:val="singleLevel"/>
    <w:tmpl w:val="7FB8E672"/>
    <w:lvl w:ilvl="0" w:tentative="0">
      <w:start w:val="2"/>
      <w:numFmt w:val="decimal"/>
      <w:suff w:val="space"/>
      <w:lvlText w:val="%1."/>
      <w:lvlJc w:val="left"/>
      <w:pPr>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DGxMLI0MzIyNLQ0NzVR0lEKTi0uzszPAykwrAUAeCGWtCwAAAA="/>
  </w:docVars>
  <w:rsids>
    <w:rsidRoot w:val="00172A27"/>
    <w:rsid w:val="000B5FD3"/>
    <w:rsid w:val="00221200"/>
    <w:rsid w:val="002752BF"/>
    <w:rsid w:val="003C64D4"/>
    <w:rsid w:val="00843864"/>
    <w:rsid w:val="008D6C82"/>
    <w:rsid w:val="00CC18EC"/>
    <w:rsid w:val="01B35DB0"/>
    <w:rsid w:val="01CB13C4"/>
    <w:rsid w:val="01E63F21"/>
    <w:rsid w:val="020170C9"/>
    <w:rsid w:val="027408D5"/>
    <w:rsid w:val="028D7421"/>
    <w:rsid w:val="03A32673"/>
    <w:rsid w:val="03C90751"/>
    <w:rsid w:val="03CF3EC3"/>
    <w:rsid w:val="03DF209B"/>
    <w:rsid w:val="03F30484"/>
    <w:rsid w:val="045A2629"/>
    <w:rsid w:val="04967979"/>
    <w:rsid w:val="049B3F70"/>
    <w:rsid w:val="051819FB"/>
    <w:rsid w:val="057406C0"/>
    <w:rsid w:val="05853357"/>
    <w:rsid w:val="05AA3D50"/>
    <w:rsid w:val="06243F9E"/>
    <w:rsid w:val="0653675F"/>
    <w:rsid w:val="06562220"/>
    <w:rsid w:val="066C6A06"/>
    <w:rsid w:val="07EF30A5"/>
    <w:rsid w:val="08173489"/>
    <w:rsid w:val="08812760"/>
    <w:rsid w:val="08E20F4C"/>
    <w:rsid w:val="090C1532"/>
    <w:rsid w:val="09CC48D4"/>
    <w:rsid w:val="0A0E320D"/>
    <w:rsid w:val="0A4F3E67"/>
    <w:rsid w:val="0B9D49A5"/>
    <w:rsid w:val="0BE42122"/>
    <w:rsid w:val="0C4A688F"/>
    <w:rsid w:val="0C8359D5"/>
    <w:rsid w:val="0CC03B03"/>
    <w:rsid w:val="0CCA74C4"/>
    <w:rsid w:val="0CD33738"/>
    <w:rsid w:val="0CED317F"/>
    <w:rsid w:val="0D0F17AD"/>
    <w:rsid w:val="0D4E62F0"/>
    <w:rsid w:val="0DEB1103"/>
    <w:rsid w:val="0DF929B9"/>
    <w:rsid w:val="0E3E3EBC"/>
    <w:rsid w:val="0E547877"/>
    <w:rsid w:val="0EBC0BA3"/>
    <w:rsid w:val="0F9368AD"/>
    <w:rsid w:val="1061572E"/>
    <w:rsid w:val="1158131F"/>
    <w:rsid w:val="11C36456"/>
    <w:rsid w:val="11C378C0"/>
    <w:rsid w:val="11E44E89"/>
    <w:rsid w:val="127F5B71"/>
    <w:rsid w:val="130909AC"/>
    <w:rsid w:val="13AA3777"/>
    <w:rsid w:val="13E50451"/>
    <w:rsid w:val="144B2D85"/>
    <w:rsid w:val="149A4B2E"/>
    <w:rsid w:val="14DD2694"/>
    <w:rsid w:val="152F44B6"/>
    <w:rsid w:val="166511CC"/>
    <w:rsid w:val="16B139CA"/>
    <w:rsid w:val="16D176EA"/>
    <w:rsid w:val="17B4244C"/>
    <w:rsid w:val="180D0119"/>
    <w:rsid w:val="1818775C"/>
    <w:rsid w:val="193E0575"/>
    <w:rsid w:val="19824B51"/>
    <w:rsid w:val="19915AB8"/>
    <w:rsid w:val="19D95947"/>
    <w:rsid w:val="1A0D7A29"/>
    <w:rsid w:val="1AA706BF"/>
    <w:rsid w:val="1AB353F0"/>
    <w:rsid w:val="1BB62083"/>
    <w:rsid w:val="1C771079"/>
    <w:rsid w:val="1CDC4D94"/>
    <w:rsid w:val="1D3D7951"/>
    <w:rsid w:val="1DD60F22"/>
    <w:rsid w:val="1E217D91"/>
    <w:rsid w:val="1E2A3595"/>
    <w:rsid w:val="1E3E5783"/>
    <w:rsid w:val="1EB5586B"/>
    <w:rsid w:val="1F3E5511"/>
    <w:rsid w:val="1F5E1D07"/>
    <w:rsid w:val="1F66292D"/>
    <w:rsid w:val="1F7246C2"/>
    <w:rsid w:val="1F772453"/>
    <w:rsid w:val="1FBF471E"/>
    <w:rsid w:val="216E0249"/>
    <w:rsid w:val="21DD1C2D"/>
    <w:rsid w:val="22050570"/>
    <w:rsid w:val="226A1E01"/>
    <w:rsid w:val="22792C4A"/>
    <w:rsid w:val="22A84DB7"/>
    <w:rsid w:val="22E71536"/>
    <w:rsid w:val="23173CEB"/>
    <w:rsid w:val="23B00E44"/>
    <w:rsid w:val="2441333F"/>
    <w:rsid w:val="24B54551"/>
    <w:rsid w:val="25290CCB"/>
    <w:rsid w:val="253F1AE2"/>
    <w:rsid w:val="256C03D0"/>
    <w:rsid w:val="25B65395"/>
    <w:rsid w:val="25E02FB7"/>
    <w:rsid w:val="261F587A"/>
    <w:rsid w:val="26255B2B"/>
    <w:rsid w:val="276A1679"/>
    <w:rsid w:val="27903299"/>
    <w:rsid w:val="27C24E65"/>
    <w:rsid w:val="28061543"/>
    <w:rsid w:val="284D03C6"/>
    <w:rsid w:val="29841D5D"/>
    <w:rsid w:val="29876599"/>
    <w:rsid w:val="29B375F9"/>
    <w:rsid w:val="2A136040"/>
    <w:rsid w:val="2A9B4EE9"/>
    <w:rsid w:val="2AF91A90"/>
    <w:rsid w:val="2B6D09CA"/>
    <w:rsid w:val="2BC7318B"/>
    <w:rsid w:val="2BE12066"/>
    <w:rsid w:val="2C51664C"/>
    <w:rsid w:val="2C5E6FB2"/>
    <w:rsid w:val="2E202611"/>
    <w:rsid w:val="2F061063"/>
    <w:rsid w:val="2F8C0199"/>
    <w:rsid w:val="2F911241"/>
    <w:rsid w:val="2FBA5391"/>
    <w:rsid w:val="2FC85622"/>
    <w:rsid w:val="30231D9C"/>
    <w:rsid w:val="30236782"/>
    <w:rsid w:val="30424AD4"/>
    <w:rsid w:val="30AD2C64"/>
    <w:rsid w:val="30E75315"/>
    <w:rsid w:val="30EC64AC"/>
    <w:rsid w:val="319F4902"/>
    <w:rsid w:val="32311970"/>
    <w:rsid w:val="3286210F"/>
    <w:rsid w:val="329C6082"/>
    <w:rsid w:val="33373101"/>
    <w:rsid w:val="348C0022"/>
    <w:rsid w:val="34917163"/>
    <w:rsid w:val="34D524C1"/>
    <w:rsid w:val="35332209"/>
    <w:rsid w:val="35C44D62"/>
    <w:rsid w:val="35F32905"/>
    <w:rsid w:val="36106493"/>
    <w:rsid w:val="361A6CEA"/>
    <w:rsid w:val="36372762"/>
    <w:rsid w:val="363B624D"/>
    <w:rsid w:val="364352C1"/>
    <w:rsid w:val="367525D1"/>
    <w:rsid w:val="36794B8A"/>
    <w:rsid w:val="3727044B"/>
    <w:rsid w:val="372B52F0"/>
    <w:rsid w:val="3790401A"/>
    <w:rsid w:val="37E14762"/>
    <w:rsid w:val="37E92C71"/>
    <w:rsid w:val="37F8DC07"/>
    <w:rsid w:val="38144C3A"/>
    <w:rsid w:val="38156A08"/>
    <w:rsid w:val="382829FC"/>
    <w:rsid w:val="38932731"/>
    <w:rsid w:val="38A30FCB"/>
    <w:rsid w:val="38BC4F13"/>
    <w:rsid w:val="38CD0FBF"/>
    <w:rsid w:val="38EA5886"/>
    <w:rsid w:val="39202DE3"/>
    <w:rsid w:val="393078E0"/>
    <w:rsid w:val="394D79ED"/>
    <w:rsid w:val="396664DF"/>
    <w:rsid w:val="39C32433"/>
    <w:rsid w:val="39E073C1"/>
    <w:rsid w:val="39EB4EAC"/>
    <w:rsid w:val="3A377DD3"/>
    <w:rsid w:val="3A8057FB"/>
    <w:rsid w:val="3AB47635"/>
    <w:rsid w:val="3B2362D0"/>
    <w:rsid w:val="3BAF6ABD"/>
    <w:rsid w:val="3BD75AB3"/>
    <w:rsid w:val="3BE405C3"/>
    <w:rsid w:val="3BFD7169"/>
    <w:rsid w:val="3C0A77E5"/>
    <w:rsid w:val="3C306949"/>
    <w:rsid w:val="3C5A67AB"/>
    <w:rsid w:val="3CE25E28"/>
    <w:rsid w:val="3CEC6A87"/>
    <w:rsid w:val="3CED4F23"/>
    <w:rsid w:val="3D7E1658"/>
    <w:rsid w:val="3DBD2AD4"/>
    <w:rsid w:val="3DE054CC"/>
    <w:rsid w:val="3E6D26A2"/>
    <w:rsid w:val="3EAD6931"/>
    <w:rsid w:val="3F1A65D4"/>
    <w:rsid w:val="3F495B85"/>
    <w:rsid w:val="3F640352"/>
    <w:rsid w:val="40165301"/>
    <w:rsid w:val="403704D9"/>
    <w:rsid w:val="40555132"/>
    <w:rsid w:val="41E03B6E"/>
    <w:rsid w:val="42435850"/>
    <w:rsid w:val="431B6077"/>
    <w:rsid w:val="43A32D2F"/>
    <w:rsid w:val="43B153CA"/>
    <w:rsid w:val="43F959CB"/>
    <w:rsid w:val="441C1ED2"/>
    <w:rsid w:val="446277EA"/>
    <w:rsid w:val="44937855"/>
    <w:rsid w:val="45160A1D"/>
    <w:rsid w:val="4549539E"/>
    <w:rsid w:val="45753E5B"/>
    <w:rsid w:val="458F482B"/>
    <w:rsid w:val="45AF67BC"/>
    <w:rsid w:val="45B442BF"/>
    <w:rsid w:val="45C07575"/>
    <w:rsid w:val="45E05D8B"/>
    <w:rsid w:val="4600352F"/>
    <w:rsid w:val="46162798"/>
    <w:rsid w:val="46165F2F"/>
    <w:rsid w:val="46182624"/>
    <w:rsid w:val="46CF4C5F"/>
    <w:rsid w:val="474E5A15"/>
    <w:rsid w:val="47BD2A12"/>
    <w:rsid w:val="480C25C8"/>
    <w:rsid w:val="485275E0"/>
    <w:rsid w:val="485D1091"/>
    <w:rsid w:val="48B01DE3"/>
    <w:rsid w:val="48C43D5F"/>
    <w:rsid w:val="48D012F0"/>
    <w:rsid w:val="48DD2263"/>
    <w:rsid w:val="4915219E"/>
    <w:rsid w:val="496700E6"/>
    <w:rsid w:val="49BB242B"/>
    <w:rsid w:val="49CA5E38"/>
    <w:rsid w:val="4A7F0F60"/>
    <w:rsid w:val="4B0F23EB"/>
    <w:rsid w:val="4B230E94"/>
    <w:rsid w:val="4B6E35AE"/>
    <w:rsid w:val="4B8B1DE5"/>
    <w:rsid w:val="4BB773E5"/>
    <w:rsid w:val="4C232E61"/>
    <w:rsid w:val="4C33633A"/>
    <w:rsid w:val="4C5B1D4E"/>
    <w:rsid w:val="4C79581F"/>
    <w:rsid w:val="4C8B2C4E"/>
    <w:rsid w:val="4CB171CC"/>
    <w:rsid w:val="4D902853"/>
    <w:rsid w:val="4DB930B1"/>
    <w:rsid w:val="4E2C5CD2"/>
    <w:rsid w:val="4ECB5053"/>
    <w:rsid w:val="4ED40652"/>
    <w:rsid w:val="4F0F6D53"/>
    <w:rsid w:val="4F1618BE"/>
    <w:rsid w:val="4F8355D4"/>
    <w:rsid w:val="4FF03559"/>
    <w:rsid w:val="5088454B"/>
    <w:rsid w:val="50AE6B91"/>
    <w:rsid w:val="50D4150D"/>
    <w:rsid w:val="50E44BA3"/>
    <w:rsid w:val="512A2892"/>
    <w:rsid w:val="51327AEA"/>
    <w:rsid w:val="51575A7E"/>
    <w:rsid w:val="51D55463"/>
    <w:rsid w:val="52922DAE"/>
    <w:rsid w:val="52975339"/>
    <w:rsid w:val="53315066"/>
    <w:rsid w:val="53770839"/>
    <w:rsid w:val="538F00BB"/>
    <w:rsid w:val="55656468"/>
    <w:rsid w:val="556E1344"/>
    <w:rsid w:val="55FA661E"/>
    <w:rsid w:val="56054143"/>
    <w:rsid w:val="563E59D6"/>
    <w:rsid w:val="56A101EA"/>
    <w:rsid w:val="56C55A7B"/>
    <w:rsid w:val="577614D9"/>
    <w:rsid w:val="58135ACF"/>
    <w:rsid w:val="58304321"/>
    <w:rsid w:val="583A34BA"/>
    <w:rsid w:val="58424B86"/>
    <w:rsid w:val="584E2D64"/>
    <w:rsid w:val="58923CD6"/>
    <w:rsid w:val="58E122B8"/>
    <w:rsid w:val="596827D0"/>
    <w:rsid w:val="599C5F96"/>
    <w:rsid w:val="5A070155"/>
    <w:rsid w:val="5A836897"/>
    <w:rsid w:val="5AB04D9D"/>
    <w:rsid w:val="5B1508F3"/>
    <w:rsid w:val="5B32236D"/>
    <w:rsid w:val="5B4013B6"/>
    <w:rsid w:val="5B6053D6"/>
    <w:rsid w:val="5B751AD8"/>
    <w:rsid w:val="5B7B286E"/>
    <w:rsid w:val="5BC03E98"/>
    <w:rsid w:val="5C0D5892"/>
    <w:rsid w:val="5C0F6461"/>
    <w:rsid w:val="5C6772E4"/>
    <w:rsid w:val="5C721A74"/>
    <w:rsid w:val="5DB1036E"/>
    <w:rsid w:val="5DE85F0E"/>
    <w:rsid w:val="5DFA5ED9"/>
    <w:rsid w:val="5E166B62"/>
    <w:rsid w:val="5E885850"/>
    <w:rsid w:val="5EA84339"/>
    <w:rsid w:val="5F1C24E5"/>
    <w:rsid w:val="5F2C483D"/>
    <w:rsid w:val="5F513BBF"/>
    <w:rsid w:val="5FEA1920"/>
    <w:rsid w:val="60810D7D"/>
    <w:rsid w:val="609D7D3E"/>
    <w:rsid w:val="60EB1BA0"/>
    <w:rsid w:val="62D82B70"/>
    <w:rsid w:val="63A455A9"/>
    <w:rsid w:val="63B77A7B"/>
    <w:rsid w:val="641A4188"/>
    <w:rsid w:val="644815D5"/>
    <w:rsid w:val="6450114F"/>
    <w:rsid w:val="647F6DA6"/>
    <w:rsid w:val="64B44D80"/>
    <w:rsid w:val="64D3348E"/>
    <w:rsid w:val="6517040C"/>
    <w:rsid w:val="65A03DE3"/>
    <w:rsid w:val="65BE1566"/>
    <w:rsid w:val="65EF7CB0"/>
    <w:rsid w:val="661D0604"/>
    <w:rsid w:val="668E7D1E"/>
    <w:rsid w:val="66A930FB"/>
    <w:rsid w:val="67045351"/>
    <w:rsid w:val="671A448A"/>
    <w:rsid w:val="67620642"/>
    <w:rsid w:val="677A5D38"/>
    <w:rsid w:val="678E3405"/>
    <w:rsid w:val="6877035C"/>
    <w:rsid w:val="68EA0AC9"/>
    <w:rsid w:val="69905487"/>
    <w:rsid w:val="69A40054"/>
    <w:rsid w:val="69FA5F22"/>
    <w:rsid w:val="6A717B37"/>
    <w:rsid w:val="6AA04E46"/>
    <w:rsid w:val="6AF22EF5"/>
    <w:rsid w:val="6CB57B0A"/>
    <w:rsid w:val="6D1907DE"/>
    <w:rsid w:val="6D2A03FC"/>
    <w:rsid w:val="6DA14E14"/>
    <w:rsid w:val="6ECD3652"/>
    <w:rsid w:val="6F0C1329"/>
    <w:rsid w:val="6F173176"/>
    <w:rsid w:val="6FB11E38"/>
    <w:rsid w:val="6FC91C35"/>
    <w:rsid w:val="6FEE1620"/>
    <w:rsid w:val="6FFA078E"/>
    <w:rsid w:val="71025650"/>
    <w:rsid w:val="71C46B08"/>
    <w:rsid w:val="72143F67"/>
    <w:rsid w:val="723C52F2"/>
    <w:rsid w:val="725B6795"/>
    <w:rsid w:val="7282175D"/>
    <w:rsid w:val="72C825F1"/>
    <w:rsid w:val="731472A8"/>
    <w:rsid w:val="736B3BFF"/>
    <w:rsid w:val="73801BA4"/>
    <w:rsid w:val="73A22718"/>
    <w:rsid w:val="74831862"/>
    <w:rsid w:val="74E53E1F"/>
    <w:rsid w:val="74EA6759"/>
    <w:rsid w:val="75266722"/>
    <w:rsid w:val="755461F4"/>
    <w:rsid w:val="773F1E4D"/>
    <w:rsid w:val="77505EDE"/>
    <w:rsid w:val="77791736"/>
    <w:rsid w:val="77830040"/>
    <w:rsid w:val="78F11B90"/>
    <w:rsid w:val="796F0675"/>
    <w:rsid w:val="79A1138D"/>
    <w:rsid w:val="7A354A3C"/>
    <w:rsid w:val="7A483F39"/>
    <w:rsid w:val="7AD07307"/>
    <w:rsid w:val="7B291F13"/>
    <w:rsid w:val="7B3F3814"/>
    <w:rsid w:val="7B7930A5"/>
    <w:rsid w:val="7BFA092A"/>
    <w:rsid w:val="7CBD13DA"/>
    <w:rsid w:val="7D385889"/>
    <w:rsid w:val="7D991EDE"/>
    <w:rsid w:val="7DA119AC"/>
    <w:rsid w:val="7DF7AE8B"/>
    <w:rsid w:val="7DF91624"/>
    <w:rsid w:val="7DFF4AA4"/>
    <w:rsid w:val="7E6E060E"/>
    <w:rsid w:val="7E9D3939"/>
    <w:rsid w:val="7EA86E1F"/>
    <w:rsid w:val="7F6709A0"/>
    <w:rsid w:val="7F7B314F"/>
    <w:rsid w:val="7FA60964"/>
    <w:rsid w:val="7FFD2C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Strong"/>
    <w:basedOn w:val="6"/>
    <w:qFormat/>
    <w:uiPriority w:val="0"/>
    <w:rPr>
      <w:b/>
    </w:rPr>
  </w:style>
  <w:style w:type="character" w:styleId="8">
    <w:name w:val="FollowedHyperlink"/>
    <w:basedOn w:val="6"/>
    <w:qFormat/>
    <w:uiPriority w:val="0"/>
    <w:rPr>
      <w:color w:val="954F72" w:themeColor="followedHyperlink"/>
      <w:u w:val="single"/>
      <w14:textFill>
        <w14:solidFill>
          <w14:schemeClr w14:val="folHlink"/>
        </w14:solidFill>
      </w14:textFill>
    </w:rPr>
  </w:style>
  <w:style w:type="character" w:styleId="9">
    <w:name w:val="Hyperlink"/>
    <w:basedOn w:val="6"/>
    <w:qFormat/>
    <w:uiPriority w:val="0"/>
    <w:rPr>
      <w:color w:val="0563C1" w:themeColor="hyperlink"/>
      <w:u w:val="single"/>
      <w14:textFill>
        <w14:solidFill>
          <w14:schemeClr w14:val="hlink"/>
        </w14:solidFill>
      </w14:textFill>
    </w:rPr>
  </w:style>
  <w:style w:type="character" w:customStyle="1" w:styleId="10">
    <w:name w:val="font41"/>
    <w:basedOn w:val="6"/>
    <w:qFormat/>
    <w:uiPriority w:val="0"/>
    <w:rPr>
      <w:rFonts w:hint="eastAsia" w:ascii="宋体" w:hAnsi="宋体" w:eastAsia="宋体" w:cs="宋体"/>
      <w:b/>
      <w:color w:val="000000"/>
      <w:sz w:val="24"/>
      <w:szCs w:val="24"/>
      <w:u w:val="none"/>
    </w:rPr>
  </w:style>
  <w:style w:type="paragraph" w:customStyle="1" w:styleId="11">
    <w:name w:val="引言二级条标题"/>
    <w:basedOn w:val="12"/>
    <w:next w:val="13"/>
    <w:qFormat/>
    <w:uiPriority w:val="0"/>
    <w:pPr>
      <w:tabs>
        <w:tab w:val="left" w:pos="900"/>
      </w:tabs>
      <w:ind w:left="0" w:firstLine="0"/>
    </w:pPr>
  </w:style>
  <w:style w:type="paragraph" w:customStyle="1" w:styleId="12">
    <w:name w:val="引言一级条标题"/>
    <w:basedOn w:val="1"/>
    <w:next w:val="13"/>
    <w:qFormat/>
    <w:uiPriority w:val="0"/>
    <w:pPr>
      <w:tabs>
        <w:tab w:val="left" w:pos="900"/>
      </w:tabs>
      <w:ind w:left="900" w:hanging="900"/>
    </w:pPr>
    <w:rPr>
      <w:rFonts w:ascii="Times New Roman" w:hAnsi="Times New Roman" w:eastAsia="黑体"/>
      <w:b/>
    </w:rPr>
  </w:style>
  <w:style w:type="paragraph" w:customStyle="1" w:styleId="13">
    <w:name w:val="段"/>
    <w:basedOn w:val="1"/>
    <w:qFormat/>
    <w:uiPriority w:val="0"/>
    <w:pPr>
      <w:ind w:firstLine="200"/>
    </w:pPr>
    <w:rPr>
      <w:rFonts w:ascii="宋体" w:hAnsi="宋体" w:cs="宋体"/>
      <w:szCs w:val="21"/>
    </w:rPr>
  </w:style>
  <w:style w:type="character" w:customStyle="1" w:styleId="14">
    <w:name w:val="font91"/>
    <w:basedOn w:val="6"/>
    <w:qFormat/>
    <w:uiPriority w:val="0"/>
    <w:rPr>
      <w:rFonts w:hint="eastAsia" w:ascii="微软雅黑" w:hAnsi="微软雅黑" w:eastAsia="微软雅黑" w:cs="微软雅黑"/>
      <w:b/>
      <w:color w:val="000000"/>
      <w:sz w:val="20"/>
      <w:szCs w:val="20"/>
      <w:u w:val="none"/>
    </w:rPr>
  </w:style>
  <w:style w:type="paragraph" w:customStyle="1" w:styleId="15">
    <w:name w:val="Revision"/>
    <w:hidden/>
    <w:unhideWhenUsed/>
    <w:qFormat/>
    <w:uiPriority w:val="99"/>
    <w:pPr>
      <w:spacing w:after="0" w:line="240" w:lineRule="auto"/>
    </w:pPr>
    <w:rPr>
      <w:rFonts w:ascii="Calibri" w:hAnsi="Calibri" w:eastAsia="宋体" w:cs="Times New Roman"/>
      <w:kern w:val="2"/>
      <w:sz w:val="21"/>
      <w:szCs w:val="24"/>
      <w:lang w:val="en-US" w:eastAsia="zh-CN" w:bidi="ar-SA"/>
    </w:rPr>
  </w:style>
  <w:style w:type="character" w:customStyle="1" w:styleId="16">
    <w:name w:val="Unresolved Mention"/>
    <w:basedOn w:val="6"/>
    <w:semiHidden/>
    <w:unhideWhenUsed/>
    <w:qFormat/>
    <w:uiPriority w:val="99"/>
    <w:rPr>
      <w:color w:val="605E5C"/>
      <w:shd w:val="clear" w:color="auto" w:fill="E1DFDD"/>
    </w:rPr>
  </w:style>
  <w:style w:type="paragraph" w:styleId="17">
    <w:name w:val="List Paragraph"/>
    <w:basedOn w:val="1"/>
    <w:unhideWhenUsed/>
    <w:qFormat/>
    <w:uiPriority w:val="99"/>
    <w:pPr>
      <w:ind w:left="720"/>
      <w:contextualSpacing/>
    </w:pPr>
  </w:style>
  <w:style w:type="character" w:customStyle="1" w:styleId="18">
    <w:name w:val="font21"/>
    <w:basedOn w:val="6"/>
    <w:qFormat/>
    <w:uiPriority w:val="0"/>
    <w:rPr>
      <w:rFonts w:hint="default" w:ascii="Times New Roman" w:hAnsi="Times New Roman" w:cs="Times New Roman"/>
      <w:color w:val="000000"/>
      <w:sz w:val="24"/>
      <w:szCs w:val="24"/>
      <w:u w:val="none"/>
    </w:rPr>
  </w:style>
  <w:style w:type="character" w:customStyle="1" w:styleId="19">
    <w:name w:val="font71"/>
    <w:basedOn w:val="6"/>
    <w:qFormat/>
    <w:uiPriority w:val="0"/>
    <w:rPr>
      <w:rFonts w:hint="eastAsia" w:ascii="宋体" w:hAnsi="宋体" w:eastAsia="宋体" w:cs="宋体"/>
      <w:color w:val="000000"/>
      <w:sz w:val="24"/>
      <w:szCs w:val="24"/>
      <w:u w:val="none"/>
    </w:rPr>
  </w:style>
  <w:style w:type="character" w:customStyle="1" w:styleId="20">
    <w:name w:val="font81"/>
    <w:basedOn w:val="6"/>
    <w:qFormat/>
    <w:uiPriority w:val="0"/>
    <w:rPr>
      <w:rFonts w:hint="eastAsia" w:ascii="宋体" w:hAnsi="宋体" w:eastAsia="宋体" w:cs="宋体"/>
      <w:color w:val="000000"/>
      <w:sz w:val="24"/>
      <w:szCs w:val="24"/>
      <w:u w:val="none"/>
    </w:rPr>
  </w:style>
  <w:style w:type="character" w:customStyle="1" w:styleId="21">
    <w:name w:val="font31"/>
    <w:basedOn w:val="6"/>
    <w:qFormat/>
    <w:uiPriority w:val="0"/>
    <w:rPr>
      <w:rFonts w:hint="default" w:ascii="仿宋_GB2312" w:eastAsia="仿宋_GB2312" w:cs="仿宋_GB2312"/>
      <w:color w:val="000000"/>
      <w:sz w:val="24"/>
      <w:szCs w:val="24"/>
      <w:u w:val="none"/>
    </w:rPr>
  </w:style>
  <w:style w:type="character" w:customStyle="1" w:styleId="22">
    <w:name w:val="font51"/>
    <w:basedOn w:val="6"/>
    <w:qFormat/>
    <w:uiPriority w:val="0"/>
    <w:rPr>
      <w:rFonts w:hint="default" w:ascii="仿宋_GB2312" w:eastAsia="仿宋_GB2312" w:cs="仿宋_GB2312"/>
      <w:color w:val="000000"/>
      <w:sz w:val="24"/>
      <w:szCs w:val="24"/>
      <w:u w:val="none"/>
    </w:rPr>
  </w:style>
  <w:style w:type="character" w:customStyle="1" w:styleId="23">
    <w:name w:val="font61"/>
    <w:basedOn w:val="6"/>
    <w:qFormat/>
    <w:uiPriority w:val="0"/>
    <w:rPr>
      <w:rFonts w:hint="eastAsia" w:ascii="宋体" w:hAnsi="宋体" w:eastAsia="宋体" w:cs="宋体"/>
      <w:color w:val="000000"/>
      <w:sz w:val="24"/>
      <w:szCs w:val="24"/>
      <w:u w:val="none"/>
    </w:rPr>
  </w:style>
  <w:style w:type="character" w:customStyle="1" w:styleId="24">
    <w:name w:val="font112"/>
    <w:basedOn w:val="6"/>
    <w:qFormat/>
    <w:uiPriority w:val="0"/>
    <w:rPr>
      <w:rFonts w:ascii="Calibri" w:hAnsi="Calibri" w:cs="Calibri"/>
      <w:color w:val="000000"/>
      <w:sz w:val="20"/>
      <w:szCs w:val="20"/>
      <w:u w:val="none"/>
    </w:rPr>
  </w:style>
  <w:style w:type="character" w:customStyle="1" w:styleId="25">
    <w:name w:val="font11"/>
    <w:basedOn w:val="6"/>
    <w:qFormat/>
    <w:uiPriority w:val="0"/>
    <w:rPr>
      <w:rFonts w:hint="eastAsia" w:ascii="宋体" w:hAnsi="宋体" w:eastAsia="宋体" w:cs="宋体"/>
      <w:b/>
      <w:bCs/>
      <w:color w:val="000000"/>
      <w:sz w:val="22"/>
      <w:szCs w:val="22"/>
      <w:u w:val="none"/>
    </w:rPr>
  </w:style>
  <w:style w:type="character" w:customStyle="1" w:styleId="26">
    <w:name w:val="font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中国华电集团公司</Company>
  <Pages>12</Pages>
  <Words>2640</Words>
  <Characters>8396</Characters>
  <Lines>33</Lines>
  <Paragraphs>9</Paragraphs>
  <TotalTime>966</TotalTime>
  <ScaleCrop>false</ScaleCrop>
  <LinksUpToDate>false</LinksUpToDate>
  <CharactersWithSpaces>9424</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2025-04-28T16:16:00Z</dcterms:created>
  <dc:creator>LJ</dc:creator>
  <cp:lastModifiedBy>张郡书</cp:lastModifiedBy>
  <dcterms:modified xsi:type="dcterms:W3CDTF">2026-09-25T08:42:07Z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3463F8EA9EDD42139820363C7E31C505_13</vt:lpwstr>
  </property>
  <property fmtid="{D5CDD505-2E9C-101B-9397-08002B2CF9AE}" pid="4" name="KSOTemplateDocerSaveRecord">
    <vt:lpwstr>eyJoZGlkIjoiZGQ0YTEyNWJmNGNhMzA2YWNjYjE3NzE2MmQ3M2FmYTciLCJ1c2VySWQiOiI5NjIwOTAyMjQ5NTIifQ==</vt:lpwstr>
  </property>
</Properties>
</file>