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center"/>
        <w:rPr>
          <w:rFonts w:hint="default" w:ascii="方正小标宋简体" w:hAnsi="黑体" w:eastAsia="方正小标宋简体"/>
          <w:sz w:val="36"/>
          <w:szCs w:val="36"/>
          <w:highlight w:val="none"/>
          <w:lang w:val="en-US"/>
        </w:rPr>
      </w:pPr>
      <w:r>
        <w:rPr>
          <w:rFonts w:hint="eastAsia" w:ascii="方正小标宋简体" w:hAnsi="黑体" w:eastAsia="方正小标宋简体"/>
          <w:sz w:val="36"/>
          <w:szCs w:val="36"/>
          <w:highlight w:val="none"/>
          <w:lang w:val="en-US" w:eastAsia="zh-CN"/>
        </w:rPr>
        <w:t>联轴器薄膜、起重备件等备品备件询比文件</w:t>
      </w:r>
    </w:p>
    <w:p>
      <w:pPr>
        <w:adjustRightInd w:val="0"/>
        <w:snapToGrid w:val="0"/>
        <w:spacing w:after="0" w:line="240" w:lineRule="auto"/>
        <w:jc w:val="center"/>
        <w:rPr>
          <w:rFonts w:hint="default" w:ascii="仿宋" w:hAnsi="仿宋" w:eastAsia="仿宋" w:cs="仿宋"/>
          <w:b/>
          <w:bCs/>
          <w:sz w:val="24"/>
          <w:szCs w:val="24"/>
          <w:lang w:eastAsia="zh"/>
        </w:rPr>
      </w:pPr>
      <w:r>
        <w:rPr>
          <w:rFonts w:hint="default" w:ascii="仿宋" w:hAnsi="仿宋" w:eastAsia="仿宋" w:cs="仿宋"/>
          <w:b/>
          <w:bCs/>
          <w:sz w:val="24"/>
          <w:szCs w:val="24"/>
        </w:rPr>
        <w:t>Dokumen Permintaan Penawaran dan Perbandingan Harga Suku Cadang, Meliputi Film Kopling, Suku Cadang Peralatan Pengangkat, dan Suku Cadang Lainnya</w:t>
      </w:r>
    </w:p>
    <w:p>
      <w:pPr>
        <w:adjustRightInd w:val="0"/>
        <w:snapToGrid w:val="0"/>
        <w:spacing w:after="0" w:line="240" w:lineRule="auto"/>
        <w:jc w:val="center"/>
        <w:rPr>
          <w:rFonts w:hint="eastAsia" w:ascii="仿宋" w:hAnsi="仿宋" w:eastAsia="仿宋" w:cs="仿宋"/>
          <w:b/>
          <w:bCs/>
          <w:sz w:val="24"/>
          <w:szCs w:val="24"/>
        </w:rPr>
      </w:pPr>
    </w:p>
    <w:tbl>
      <w:tblPr>
        <w:tblStyle w:val="4"/>
        <w:tblW w:w="9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36" w:type="dxa"/>
            <w:tcMar>
              <w:top w:w="9" w:type="dxa"/>
              <w:left w:w="9" w:type="dxa"/>
              <w:right w:w="9" w:type="dxa"/>
            </w:tcMar>
            <w:vAlign w:val="center"/>
          </w:tcPr>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一、基本情况</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I.</w:t>
            </w:r>
            <w:r>
              <w:rPr>
                <w:rStyle w:val="10"/>
                <w:rFonts w:hint="eastAsia" w:ascii="仿宋" w:hAnsi="仿宋" w:eastAsia="仿宋" w:cs="仿宋"/>
                <w:b w:val="0"/>
                <w:bCs/>
                <w:sz w:val="20"/>
                <w:szCs w:val="20"/>
                <w:lang w:bidi="ar"/>
              </w:rPr>
              <w:t xml:space="preserve"> </w:t>
            </w:r>
            <w:r>
              <w:rPr>
                <w:rFonts w:hint="eastAsia" w:ascii="仿宋" w:hAnsi="仿宋" w:eastAsia="仿宋" w:cs="仿宋"/>
                <w:sz w:val="21"/>
                <w:szCs w:val="21"/>
              </w:rPr>
              <w:t>Ketentuan Umum</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highlight w:val="none"/>
                <w:lang w:val="en-US" w:eastAsia="zh-CN" w:bidi="ar"/>
              </w:rPr>
            </w:pPr>
            <w:r>
              <w:rPr>
                <w:rStyle w:val="10"/>
                <w:rFonts w:hint="default" w:ascii="仿宋" w:hAnsi="仿宋" w:eastAsia="仿宋" w:cs="仿宋"/>
                <w:b w:val="0"/>
                <w:bCs/>
                <w:sz w:val="21"/>
                <w:szCs w:val="21"/>
                <w:highlight w:val="none"/>
                <w:lang w:bidi="ar"/>
              </w:rPr>
              <w:t xml:space="preserve">1. </w:t>
            </w:r>
            <w:r>
              <w:rPr>
                <w:rStyle w:val="10"/>
                <w:rFonts w:ascii="仿宋" w:hAnsi="仿宋" w:eastAsia="仿宋" w:cs="仿宋"/>
                <w:b w:val="0"/>
                <w:sz w:val="21"/>
                <w:szCs w:val="21"/>
                <w:highlight w:val="none"/>
              </w:rPr>
              <w:t>采购人：</w:t>
            </w:r>
            <w:r>
              <w:rPr>
                <w:rStyle w:val="10"/>
                <w:rFonts w:hint="eastAsia" w:ascii="仿宋" w:hAnsi="仿宋" w:eastAsia="仿宋" w:cs="仿宋"/>
                <w:b w:val="0"/>
                <w:sz w:val="21"/>
                <w:szCs w:val="21"/>
                <w:highlight w:val="none"/>
                <w:lang w:val="en-US" w:eastAsia="zh-CN"/>
              </w:rPr>
              <w:t>印尼华瑞电力有限公司</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sz w:val="21"/>
                <w:szCs w:val="21"/>
                <w:highlight w:val="yellow"/>
              </w:rPr>
            </w:pPr>
            <w:r>
              <w:rPr>
                <w:rStyle w:val="10"/>
                <w:rFonts w:hint="default" w:ascii="仿宋" w:hAnsi="仿宋" w:eastAsia="仿宋" w:cs="仿宋"/>
                <w:b w:val="0"/>
                <w:sz w:val="21"/>
                <w:szCs w:val="21"/>
                <w:highlight w:val="none"/>
              </w:rPr>
              <w:t>1.</w:t>
            </w:r>
            <w:r>
              <w:rPr>
                <w:highlight w:val="none"/>
              </w:rPr>
              <w:t xml:space="preserve"> </w:t>
            </w:r>
            <w:r>
              <w:rPr>
                <w:rFonts w:hint="eastAsia" w:ascii="仿宋" w:hAnsi="仿宋" w:eastAsia="仿宋" w:cs="仿宋"/>
                <w:sz w:val="21"/>
                <w:szCs w:val="21"/>
              </w:rPr>
              <w:t>Pengguna Jasa</w:t>
            </w:r>
            <w:r>
              <w:rPr>
                <w:rStyle w:val="10"/>
                <w:rFonts w:hint="eastAsia" w:ascii="仿宋" w:hAnsi="仿宋" w:eastAsia="仿宋" w:cs="仿宋"/>
                <w:b w:val="0"/>
                <w:sz w:val="18"/>
                <w:szCs w:val="18"/>
                <w:highlight w:val="none"/>
              </w:rPr>
              <w:t>:</w:t>
            </w:r>
            <w:r>
              <w:rPr>
                <w:b/>
                <w:sz w:val="24"/>
                <w:szCs w:val="24"/>
                <w:highlight w:val="none"/>
              </w:rPr>
              <w:t xml:space="preserve"> </w:t>
            </w:r>
            <w:r>
              <w:rPr>
                <w:rStyle w:val="10"/>
                <w:rFonts w:hint="eastAsia" w:ascii="仿宋" w:hAnsi="仿宋" w:eastAsia="仿宋" w:cs="仿宋"/>
                <w:b w:val="0"/>
                <w:sz w:val="21"/>
                <w:szCs w:val="21"/>
                <w:highlight w:val="none"/>
              </w:rPr>
              <w:t>PT PEMBANGKITAN LISTRIK PINTAR ENERGI</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sz w:val="21"/>
                <w:szCs w:val="21"/>
                <w:lang w:val="id-ID" w:eastAsia="zh-CN"/>
              </w:rPr>
            </w:pPr>
            <w:r>
              <w:rPr>
                <w:rStyle w:val="10"/>
                <w:rFonts w:hint="default" w:ascii="仿宋" w:hAnsi="仿宋" w:eastAsia="仿宋" w:cs="仿宋"/>
                <w:b w:val="0"/>
                <w:sz w:val="21"/>
                <w:szCs w:val="21"/>
              </w:rPr>
              <w:t>2. 联系人：</w:t>
            </w:r>
            <w:r>
              <w:rPr>
                <w:rStyle w:val="10"/>
                <w:rFonts w:hint="default" w:ascii="仿宋" w:hAnsi="仿宋" w:eastAsia="仿宋" w:cs="仿宋"/>
                <w:b w:val="0"/>
                <w:sz w:val="21"/>
                <w:szCs w:val="21"/>
                <w:lang w:val="id-ID"/>
              </w:rPr>
              <w:t>(</w:t>
            </w:r>
            <w:r>
              <w:rPr>
                <w:rStyle w:val="10"/>
                <w:rFonts w:hint="default" w:ascii="仿宋" w:hAnsi="仿宋" w:eastAsia="仿宋" w:cs="仿宋"/>
                <w:b w:val="0"/>
                <w:sz w:val="21"/>
                <w:szCs w:val="21"/>
              </w:rPr>
              <w:t>技术</w:t>
            </w:r>
            <w:r>
              <w:rPr>
                <w:rStyle w:val="10"/>
                <w:rFonts w:hint="eastAsia" w:ascii="仿宋" w:hAnsi="仿宋" w:eastAsia="仿宋" w:cs="仿宋"/>
                <w:b w:val="0"/>
                <w:sz w:val="21"/>
                <w:szCs w:val="21"/>
                <w:lang w:eastAsia="zh-CN"/>
              </w:rPr>
              <w:t>：</w:t>
            </w:r>
            <w:r>
              <w:rPr>
                <w:rStyle w:val="10"/>
                <w:rFonts w:hint="eastAsia" w:ascii="仿宋" w:hAnsi="仿宋" w:eastAsia="仿宋" w:cs="仿宋"/>
                <w:b w:val="0"/>
                <w:sz w:val="21"/>
                <w:szCs w:val="21"/>
                <w:highlight w:val="none"/>
                <w:lang w:val="en-US" w:eastAsia="zh-CN"/>
              </w:rPr>
              <w:t xml:space="preserve">时亚楠 </w:t>
            </w:r>
            <w:r>
              <w:rPr>
                <w:rStyle w:val="10"/>
                <w:rFonts w:hint="default" w:ascii="仿宋" w:hAnsi="仿宋" w:eastAsia="仿宋" w:cs="仿宋"/>
                <w:b w:val="0"/>
                <w:sz w:val="21"/>
                <w:szCs w:val="21"/>
                <w:highlight w:val="none"/>
                <w:lang w:val="en-US" w:eastAsia="zh-CN"/>
              </w:rPr>
              <w:t>085768874384</w:t>
            </w:r>
            <w:r>
              <w:rPr>
                <w:rStyle w:val="10"/>
                <w:rFonts w:hint="default" w:ascii="仿宋" w:hAnsi="仿宋" w:eastAsia="仿宋" w:cs="仿宋"/>
                <w:b w:val="0"/>
                <w:sz w:val="21"/>
                <w:szCs w:val="21"/>
                <w:highlight w:val="none"/>
                <w:lang w:val="id-ID" w:eastAsia="zh-CN"/>
              </w:rPr>
              <w:t>) (</w:t>
            </w:r>
            <w:r>
              <w:rPr>
                <w:rStyle w:val="10"/>
                <w:rFonts w:hint="default" w:ascii="仿宋" w:hAnsi="仿宋" w:eastAsia="仿宋" w:cs="仿宋"/>
                <w:b w:val="0"/>
                <w:sz w:val="21"/>
                <w:szCs w:val="21"/>
              </w:rPr>
              <w:t>商务</w:t>
            </w:r>
            <w:r>
              <w:rPr>
                <w:rStyle w:val="10"/>
                <w:rFonts w:hint="eastAsia" w:ascii="仿宋" w:hAnsi="仿宋" w:eastAsia="仿宋" w:cs="仿宋"/>
                <w:b w:val="0"/>
                <w:sz w:val="21"/>
                <w:szCs w:val="21"/>
                <w:highlight w:val="none"/>
                <w:lang w:eastAsia="zh-CN"/>
              </w:rPr>
              <w:t>：</w:t>
            </w:r>
            <w:r>
              <w:rPr>
                <w:rStyle w:val="10"/>
                <w:rFonts w:hint="eastAsia" w:ascii="仿宋" w:hAnsi="仿宋" w:eastAsia="仿宋" w:cs="仿宋"/>
                <w:b w:val="0"/>
                <w:sz w:val="21"/>
                <w:szCs w:val="21"/>
                <w:highlight w:val="none"/>
                <w:lang w:val="en-US" w:eastAsia="zh-CN"/>
              </w:rPr>
              <w:t xml:space="preserve">张郡书 </w:t>
            </w:r>
            <w:r>
              <w:rPr>
                <w:rStyle w:val="10"/>
                <w:rFonts w:hint="default" w:ascii="仿宋" w:hAnsi="仿宋" w:eastAsia="仿宋" w:cs="仿宋"/>
                <w:b w:val="0"/>
                <w:sz w:val="21"/>
                <w:szCs w:val="21"/>
                <w:highlight w:val="none"/>
                <w:lang w:val="en-US" w:eastAsia="zh-CN"/>
              </w:rPr>
              <w:t>08</w:t>
            </w:r>
            <w:r>
              <w:rPr>
                <w:rStyle w:val="10"/>
                <w:rFonts w:hint="eastAsia" w:ascii="仿宋" w:hAnsi="仿宋" w:eastAsia="仿宋" w:cs="仿宋"/>
                <w:b w:val="0"/>
                <w:sz w:val="21"/>
                <w:szCs w:val="21"/>
                <w:highlight w:val="none"/>
                <w:lang w:val="en-US" w:eastAsia="zh-CN"/>
              </w:rPr>
              <w:t>5373257862</w:t>
            </w:r>
            <w:r>
              <w:rPr>
                <w:rStyle w:val="10"/>
                <w:rFonts w:hint="default" w:ascii="仿宋" w:hAnsi="仿宋" w:eastAsia="仿宋" w:cs="仿宋"/>
                <w:b w:val="0"/>
                <w:sz w:val="21"/>
                <w:szCs w:val="21"/>
                <w:lang w:val="id-ID" w:eastAsia="zh-CN"/>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sz w:val="18"/>
                <w:szCs w:val="18"/>
              </w:rPr>
            </w:pPr>
            <w:r>
              <w:rPr>
                <w:rStyle w:val="10"/>
                <w:rFonts w:hint="default" w:ascii="仿宋" w:hAnsi="仿宋" w:eastAsia="仿宋" w:cs="仿宋"/>
                <w:b w:val="0"/>
                <w:sz w:val="21"/>
                <w:szCs w:val="21"/>
              </w:rPr>
              <w:t>2.</w:t>
            </w:r>
            <w:r>
              <w:t xml:space="preserve"> </w:t>
            </w:r>
            <w:r>
              <w:rPr>
                <w:rStyle w:val="10"/>
                <w:rFonts w:hint="default" w:ascii="仿宋" w:hAnsi="仿宋" w:eastAsia="仿宋" w:cs="仿宋"/>
                <w:b w:val="0"/>
                <w:sz w:val="21"/>
                <w:szCs w:val="21"/>
              </w:rPr>
              <w:t xml:space="preserve">Kontak: </w:t>
            </w:r>
            <w:r>
              <w:rPr>
                <w:rFonts w:hint="eastAsia" w:ascii="仿宋" w:hAnsi="仿宋" w:eastAsia="仿宋" w:cs="仿宋"/>
                <w:sz w:val="21"/>
                <w:szCs w:val="21"/>
              </w:rPr>
              <w:t xml:space="preserve">(Teknis: </w:t>
            </w:r>
            <w:r>
              <w:rPr>
                <w:rFonts w:hint="eastAsia" w:ascii="仿宋" w:hAnsi="仿宋" w:eastAsia="仿宋" w:cs="仿宋"/>
                <w:sz w:val="21"/>
                <w:szCs w:val="21"/>
                <w:lang w:val="en-US" w:eastAsia="zh-CN"/>
              </w:rPr>
              <w:t>Shi Yanan</w:t>
            </w:r>
            <w:r>
              <w:rPr>
                <w:rStyle w:val="10"/>
                <w:rFonts w:hint="eastAsia" w:ascii="仿宋" w:hAnsi="仿宋" w:eastAsia="仿宋" w:cs="仿宋"/>
                <w:b w:val="0"/>
                <w:sz w:val="21"/>
                <w:szCs w:val="21"/>
                <w:highlight w:val="none"/>
                <w:lang w:val="en-US" w:eastAsia="zh-CN"/>
              </w:rPr>
              <w:t xml:space="preserve"> </w:t>
            </w:r>
            <w:r>
              <w:rPr>
                <w:rStyle w:val="10"/>
                <w:rFonts w:hint="default" w:ascii="仿宋" w:hAnsi="仿宋" w:eastAsia="仿宋" w:cs="仿宋"/>
                <w:b w:val="0"/>
                <w:sz w:val="21"/>
                <w:szCs w:val="21"/>
                <w:highlight w:val="none"/>
                <w:lang w:val="en-US" w:eastAsia="zh-CN"/>
              </w:rPr>
              <w:t>085768874384</w:t>
            </w:r>
            <w:r>
              <w:rPr>
                <w:rStyle w:val="10"/>
                <w:rFonts w:hint="default" w:ascii="仿宋" w:hAnsi="仿宋" w:eastAsia="仿宋" w:cs="仿宋"/>
                <w:b w:val="0"/>
                <w:sz w:val="21"/>
                <w:szCs w:val="21"/>
                <w:highlight w:val="none"/>
                <w:lang w:val="id-ID" w:eastAsia="zh-CN"/>
              </w:rPr>
              <w:t>)</w:t>
            </w:r>
            <w:r>
              <w:rPr>
                <w:rStyle w:val="10"/>
                <w:rFonts w:hint="eastAsia" w:ascii="仿宋" w:hAnsi="仿宋" w:eastAsia="仿宋" w:cs="仿宋"/>
                <w:b w:val="0"/>
                <w:sz w:val="21"/>
                <w:szCs w:val="21"/>
                <w:highlight w:val="none"/>
                <w:lang w:val="en-US" w:eastAsia="zh-CN"/>
              </w:rPr>
              <w:t>)</w:t>
            </w:r>
            <w:r>
              <w:rPr>
                <w:rFonts w:hint="eastAsia" w:ascii="仿宋" w:hAnsi="仿宋" w:eastAsia="仿宋" w:cs="仿宋"/>
                <w:sz w:val="21"/>
                <w:szCs w:val="21"/>
              </w:rPr>
              <w:t xml:space="preserve"> (Komersial: </w:t>
            </w:r>
            <w:r>
              <w:rPr>
                <w:rFonts w:hint="eastAsia" w:ascii="仿宋" w:hAnsi="仿宋" w:eastAsia="仿宋" w:cs="仿宋"/>
                <w:sz w:val="21"/>
                <w:szCs w:val="21"/>
                <w:lang w:val="en-US" w:eastAsia="zh-CN"/>
              </w:rPr>
              <w:t>Zhang</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Junshu </w:t>
            </w:r>
            <w:r>
              <w:rPr>
                <w:rStyle w:val="10"/>
                <w:rFonts w:hint="default" w:ascii="仿宋" w:hAnsi="仿宋" w:eastAsia="仿宋" w:cs="仿宋"/>
                <w:b w:val="0"/>
                <w:sz w:val="21"/>
                <w:szCs w:val="21"/>
                <w:highlight w:val="none"/>
                <w:lang w:val="en-US" w:eastAsia="zh-CN"/>
              </w:rPr>
              <w:t>08</w:t>
            </w:r>
            <w:r>
              <w:rPr>
                <w:rStyle w:val="10"/>
                <w:rFonts w:hint="eastAsia" w:ascii="仿宋" w:hAnsi="仿宋" w:eastAsia="仿宋" w:cs="仿宋"/>
                <w:b w:val="0"/>
                <w:sz w:val="21"/>
                <w:szCs w:val="21"/>
                <w:highlight w:val="none"/>
                <w:lang w:val="en-US" w:eastAsia="zh-CN"/>
              </w:rPr>
              <w:t>5373257862</w:t>
            </w:r>
            <w:r>
              <w:rPr>
                <w:rFonts w:hint="eastAsia" w:ascii="仿宋" w:hAnsi="仿宋" w:eastAsia="仿宋" w:cs="仿宋"/>
                <w:sz w:val="21"/>
                <w:szCs w:val="21"/>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sz w:val="21"/>
                <w:szCs w:val="21"/>
              </w:rPr>
            </w:pPr>
            <w:r>
              <w:rPr>
                <w:rStyle w:val="10"/>
                <w:rFonts w:hint="default" w:ascii="仿宋" w:hAnsi="仿宋" w:eastAsia="仿宋" w:cs="仿宋"/>
                <w:b w:val="0"/>
                <w:sz w:val="21"/>
                <w:szCs w:val="21"/>
              </w:rPr>
              <w:t>3. 报价专用邮箱：</w:t>
            </w:r>
            <w:r>
              <w:rPr>
                <w:rStyle w:val="10"/>
                <w:rFonts w:hint="default" w:ascii="仿宋" w:hAnsi="仿宋" w:eastAsia="仿宋" w:cs="仿宋"/>
                <w:b w:val="0"/>
                <w:color w:val="0000FF"/>
                <w:sz w:val="21"/>
                <w:szCs w:val="21"/>
                <w:u w:val="single"/>
              </w:rPr>
              <w:t>731465071@qq.com</w:t>
            </w:r>
            <w:r>
              <w:rPr>
                <w:rStyle w:val="10"/>
                <w:rFonts w:ascii="仿宋" w:hAnsi="仿宋" w:eastAsia="仿宋" w:cs="仿宋"/>
                <w:b w:val="0"/>
                <w:sz w:val="21"/>
                <w:szCs w:val="21"/>
              </w:rPr>
              <w:t>。最终报价文件只能发送该邮箱，否则不予认可，且邮件标题名称必须为“玻雅项目</w:t>
            </w:r>
            <w:r>
              <w:rPr>
                <w:rStyle w:val="10"/>
                <w:rFonts w:hint="default" w:ascii="仿宋" w:hAnsi="仿宋" w:eastAsia="仿宋" w:cs="仿宋"/>
                <w:b w:val="0"/>
                <w:sz w:val="21"/>
                <w:szCs w:val="21"/>
              </w:rPr>
              <w:t>XXX采购标段报价文件（**公司）”。请勿重复发送，采购人只认可最后一次报价。</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sz w:val="21"/>
                <w:szCs w:val="21"/>
              </w:rPr>
            </w:pPr>
            <w:r>
              <w:rPr>
                <w:rStyle w:val="10"/>
                <w:rFonts w:hint="default" w:ascii="仿宋" w:hAnsi="仿宋" w:eastAsia="仿宋" w:cs="仿宋"/>
                <w:b w:val="0"/>
                <w:sz w:val="21"/>
                <w:szCs w:val="21"/>
              </w:rPr>
              <w:t>3.</w:t>
            </w:r>
            <w:r>
              <w:t xml:space="preserve"> </w:t>
            </w:r>
            <w:r>
              <w:rPr>
                <w:rStyle w:val="7"/>
                <w:rFonts w:hint="eastAsia" w:ascii="仿宋" w:hAnsi="仿宋" w:eastAsia="仿宋" w:cs="仿宋"/>
                <w:b w:val="0"/>
                <w:bCs/>
                <w:sz w:val="21"/>
                <w:szCs w:val="21"/>
              </w:rPr>
              <w:t>Email Khusus Penawaran:</w:t>
            </w:r>
            <w:r>
              <w:rPr>
                <w:rFonts w:hint="eastAsia" w:ascii="仿宋" w:hAnsi="仿宋" w:eastAsia="仿宋" w:cs="仿宋"/>
                <w:b w:val="0"/>
                <w:bCs/>
                <w:sz w:val="21"/>
                <w:szCs w:val="21"/>
              </w:rPr>
              <w:t xml:space="preserve"> 731465071@qq.com</w:t>
            </w:r>
            <w:r>
              <w:rPr>
                <w:rFonts w:hint="eastAsia" w:ascii="仿宋" w:hAnsi="仿宋" w:eastAsia="仿宋" w:cs="仿宋"/>
                <w:b w:val="0"/>
                <w:bCs/>
                <w:sz w:val="21"/>
                <w:szCs w:val="21"/>
                <w:lang w:val="id-ID"/>
              </w:rPr>
              <w:t xml:space="preserve">. </w:t>
            </w:r>
            <w:r>
              <w:rPr>
                <w:rFonts w:hint="eastAsia" w:ascii="仿宋" w:hAnsi="仿宋" w:eastAsia="仿宋" w:cs="仿宋"/>
                <w:b w:val="0"/>
                <w:bCs/>
                <w:sz w:val="21"/>
                <w:szCs w:val="21"/>
              </w:rPr>
              <w:t xml:space="preserve">Dokumen penawaran akhir </w:t>
            </w:r>
            <w:r>
              <w:rPr>
                <w:rStyle w:val="7"/>
                <w:rFonts w:hint="eastAsia" w:ascii="仿宋" w:hAnsi="仿宋" w:eastAsia="仿宋" w:cs="仿宋"/>
                <w:b w:val="0"/>
                <w:bCs/>
                <w:sz w:val="21"/>
                <w:szCs w:val="21"/>
              </w:rPr>
              <w:t>hanya dapat dikirimkan ke alamat email tersebut</w:t>
            </w:r>
            <w:r>
              <w:rPr>
                <w:rFonts w:hint="eastAsia" w:ascii="仿宋" w:hAnsi="仿宋" w:eastAsia="仿宋" w:cs="仿宋"/>
                <w:b w:val="0"/>
                <w:bCs/>
                <w:sz w:val="21"/>
                <w:szCs w:val="21"/>
              </w:rPr>
              <w:t xml:space="preserve">; apabila dikirimkan ke alamat lain maka </w:t>
            </w:r>
            <w:r>
              <w:rPr>
                <w:rStyle w:val="7"/>
                <w:rFonts w:hint="eastAsia" w:ascii="仿宋" w:hAnsi="仿宋" w:eastAsia="仿宋" w:cs="仿宋"/>
                <w:b w:val="0"/>
                <w:bCs/>
                <w:sz w:val="21"/>
                <w:szCs w:val="21"/>
              </w:rPr>
              <w:t>tidak akan diakui</w:t>
            </w:r>
            <w:r>
              <w:rPr>
                <w:rFonts w:hint="eastAsia" w:ascii="仿宋" w:hAnsi="仿宋" w:eastAsia="仿宋" w:cs="仿宋"/>
                <w:b w:val="0"/>
                <w:bCs/>
                <w:sz w:val="21"/>
                <w:szCs w:val="21"/>
              </w:rPr>
              <w:t>.Judul email wajib mencantumkan:“Dokumen Penawaran Paket Pengadaan Proyek Boya XXX (</w:t>
            </w:r>
            <w:r>
              <w:rPr>
                <w:rStyle w:val="7"/>
                <w:rFonts w:hint="eastAsia" w:ascii="仿宋" w:hAnsi="仿宋" w:eastAsia="仿宋" w:cs="仿宋"/>
                <w:b w:val="0"/>
                <w:bCs/>
                <w:sz w:val="21"/>
                <w:szCs w:val="21"/>
              </w:rPr>
              <w:t>Nama Perusahaan)”</w:t>
            </w:r>
            <w:r>
              <w:rPr>
                <w:rFonts w:hint="eastAsia" w:ascii="仿宋" w:hAnsi="仿宋" w:eastAsia="仿宋" w:cs="仿宋"/>
                <w:b w:val="0"/>
                <w:bCs/>
                <w:sz w:val="21"/>
                <w:szCs w:val="21"/>
              </w:rPr>
              <w:t xml:space="preserve">Penawaran </w:t>
            </w:r>
            <w:r>
              <w:rPr>
                <w:rStyle w:val="7"/>
                <w:rFonts w:hint="eastAsia" w:ascii="仿宋" w:hAnsi="仿宋" w:eastAsia="仿宋" w:cs="仿宋"/>
                <w:b w:val="0"/>
                <w:bCs/>
                <w:sz w:val="21"/>
                <w:szCs w:val="21"/>
              </w:rPr>
              <w:t>tidak diperkenankan dikirim berulang</w:t>
            </w:r>
            <w:r>
              <w:rPr>
                <w:rFonts w:hint="eastAsia" w:ascii="仿宋" w:hAnsi="仿宋" w:eastAsia="仿宋" w:cs="仿宋"/>
                <w:b w:val="0"/>
                <w:bCs/>
                <w:sz w:val="21"/>
                <w:szCs w:val="21"/>
              </w:rPr>
              <w:t xml:space="preserve">; Pengguna Jasa hanya akan mengakui </w:t>
            </w:r>
            <w:r>
              <w:rPr>
                <w:rStyle w:val="7"/>
                <w:rFonts w:hint="eastAsia" w:ascii="仿宋" w:hAnsi="仿宋" w:eastAsia="仿宋" w:cs="仿宋"/>
                <w:b w:val="0"/>
                <w:bCs/>
                <w:sz w:val="21"/>
                <w:szCs w:val="21"/>
              </w:rPr>
              <w:t>penawaran terakhir</w:t>
            </w:r>
            <w:r>
              <w:rPr>
                <w:rFonts w:hint="eastAsia" w:ascii="仿宋" w:hAnsi="仿宋" w:eastAsia="仿宋" w:cs="仿宋"/>
                <w:b w:val="0"/>
                <w:bCs/>
                <w:sz w:val="21"/>
                <w:szCs w:val="21"/>
              </w:rPr>
              <w:t>.</w:t>
            </w:r>
          </w:p>
          <w:p>
            <w:pPr>
              <w:keepNext w:val="0"/>
              <w:keepLines w:val="0"/>
              <w:pageBreakBefore w:val="0"/>
              <w:widowControl/>
              <w:kinsoku/>
              <w:wordWrap/>
              <w:overflowPunct/>
              <w:topLinePunct w:val="0"/>
              <w:autoSpaceDE/>
              <w:autoSpaceDN/>
              <w:bidi w:val="0"/>
              <w:adjustRightInd w:val="0"/>
              <w:snapToGrid w:val="0"/>
              <w:spacing w:line="300" w:lineRule="exact"/>
              <w:ind w:left="283" w:leftChars="100" w:hanging="73" w:hangingChars="35"/>
              <w:jc w:val="left"/>
              <w:textAlignment w:val="center"/>
              <w:rPr>
                <w:rStyle w:val="10"/>
                <w:rFonts w:hint="default" w:ascii="仿宋" w:hAnsi="仿宋" w:eastAsia="仿宋" w:cs="仿宋"/>
                <w:b w:val="0"/>
                <w:sz w:val="21"/>
                <w:szCs w:val="21"/>
              </w:rPr>
            </w:pPr>
            <w:r>
              <w:rPr>
                <w:rStyle w:val="10"/>
                <w:rFonts w:ascii="仿宋" w:hAnsi="仿宋" w:eastAsia="仿宋" w:cs="仿宋"/>
                <w:b w:val="0"/>
                <w:sz w:val="21"/>
                <w:szCs w:val="21"/>
              </w:rPr>
              <w:t>澄清专用邮箱：</w:t>
            </w:r>
            <w:r>
              <w:rPr>
                <w:rStyle w:val="10"/>
                <w:rFonts w:hint="default" w:ascii="仿宋" w:hAnsi="仿宋" w:eastAsia="仿宋" w:cs="仿宋"/>
                <w:b w:val="0"/>
                <w:color w:val="0000FF"/>
                <w:sz w:val="21"/>
                <w:szCs w:val="21"/>
                <w:u w:val="single"/>
              </w:rPr>
              <w:t>731465071@qq.com</w:t>
            </w:r>
            <w:r>
              <w:rPr>
                <w:rStyle w:val="10"/>
                <w:rFonts w:hint="default" w:ascii="仿宋" w:hAnsi="仿宋" w:eastAsia="仿宋" w:cs="仿宋"/>
                <w:b w:val="0"/>
                <w:sz w:val="21"/>
                <w:szCs w:val="21"/>
              </w:rPr>
              <w:t>。采购过程中若有疑问可发送至该邮箱，否则不予回复，且邮件标题名称必须为“玻雅项目XXX采购标段投标疑问（**公司）”。</w:t>
            </w:r>
          </w:p>
          <w:p>
            <w:pPr>
              <w:keepNext w:val="0"/>
              <w:keepLines w:val="0"/>
              <w:pageBreakBefore w:val="0"/>
              <w:widowControl/>
              <w:kinsoku/>
              <w:wordWrap/>
              <w:overflowPunct/>
              <w:topLinePunct w:val="0"/>
              <w:autoSpaceDE/>
              <w:autoSpaceDN/>
              <w:bidi w:val="0"/>
              <w:adjustRightInd w:val="0"/>
              <w:snapToGrid w:val="0"/>
              <w:spacing w:line="300" w:lineRule="exact"/>
              <w:ind w:left="283" w:leftChars="100" w:hanging="73" w:hangingChars="35"/>
              <w:textAlignment w:val="center"/>
              <w:rPr>
                <w:rStyle w:val="10"/>
                <w:rFonts w:hint="default" w:ascii="仿宋" w:hAnsi="仿宋" w:eastAsia="仿宋" w:cs="仿宋"/>
                <w:b w:val="0"/>
                <w:sz w:val="21"/>
                <w:szCs w:val="21"/>
                <w:highlight w:val="yellow"/>
              </w:rPr>
            </w:pPr>
            <w:r>
              <w:rPr>
                <w:rStyle w:val="10"/>
                <w:rFonts w:hint="default" w:ascii="仿宋" w:hAnsi="仿宋" w:eastAsia="仿宋" w:cs="仿宋"/>
                <w:b w:val="0"/>
                <w:sz w:val="21"/>
                <w:szCs w:val="21"/>
              </w:rPr>
              <w:t xml:space="preserve">Email Klarifikasi: </w:t>
            </w:r>
            <w:r>
              <w:rPr>
                <w:rStyle w:val="10"/>
                <w:rFonts w:hint="default" w:ascii="仿宋" w:hAnsi="仿宋" w:eastAsia="仿宋" w:cs="仿宋"/>
                <w:b w:val="0"/>
                <w:color w:val="0000FF"/>
                <w:sz w:val="21"/>
                <w:szCs w:val="21"/>
                <w:u w:val="single"/>
              </w:rPr>
              <w:t>731465071@qq.com</w:t>
            </w:r>
            <w:r>
              <w:rPr>
                <w:rStyle w:val="10"/>
                <w:rFonts w:hint="default" w:ascii="仿宋" w:hAnsi="仿宋" w:eastAsia="仿宋" w:cs="仿宋"/>
                <w:b w:val="0"/>
                <w:sz w:val="21"/>
                <w:szCs w:val="21"/>
              </w:rPr>
              <w:t xml:space="preserve">. Pertanyaan selama proses pengadaan dapat dikirimkan ke alamat ini; </w:t>
            </w:r>
            <w:r>
              <w:rPr>
                <w:rFonts w:hint="eastAsia" w:ascii="仿宋" w:hAnsi="仿宋" w:eastAsia="仿宋" w:cs="仿宋"/>
                <w:sz w:val="21"/>
                <w:szCs w:val="21"/>
              </w:rPr>
              <w:t>tidak akan ditanggapi</w:t>
            </w:r>
            <w:r>
              <w:rPr>
                <w:rStyle w:val="10"/>
                <w:rFonts w:hint="default" w:ascii="仿宋" w:hAnsi="仿宋" w:eastAsia="仿宋" w:cs="仿宋"/>
                <w:b w:val="0"/>
                <w:sz w:val="21"/>
                <w:szCs w:val="21"/>
              </w:rPr>
              <w:t xml:space="preserve"> jika dikirim ke alamat lain. Subjek email harus berjudul “</w:t>
            </w:r>
            <w:r>
              <w:rPr>
                <w:rFonts w:hint="eastAsia" w:ascii="仿宋" w:hAnsi="仿宋" w:eastAsia="仿宋" w:cs="仿宋"/>
                <w:sz w:val="21"/>
                <w:szCs w:val="21"/>
              </w:rPr>
              <w:t>Pertanyaan Tender/Pengadaan</w:t>
            </w:r>
            <w:r>
              <w:rPr>
                <w:rStyle w:val="10"/>
                <w:rFonts w:hint="default" w:ascii="仿宋" w:hAnsi="仿宋" w:eastAsia="仿宋" w:cs="仿宋"/>
                <w:b w:val="0"/>
                <w:sz w:val="21"/>
                <w:szCs w:val="21"/>
              </w:rPr>
              <w:t xml:space="preserve"> Paket Pengadaan Proyek Boja XXX (Nama Perusahaan)”.</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0" w:leftChars="0" w:firstLine="0" w:firstLineChars="0"/>
              <w:textAlignment w:val="center"/>
              <w:rPr>
                <w:rStyle w:val="10"/>
                <w:rFonts w:hint="default" w:ascii="仿宋" w:hAnsi="仿宋" w:eastAsia="仿宋" w:cs="仿宋"/>
                <w:b w:val="0"/>
                <w:bCs/>
                <w:sz w:val="21"/>
                <w:szCs w:val="21"/>
                <w:highlight w:val="yellow"/>
                <w:lang w:val="en-US" w:bidi="ar"/>
              </w:rPr>
            </w:pPr>
            <w:r>
              <w:rPr>
                <w:rStyle w:val="10"/>
                <w:rFonts w:hint="eastAsia" w:ascii="仿宋" w:hAnsi="仿宋" w:eastAsia="仿宋" w:cs="仿宋"/>
                <w:b w:val="0"/>
                <w:sz w:val="21"/>
                <w:szCs w:val="21"/>
                <w:lang w:val="en-US" w:eastAsia="zh-CN"/>
              </w:rPr>
              <w:t>4.</w:t>
            </w:r>
            <w:r>
              <w:rPr>
                <w:rStyle w:val="10"/>
                <w:rFonts w:ascii="仿宋" w:hAnsi="仿宋" w:eastAsia="仿宋" w:cs="仿宋"/>
                <w:b w:val="0"/>
                <w:sz w:val="21"/>
                <w:szCs w:val="21"/>
              </w:rPr>
              <w:t>采购内容：详见报价表</w:t>
            </w:r>
            <w:r>
              <w:rPr>
                <w:rStyle w:val="10"/>
                <w:rFonts w:hint="eastAsia" w:ascii="仿宋" w:hAnsi="仿宋" w:eastAsia="仿宋" w:cs="仿宋"/>
                <w:b w:val="0"/>
                <w:sz w:val="21"/>
                <w:szCs w:val="21"/>
                <w:highlight w:val="none"/>
                <w:lang w:val="en-US" w:eastAsia="zh-CN"/>
              </w:rPr>
              <w:t>。</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284" w:hanging="284"/>
              <w:textAlignment w:val="center"/>
              <w:rPr>
                <w:rFonts w:hint="eastAsia" w:ascii="仿宋" w:hAnsi="仿宋" w:eastAsia="仿宋" w:cs="仿宋"/>
                <w:sz w:val="21"/>
                <w:szCs w:val="21"/>
              </w:rPr>
            </w:pPr>
            <w:r>
              <w:rPr>
                <w:rStyle w:val="10"/>
                <w:rFonts w:hint="default" w:ascii="仿宋" w:hAnsi="仿宋" w:eastAsia="仿宋" w:cs="仿宋"/>
                <w:b w:val="0"/>
                <w:sz w:val="21"/>
                <w:szCs w:val="21"/>
              </w:rPr>
              <w:t>4.</w:t>
            </w:r>
            <w:r>
              <w:t xml:space="preserve"> </w:t>
            </w:r>
            <w:r>
              <w:rPr>
                <w:rStyle w:val="10"/>
                <w:rFonts w:hint="default" w:ascii="仿宋" w:hAnsi="仿宋" w:eastAsia="仿宋" w:cs="仿宋"/>
                <w:b w:val="0"/>
                <w:sz w:val="21"/>
                <w:szCs w:val="21"/>
              </w:rPr>
              <w:t>Ruang Lingkup Pengadaan:</w:t>
            </w:r>
            <w:r>
              <w:rPr>
                <w:rStyle w:val="10"/>
                <w:rFonts w:hint="eastAsia" w:ascii="仿宋" w:hAnsi="仿宋" w:eastAsia="仿宋" w:cs="仿宋"/>
                <w:b w:val="0"/>
                <w:sz w:val="20"/>
                <w:szCs w:val="20"/>
                <w:lang w:val="en-US" w:eastAsia="zh-CN"/>
              </w:rPr>
              <w:t>S</w:t>
            </w:r>
            <w:r>
              <w:rPr>
                <w:rFonts w:hint="eastAsia" w:ascii="仿宋" w:hAnsi="仿宋" w:eastAsia="仿宋" w:cs="仿宋"/>
                <w:sz w:val="22"/>
                <w:szCs w:val="22"/>
              </w:rPr>
              <w:t>ebagaimana tercantum dalam tabel penawaran harga.</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sz w:val="21"/>
                <w:szCs w:val="21"/>
                <w:lang w:val="en-US" w:eastAsia="zh-CN"/>
              </w:rPr>
              <w:t>5.</w:t>
            </w:r>
            <w:r>
              <w:rPr>
                <w:rStyle w:val="10"/>
                <w:rFonts w:ascii="仿宋" w:hAnsi="仿宋" w:eastAsia="仿宋" w:cs="仿宋"/>
                <w:b w:val="0"/>
                <w:sz w:val="21"/>
                <w:szCs w:val="21"/>
              </w:rPr>
              <w:t>采购方式：公开询比。</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sz w:val="16"/>
                <w:szCs w:val="16"/>
              </w:rPr>
            </w:pPr>
            <w:r>
              <w:rPr>
                <w:rStyle w:val="10"/>
                <w:rFonts w:hint="default" w:ascii="仿宋" w:hAnsi="仿宋" w:eastAsia="仿宋" w:cs="仿宋"/>
                <w:b w:val="0"/>
                <w:sz w:val="21"/>
                <w:szCs w:val="21"/>
              </w:rPr>
              <w:t xml:space="preserve">5. Metode Pengadaan: </w:t>
            </w:r>
            <w:r>
              <w:rPr>
                <w:rFonts w:hint="eastAsia" w:ascii="仿宋" w:hAnsi="仿宋" w:eastAsia="仿宋" w:cs="仿宋"/>
                <w:sz w:val="21"/>
                <w:szCs w:val="21"/>
              </w:rPr>
              <w:t>Permintaan Penawaran Terbuka (Open Inquiry/Comparison).</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val="0"/>
                <w:sz w:val="21"/>
                <w:szCs w:val="21"/>
                <w:lang w:val="en-US" w:eastAsia="zh-CN"/>
              </w:rPr>
              <w:t>6.</w:t>
            </w:r>
            <w:r>
              <w:rPr>
                <w:rStyle w:val="10"/>
                <w:rFonts w:ascii="仿宋" w:hAnsi="仿宋" w:eastAsia="仿宋" w:cs="仿宋"/>
                <w:b w:val="0"/>
                <w:sz w:val="21"/>
                <w:szCs w:val="21"/>
              </w:rPr>
              <w:t>评审方法：经评审的最低价法，按照满足采购需求且报价最低原则按顺序推荐候选成交供应商</w:t>
            </w:r>
            <w:r>
              <w:rPr>
                <w:rStyle w:val="10"/>
                <w:rFonts w:ascii="仿宋" w:hAnsi="仿宋" w:eastAsia="仿宋" w:cs="仿宋"/>
                <w:b w:val="0"/>
                <w:sz w:val="21"/>
                <w:szCs w:val="21"/>
                <w:highlight w:val="none"/>
              </w:rPr>
              <w:t>。</w:t>
            </w:r>
          </w:p>
          <w:p>
            <w:pPr>
              <w:widowControl/>
              <w:adjustRightInd w:val="0"/>
              <w:snapToGrid w:val="0"/>
              <w:spacing w:line="320" w:lineRule="exact"/>
              <w:ind w:left="284" w:hanging="284"/>
              <w:textAlignment w:val="center"/>
              <w:rPr>
                <w:rStyle w:val="10"/>
                <w:rFonts w:hint="eastAsia" w:ascii="仿宋" w:hAnsi="仿宋" w:eastAsia="仿宋" w:cs="仿宋"/>
                <w:b w:val="0"/>
                <w:sz w:val="15"/>
                <w:szCs w:val="15"/>
              </w:rPr>
            </w:pPr>
            <w:r>
              <w:rPr>
                <w:rStyle w:val="10"/>
                <w:rFonts w:hint="default" w:ascii="仿宋" w:hAnsi="仿宋" w:eastAsia="仿宋" w:cs="仿宋"/>
                <w:b w:val="0"/>
                <w:sz w:val="21"/>
                <w:szCs w:val="21"/>
              </w:rPr>
              <w:t xml:space="preserve">6. </w:t>
            </w:r>
            <w:r>
              <w:rPr>
                <w:rFonts w:hint="eastAsia" w:ascii="仿宋" w:hAnsi="仿宋" w:eastAsia="仿宋" w:cs="仿宋"/>
                <w:sz w:val="21"/>
                <w:szCs w:val="21"/>
              </w:rPr>
              <w:t xml:space="preserve">Metode Evaluasi: </w:t>
            </w:r>
            <w:r>
              <w:rPr>
                <w:rFonts w:hint="eastAsia" w:ascii="仿宋" w:hAnsi="仿宋" w:eastAsia="仿宋" w:cs="仿宋"/>
                <w:sz w:val="22"/>
                <w:szCs w:val="22"/>
              </w:rPr>
              <w:t>Metode harga terendah setelah evaluasi (Evaluated Lowest Price Method), yaitu dengan merekomendasikan calon penyedia berdasarkan pemenuhan persyaratan pengadaan dan penawaran harga terendah.</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sz w:val="21"/>
                <w:szCs w:val="21"/>
                <w:highlight w:val="none"/>
              </w:rPr>
            </w:pPr>
            <w:r>
              <w:rPr>
                <w:rStyle w:val="10"/>
                <w:rFonts w:hint="eastAsia" w:ascii="仿宋" w:hAnsi="仿宋" w:eastAsia="仿宋" w:cs="仿宋"/>
                <w:b w:val="0"/>
                <w:bCs/>
                <w:sz w:val="21"/>
                <w:szCs w:val="21"/>
                <w:highlight w:val="none"/>
                <w:lang w:val="en-US" w:eastAsia="zh-CN"/>
              </w:rPr>
              <w:t>7.</w:t>
            </w:r>
            <w:r>
              <w:rPr>
                <w:rStyle w:val="10"/>
                <w:rFonts w:ascii="仿宋" w:hAnsi="仿宋" w:eastAsia="仿宋" w:cs="仿宋"/>
                <w:b w:val="0"/>
                <w:bCs/>
                <w:sz w:val="21"/>
                <w:szCs w:val="21"/>
                <w:highlight w:val="none"/>
              </w:rPr>
              <w:t>报价截止时间：</w:t>
            </w:r>
            <w:bookmarkStart w:id="0" w:name="OLE_LINK1"/>
            <w:r>
              <w:rPr>
                <w:rStyle w:val="10"/>
                <w:rFonts w:hint="eastAsia" w:ascii="仿宋" w:hAnsi="仿宋" w:eastAsia="仿宋" w:cs="仿宋"/>
                <w:b w:val="0"/>
                <w:sz w:val="21"/>
                <w:szCs w:val="21"/>
                <w:highlight w:val="none"/>
                <w:lang w:val="en-US" w:eastAsia="zh-CN"/>
              </w:rPr>
              <w:t>2026</w:t>
            </w:r>
            <w:r>
              <w:rPr>
                <w:rStyle w:val="10"/>
                <w:rFonts w:hint="default" w:ascii="仿宋" w:hAnsi="仿宋" w:eastAsia="仿宋" w:cs="仿宋"/>
                <w:b w:val="0"/>
                <w:sz w:val="21"/>
                <w:szCs w:val="21"/>
                <w:highlight w:val="none"/>
              </w:rPr>
              <w:t>年</w:t>
            </w:r>
            <w:r>
              <w:rPr>
                <w:rStyle w:val="10"/>
                <w:rFonts w:hint="eastAsia" w:ascii="仿宋" w:hAnsi="仿宋" w:eastAsia="仿宋" w:cs="仿宋"/>
                <w:b w:val="0"/>
                <w:sz w:val="21"/>
                <w:szCs w:val="21"/>
                <w:highlight w:val="none"/>
                <w:lang w:val="en-US" w:eastAsia="zh-CN"/>
              </w:rPr>
              <w:t>9</w:t>
            </w:r>
            <w:r>
              <w:rPr>
                <w:rStyle w:val="10"/>
                <w:rFonts w:hint="default" w:ascii="仿宋" w:hAnsi="仿宋" w:eastAsia="仿宋" w:cs="仿宋"/>
                <w:b w:val="0"/>
                <w:sz w:val="21"/>
                <w:szCs w:val="21"/>
                <w:highlight w:val="none"/>
              </w:rPr>
              <w:t>月</w:t>
            </w:r>
            <w:r>
              <w:rPr>
                <w:rStyle w:val="10"/>
                <w:rFonts w:hint="eastAsia" w:ascii="仿宋" w:hAnsi="仿宋" w:eastAsia="仿宋" w:cs="仿宋"/>
                <w:b w:val="0"/>
                <w:sz w:val="21"/>
                <w:szCs w:val="21"/>
                <w:highlight w:val="none"/>
                <w:lang w:val="en-US" w:eastAsia="zh-CN"/>
              </w:rPr>
              <w:t>20</w:t>
            </w:r>
            <w:r>
              <w:rPr>
                <w:rStyle w:val="10"/>
                <w:rFonts w:hint="default" w:ascii="仿宋" w:hAnsi="仿宋" w:eastAsia="仿宋" w:cs="仿宋"/>
                <w:b w:val="0"/>
                <w:sz w:val="21"/>
                <w:szCs w:val="21"/>
                <w:highlight w:val="none"/>
              </w:rPr>
              <w:t>日</w:t>
            </w:r>
            <w:r>
              <w:rPr>
                <w:rStyle w:val="10"/>
                <w:rFonts w:hint="eastAsia" w:ascii="仿宋" w:hAnsi="仿宋" w:eastAsia="仿宋" w:cs="仿宋"/>
                <w:b w:val="0"/>
                <w:sz w:val="21"/>
                <w:szCs w:val="21"/>
                <w:highlight w:val="none"/>
                <w:lang w:val="en-US" w:eastAsia="zh-CN"/>
              </w:rPr>
              <w:t>9:</w:t>
            </w:r>
            <w:r>
              <w:rPr>
                <w:rStyle w:val="10"/>
                <w:rFonts w:hint="eastAsia" w:ascii="仿宋" w:hAnsi="仿宋" w:eastAsia="仿宋" w:cs="仿宋"/>
                <w:b w:val="0"/>
                <w:sz w:val="21"/>
                <w:szCs w:val="21"/>
                <w:highlight w:val="none"/>
                <w:lang w:eastAsia="zh-CN"/>
              </w:rPr>
              <w:t>0</w:t>
            </w:r>
            <w:r>
              <w:rPr>
                <w:rStyle w:val="10"/>
                <w:rFonts w:hint="eastAsia" w:ascii="仿宋" w:hAnsi="仿宋" w:eastAsia="仿宋" w:cs="仿宋"/>
                <w:b w:val="0"/>
                <w:sz w:val="21"/>
                <w:szCs w:val="21"/>
                <w:highlight w:val="none"/>
                <w:lang w:val="en-US" w:eastAsia="zh-CN"/>
              </w:rPr>
              <w:t>0</w:t>
            </w:r>
            <w:r>
              <w:rPr>
                <w:rStyle w:val="10"/>
                <w:rFonts w:hint="default" w:ascii="仿宋" w:hAnsi="仿宋" w:eastAsia="仿宋" w:cs="仿宋"/>
                <w:b w:val="0"/>
                <w:sz w:val="21"/>
                <w:szCs w:val="21"/>
                <w:highlight w:val="none"/>
              </w:rPr>
              <w:t>点前</w:t>
            </w:r>
            <w:bookmarkEnd w:id="0"/>
            <w:r>
              <w:rPr>
                <w:rStyle w:val="10"/>
                <w:rFonts w:hint="default" w:ascii="仿宋" w:hAnsi="仿宋" w:eastAsia="仿宋" w:cs="仿宋"/>
                <w:b w:val="0"/>
                <w:sz w:val="21"/>
                <w:szCs w:val="21"/>
                <w:highlight w:val="none"/>
              </w:rPr>
              <w:t>（雅加达时间）。</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highlight w:val="none"/>
                <w:lang w:val="en-US" w:eastAsia="zh-CN"/>
              </w:rPr>
            </w:pPr>
            <w:r>
              <w:rPr>
                <w:rStyle w:val="10"/>
                <w:rFonts w:hint="default" w:ascii="仿宋" w:hAnsi="仿宋" w:eastAsia="仿宋" w:cs="仿宋"/>
                <w:b w:val="0"/>
                <w:bCs/>
                <w:sz w:val="21"/>
                <w:szCs w:val="21"/>
                <w:highlight w:val="none"/>
              </w:rPr>
              <w:t xml:space="preserve">7. </w:t>
            </w:r>
            <w:r>
              <w:rPr>
                <w:rFonts w:hint="eastAsia" w:ascii="仿宋" w:hAnsi="仿宋" w:eastAsia="仿宋" w:cs="仿宋"/>
                <w:sz w:val="22"/>
                <w:szCs w:val="22"/>
              </w:rPr>
              <w:t xml:space="preserve">Batas waktu penyampaian penawaran: </w:t>
            </w:r>
            <w:r>
              <w:rPr>
                <w:rFonts w:hint="eastAsia" w:ascii="仿宋" w:hAnsi="仿宋" w:eastAsia="仿宋" w:cs="仿宋"/>
                <w:sz w:val="22"/>
                <w:szCs w:val="22"/>
                <w:lang w:val="en-US" w:eastAsia="zh-CN"/>
              </w:rPr>
              <w:t>Sebelum pukul 09.00 WIB (Waktu Jakarta) pada tanggal 20 September 2026.</w:t>
            </w:r>
          </w:p>
          <w:p>
            <w:pPr>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rPr>
              <w:t>8.</w:t>
            </w:r>
            <w:r>
              <w:rPr>
                <w:rStyle w:val="10"/>
                <w:rFonts w:ascii="仿宋" w:hAnsi="仿宋" w:eastAsia="仿宋" w:cs="仿宋"/>
                <w:b w:val="0"/>
                <w:bCs/>
                <w:sz w:val="21"/>
                <w:szCs w:val="21"/>
              </w:rPr>
              <w:t>送货地址：</w:t>
            </w:r>
            <w:r>
              <w:rPr>
                <w:rStyle w:val="10"/>
                <w:rFonts w:hint="default" w:ascii="仿宋" w:hAnsi="仿宋" w:eastAsia="仿宋" w:cs="仿宋"/>
                <w:b w:val="0"/>
                <w:bCs/>
                <w:sz w:val="21"/>
                <w:szCs w:val="21"/>
              </w:rPr>
              <w:t>PLTU SUMSEL 8 Desa Tanjung Lalang, Tanjung Agung, Kabupaten Muara Enim, Sumatera Selatan</w:t>
            </w:r>
            <w:r>
              <w:rPr>
                <w:rStyle w:val="10"/>
                <w:rFonts w:hint="eastAsia" w:ascii="仿宋" w:hAnsi="仿宋" w:eastAsia="仿宋" w:cs="仿宋"/>
                <w:b w:val="0"/>
                <w:bCs/>
                <w:sz w:val="21"/>
                <w:szCs w:val="21"/>
                <w:lang w:eastAsia="zh-CN" w:bidi="ar"/>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8. Alamat Pengiriman:</w:t>
            </w:r>
            <w:r>
              <w:rPr>
                <w:rFonts w:hint="eastAsia" w:ascii="仿宋" w:hAnsi="仿宋" w:eastAsia="仿宋" w:cs="仿宋"/>
                <w:b w:val="0"/>
                <w:bCs w:val="0"/>
                <w:sz w:val="21"/>
                <w:szCs w:val="21"/>
              </w:rPr>
              <w:t xml:space="preserve">PLTU Sumsel 8, Desa Tanjung Lalang, </w:t>
            </w:r>
            <w:r>
              <w:rPr>
                <w:rStyle w:val="7"/>
                <w:rFonts w:hint="eastAsia" w:ascii="仿宋" w:hAnsi="仿宋" w:eastAsia="仿宋" w:cs="仿宋"/>
                <w:b w:val="0"/>
                <w:bCs w:val="0"/>
                <w:sz w:val="21"/>
                <w:szCs w:val="21"/>
              </w:rPr>
              <w:t>Kecamatan Tanjung Agung</w:t>
            </w:r>
            <w:r>
              <w:rPr>
                <w:rFonts w:hint="eastAsia" w:ascii="仿宋" w:hAnsi="仿宋" w:eastAsia="仿宋" w:cs="仿宋"/>
                <w:b w:val="0"/>
                <w:bCs w:val="0"/>
                <w:sz w:val="21"/>
                <w:szCs w:val="21"/>
              </w:rPr>
              <w:t>, Kabupaten Muara Enim, Sumatera Selatan.</w:t>
            </w:r>
            <w:r>
              <w:rPr>
                <w:rStyle w:val="10"/>
                <w:rFonts w:hint="default" w:ascii="仿宋" w:hAnsi="仿宋" w:eastAsia="仿宋" w:cs="仿宋"/>
                <w:b w:val="0"/>
                <w:bCs/>
                <w:sz w:val="21"/>
                <w:szCs w:val="21"/>
                <w:lang w:bidi="ar"/>
              </w:rPr>
              <w:t xml:space="preserve">  </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9.</w:t>
            </w:r>
            <w:r>
              <w:rPr>
                <w:rStyle w:val="10"/>
                <w:rFonts w:hint="default" w:ascii="仿宋" w:hAnsi="仿宋" w:eastAsia="仿宋" w:cs="仿宋"/>
                <w:b w:val="0"/>
                <w:bCs/>
                <w:sz w:val="21"/>
                <w:szCs w:val="21"/>
                <w:lang w:bidi="ar"/>
              </w:rPr>
              <w:t>采购监督投诉受理邮箱</w:t>
            </w:r>
            <w:r>
              <w:rPr>
                <w:rStyle w:val="10"/>
                <w:rFonts w:hint="eastAsia" w:ascii="仿宋" w:hAnsi="仿宋" w:eastAsia="仿宋" w:cs="仿宋"/>
                <w:b w:val="0"/>
                <w:bCs/>
                <w:sz w:val="21"/>
                <w:szCs w:val="21"/>
                <w:lang w:val="en-US" w:eastAsia="zh-CN" w:bidi="ar"/>
              </w:rPr>
              <w:t>:</w:t>
            </w:r>
            <w:r>
              <w:rPr>
                <w:rStyle w:val="10"/>
                <w:rFonts w:hint="default" w:ascii="仿宋" w:hAnsi="仿宋" w:eastAsia="仿宋" w:cs="仿宋"/>
                <w:b w:val="0"/>
                <w:bCs/>
                <w:color w:val="0000FF"/>
                <w:sz w:val="21"/>
                <w:szCs w:val="21"/>
                <w:u w:val="single"/>
                <w:lang w:bidi="ar"/>
              </w:rPr>
              <w:t>chdptplpe@gmail.com</w:t>
            </w:r>
            <w:r>
              <w:rPr>
                <w:rStyle w:val="10"/>
                <w:rFonts w:hint="default" w:ascii="仿宋" w:hAnsi="仿宋" w:eastAsia="仿宋" w:cs="仿宋"/>
                <w:b w:val="0"/>
                <w:bCs/>
                <w:sz w:val="21"/>
                <w:szCs w:val="21"/>
                <w:lang w:bidi="ar"/>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6"/>
                <w:bCs/>
                <w:lang w:bidi="ar"/>
              </w:rPr>
            </w:pPr>
            <w:r>
              <w:rPr>
                <w:rStyle w:val="10"/>
                <w:rFonts w:hint="default" w:ascii="仿宋" w:hAnsi="仿宋" w:eastAsia="仿宋" w:cs="仿宋"/>
                <w:b w:val="0"/>
                <w:bCs/>
                <w:sz w:val="21"/>
                <w:szCs w:val="21"/>
                <w:lang w:bidi="ar"/>
              </w:rPr>
              <w:t xml:space="preserve">9. Alamat Email Pengaduan Pengawasan Pengadaan: </w:t>
            </w:r>
            <w:r>
              <w:rPr>
                <w:rStyle w:val="10"/>
                <w:rFonts w:hint="default" w:ascii="仿宋" w:hAnsi="仿宋" w:eastAsia="仿宋" w:cs="仿宋"/>
                <w:b w:val="0"/>
                <w:bCs/>
                <w:color w:val="0000FF"/>
                <w:sz w:val="21"/>
                <w:szCs w:val="21"/>
                <w:u w:val="single"/>
                <w:lang w:bidi="ar"/>
              </w:rPr>
              <w:t>chdptplpe@gmail.com</w:t>
            </w:r>
            <w:r>
              <w:rPr>
                <w:rStyle w:val="10"/>
                <w:rFonts w:hint="default" w:ascii="仿宋" w:hAnsi="仿宋" w:eastAsia="仿宋" w:cs="仿宋"/>
                <w:b w:val="0"/>
                <w:bCs/>
                <w:sz w:val="21"/>
                <w:szCs w:val="21"/>
                <w:lang w:bidi="ar"/>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二、报价说明</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 xml:space="preserve">II.  </w:t>
            </w:r>
            <w:r>
              <w:rPr>
                <w:rFonts w:hint="eastAsia" w:ascii="仿宋" w:hAnsi="仿宋" w:eastAsia="仿宋" w:cs="仿宋"/>
                <w:sz w:val="22"/>
                <w:szCs w:val="22"/>
              </w:rPr>
              <w:t>Ketentuan Penawaran</w:t>
            </w:r>
          </w:p>
          <w:p>
            <w:pPr>
              <w:keepNext w:val="0"/>
              <w:keepLines w:val="0"/>
              <w:pageBreakBefore w:val="0"/>
              <w:widowControl/>
              <w:kinsoku/>
              <w:wordWrap/>
              <w:overflowPunct/>
              <w:topLinePunct w:val="0"/>
              <w:autoSpaceDE/>
              <w:autoSpaceDN/>
              <w:bidi w:val="0"/>
              <w:adjustRightInd w:val="0"/>
              <w:snapToGrid w:val="0"/>
              <w:spacing w:line="300" w:lineRule="exact"/>
              <w:ind w:left="210" w:hanging="210" w:hangingChars="100"/>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1.</w:t>
            </w:r>
            <w:r>
              <w:rPr>
                <w:rStyle w:val="10"/>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sz w:val="18"/>
                <w:szCs w:val="18"/>
                <w:lang w:bidi="ar"/>
              </w:rPr>
            </w:pPr>
            <w:r>
              <w:rPr>
                <w:rStyle w:val="10"/>
                <w:rFonts w:hint="default" w:ascii="仿宋" w:hAnsi="仿宋" w:eastAsia="仿宋" w:cs="仿宋"/>
                <w:b w:val="0"/>
                <w:bCs/>
                <w:sz w:val="21"/>
                <w:szCs w:val="21"/>
                <w:lang w:bidi="ar"/>
              </w:rPr>
              <w:t xml:space="preserve">1. </w:t>
            </w:r>
            <w:r>
              <w:rPr>
                <w:rFonts w:hint="eastAsia" w:ascii="仿宋" w:hAnsi="仿宋" w:eastAsia="仿宋" w:cs="仿宋"/>
                <w:b w:val="0"/>
                <w:bCs/>
                <w:sz w:val="21"/>
                <w:szCs w:val="21"/>
              </w:rPr>
              <w:t xml:space="preserve">Penawaran dari peserta harus mencakup </w:t>
            </w:r>
            <w:r>
              <w:rPr>
                <w:rStyle w:val="7"/>
                <w:rFonts w:hint="eastAsia" w:ascii="仿宋" w:hAnsi="仿宋" w:eastAsia="仿宋" w:cs="仿宋"/>
                <w:b w:val="0"/>
                <w:bCs/>
                <w:sz w:val="21"/>
                <w:szCs w:val="21"/>
              </w:rPr>
              <w:t>biaya tenaga kerja, biaya material, biaya transportasi dan penanganan, biaya manajemen, keuntungan, pajak PPN, biaya asuransi, serta seluruh biaya yang timbul hingga barang tiba di lokasi penyerahan yang ditetapkan oleh Pengguna Jasa</w:t>
            </w:r>
            <w:r>
              <w:rPr>
                <w:rFonts w:hint="eastAsia" w:ascii="仿宋" w:hAnsi="仿宋" w:eastAsia="仿宋" w:cs="仿宋"/>
                <w:b w:val="0"/>
                <w:bCs/>
                <w:sz w:val="21"/>
                <w:szCs w:val="21"/>
              </w:rPr>
              <w:t>.</w:t>
            </w:r>
            <w:r>
              <w:rPr>
                <w:rStyle w:val="7"/>
                <w:rFonts w:hint="eastAsia" w:ascii="仿宋" w:hAnsi="仿宋" w:eastAsia="仿宋" w:cs="仿宋"/>
                <w:b w:val="0"/>
                <w:bCs/>
                <w:sz w:val="21"/>
                <w:szCs w:val="21"/>
              </w:rPr>
              <w:t>Harga bersifat tetap (fixed price) dan tidak dapat berubah.</w:t>
            </w:r>
          </w:p>
          <w:p>
            <w:pPr>
              <w:keepNext w:val="0"/>
              <w:keepLines w:val="0"/>
              <w:pageBreakBefore w:val="0"/>
              <w:widowControl/>
              <w:kinsoku/>
              <w:wordWrap/>
              <w:overflowPunct/>
              <w:topLinePunct w:val="0"/>
              <w:autoSpaceDE/>
              <w:autoSpaceDN/>
              <w:bidi w:val="0"/>
              <w:adjustRightInd w:val="0"/>
              <w:snapToGrid w:val="0"/>
              <w:spacing w:line="300" w:lineRule="exact"/>
              <w:ind w:left="0"/>
              <w:textAlignment w:val="center"/>
              <w:rPr>
                <w:rStyle w:val="10"/>
                <w:rFonts w:hint="default"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 xml:space="preserve">2. </w:t>
            </w:r>
            <w:r>
              <w:rPr>
                <w:rStyle w:val="10"/>
                <w:rFonts w:hint="default" w:ascii="仿宋" w:hAnsi="仿宋" w:eastAsia="仿宋" w:cs="仿宋"/>
                <w:b w:val="0"/>
                <w:bCs/>
                <w:sz w:val="21"/>
                <w:szCs w:val="21"/>
                <w:lang w:bidi="ar"/>
              </w:rPr>
              <w:t>特别注意：所报货物参数规格务必符合要求，所报产品差异应注明。</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sz w:val="18"/>
                <w:szCs w:val="18"/>
                <w:lang w:bidi="ar"/>
              </w:rPr>
            </w:pPr>
            <w:r>
              <w:rPr>
                <w:rStyle w:val="10"/>
                <w:rFonts w:hint="default" w:ascii="仿宋" w:hAnsi="仿宋" w:eastAsia="仿宋" w:cs="仿宋"/>
                <w:b w:val="0"/>
                <w:bCs/>
                <w:sz w:val="21"/>
                <w:szCs w:val="21"/>
                <w:lang w:bidi="ar"/>
              </w:rPr>
              <w:t xml:space="preserve">2. </w:t>
            </w:r>
            <w:r>
              <w:rPr>
                <w:rStyle w:val="7"/>
                <w:rFonts w:hint="eastAsia" w:ascii="仿宋" w:hAnsi="仿宋" w:eastAsia="仿宋" w:cs="仿宋"/>
                <w:b w:val="0"/>
                <w:bCs/>
                <w:sz w:val="21"/>
                <w:szCs w:val="21"/>
              </w:rPr>
              <w:t>Ketentuan Khusus:</w:t>
            </w:r>
            <w:r>
              <w:rPr>
                <w:rFonts w:hint="eastAsia" w:ascii="仿宋" w:hAnsi="仿宋" w:eastAsia="仿宋" w:cs="仿宋"/>
                <w:b w:val="0"/>
                <w:bCs/>
                <w:sz w:val="21"/>
                <w:szCs w:val="21"/>
              </w:rPr>
              <w:t xml:space="preserve"> Spesifikasi dan parameter barang yang ditawarkan </w:t>
            </w:r>
            <w:r>
              <w:rPr>
                <w:rStyle w:val="7"/>
                <w:rFonts w:hint="eastAsia" w:ascii="仿宋" w:hAnsi="仿宋" w:eastAsia="仿宋" w:cs="仿宋"/>
                <w:b w:val="0"/>
                <w:bCs/>
                <w:sz w:val="21"/>
                <w:szCs w:val="21"/>
              </w:rPr>
              <w:t>wajib sesuai dengan persyaratan</w:t>
            </w:r>
            <w:r>
              <w:rPr>
                <w:rFonts w:hint="eastAsia" w:ascii="仿宋" w:hAnsi="仿宋" w:eastAsia="仿宋" w:cs="仿宋"/>
                <w:b w:val="0"/>
                <w:bCs/>
                <w:sz w:val="21"/>
                <w:szCs w:val="21"/>
              </w:rPr>
              <w:t xml:space="preserve">. Apabila terdapat perbedaan, harus </w:t>
            </w:r>
            <w:r>
              <w:rPr>
                <w:rStyle w:val="7"/>
                <w:rFonts w:hint="eastAsia" w:ascii="仿宋" w:hAnsi="仿宋" w:eastAsia="仿宋" w:cs="仿宋"/>
                <w:b w:val="0"/>
                <w:bCs/>
                <w:sz w:val="21"/>
                <w:szCs w:val="21"/>
              </w:rPr>
              <w:t>dinyatakan secara jelas</w:t>
            </w:r>
            <w:r>
              <w:rPr>
                <w:rFonts w:hint="eastAsia" w:ascii="仿宋" w:hAnsi="仿宋" w:eastAsia="仿宋" w:cs="仿宋"/>
                <w:b w:val="0"/>
                <w:bCs/>
                <w:sz w:val="21"/>
                <w:szCs w:val="21"/>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3. 供货周期：</w:t>
            </w:r>
            <w:r>
              <w:rPr>
                <w:rStyle w:val="10"/>
                <w:rFonts w:hint="eastAsia" w:ascii="仿宋" w:hAnsi="仿宋" w:eastAsia="仿宋" w:cs="仿宋"/>
                <w:b w:val="0"/>
                <w:bCs/>
                <w:sz w:val="21"/>
                <w:szCs w:val="21"/>
                <w:highlight w:val="none"/>
                <w:lang w:val="en-US" w:eastAsia="zh-CN" w:bidi="ar"/>
              </w:rPr>
              <w:t>以采购清单要求为准</w:t>
            </w:r>
            <w:r>
              <w:rPr>
                <w:rStyle w:val="10"/>
                <w:rFonts w:hint="default" w:ascii="仿宋" w:hAnsi="仿宋" w:eastAsia="仿宋" w:cs="仿宋"/>
                <w:b w:val="0"/>
                <w:bCs/>
                <w:sz w:val="21"/>
                <w:szCs w:val="21"/>
                <w:lang w:bidi="ar"/>
              </w:rPr>
              <w:t>，如有特殊产品交货期晚于该时间，经确认后可适当延长。</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sz w:val="15"/>
                <w:szCs w:val="15"/>
                <w:lang w:bidi="ar"/>
              </w:rPr>
            </w:pPr>
            <w:r>
              <w:rPr>
                <w:rStyle w:val="10"/>
                <w:rFonts w:hint="default" w:ascii="仿宋" w:hAnsi="仿宋" w:eastAsia="仿宋" w:cs="仿宋"/>
                <w:b w:val="0"/>
                <w:bCs/>
                <w:sz w:val="21"/>
                <w:szCs w:val="21"/>
                <w:lang w:bidi="ar"/>
              </w:rPr>
              <w:t>3.</w:t>
            </w:r>
            <w:r>
              <w:rPr>
                <w:rStyle w:val="10"/>
                <w:rFonts w:hint="default" w:ascii="仿宋" w:hAnsi="仿宋" w:eastAsia="仿宋" w:cs="仿宋"/>
                <w:b w:val="0"/>
                <w:bCs/>
                <w:color w:val="auto"/>
                <w:sz w:val="21"/>
                <w:szCs w:val="21"/>
                <w:shd w:val="clear" w:color="auto" w:fill="auto"/>
                <w:lang w:bidi="ar"/>
              </w:rPr>
              <w:t xml:space="preserve"> </w:t>
            </w:r>
            <w:r>
              <w:rPr>
                <w:rFonts w:hint="eastAsia" w:ascii="仿宋" w:hAnsi="仿宋" w:eastAsia="仿宋" w:cs="仿宋"/>
                <w:b w:val="0"/>
                <w:bCs w:val="0"/>
                <w:sz w:val="21"/>
                <w:szCs w:val="21"/>
              </w:rPr>
              <w:t xml:space="preserve">Jangka waktu pengiriman mengacu pada daftar pengadaan. </w:t>
            </w:r>
            <w:r>
              <w:rPr>
                <w:rFonts w:hint="eastAsia" w:ascii="仿宋" w:hAnsi="仿宋" w:eastAsia="仿宋" w:cs="仿宋"/>
                <w:sz w:val="21"/>
                <w:szCs w:val="21"/>
              </w:rPr>
              <w:t>Untuk produk khusus dengan waktu pengiriman lebih lama, jangka waktu dapat diperpanjang setelah mendapat persetujuan.</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4. 资格审查资料：提供营业执照、税务登记证、法人身份证明文件。</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sz w:val="20"/>
                <w:szCs w:val="20"/>
                <w:lang w:val="en-US" w:eastAsia="zh-CN" w:bidi="ar"/>
              </w:rPr>
            </w:pPr>
            <w:r>
              <w:rPr>
                <w:rStyle w:val="10"/>
                <w:rFonts w:hint="default" w:ascii="仿宋" w:hAnsi="仿宋" w:eastAsia="仿宋" w:cs="仿宋"/>
                <w:b w:val="0"/>
                <w:bCs/>
                <w:sz w:val="21"/>
                <w:szCs w:val="21"/>
                <w:lang w:bidi="ar"/>
              </w:rPr>
              <w:t xml:space="preserve">4. </w:t>
            </w:r>
            <w:r>
              <w:rPr>
                <w:rStyle w:val="10"/>
                <w:rFonts w:hint="default" w:ascii="仿宋" w:hAnsi="仿宋" w:eastAsia="仿宋" w:cs="仿宋"/>
                <w:b w:val="0"/>
                <w:bCs/>
                <w:sz w:val="22"/>
                <w:szCs w:val="22"/>
                <w:lang w:bidi="ar"/>
              </w:rPr>
              <w:t>Dokumen Verifikasi Kualifikasi: Sediakan Surat Izin Usaha, Sertifikat Pendaftaran Pajak, dan</w:t>
            </w:r>
            <w:r>
              <w:rPr>
                <w:rStyle w:val="10"/>
                <w:rFonts w:hint="eastAsia" w:ascii="仿宋" w:hAnsi="仿宋" w:eastAsia="仿宋" w:cs="仿宋"/>
                <w:b w:val="0"/>
                <w:bCs/>
                <w:sz w:val="22"/>
                <w:szCs w:val="22"/>
                <w:lang w:val="en-US" w:eastAsia="zh-CN" w:bidi="ar"/>
              </w:rPr>
              <w:t xml:space="preserve"> </w:t>
            </w:r>
            <w:r>
              <w:rPr>
                <w:rFonts w:hint="eastAsia" w:ascii="仿宋" w:hAnsi="仿宋" w:eastAsia="仿宋" w:cs="仿宋"/>
                <w:sz w:val="22"/>
                <w:szCs w:val="22"/>
              </w:rPr>
              <w:t>Dokumen identitas perwakilan hukum (Direktur/Pimpinan Perusahaan)</w:t>
            </w:r>
            <w:r>
              <w:rPr>
                <w:rFonts w:hint="eastAsia" w:ascii="仿宋" w:hAnsi="仿宋" w:eastAsia="仿宋" w:cs="仿宋"/>
                <w:sz w:val="22"/>
                <w:szCs w:val="22"/>
                <w:lang w:val="en-US" w:eastAsia="zh-CN"/>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5. 付款方式：货到验收合格后通过银行转账付款，报价人应具有银行对公账户。</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 xml:space="preserve">5. </w:t>
            </w:r>
            <w:r>
              <w:rPr>
                <w:rFonts w:hint="eastAsia" w:ascii="仿宋" w:hAnsi="仿宋" w:eastAsia="仿宋" w:cs="仿宋"/>
                <w:b w:val="0"/>
                <w:bCs w:val="0"/>
                <w:sz w:val="21"/>
                <w:szCs w:val="21"/>
              </w:rPr>
              <w:t xml:space="preserve">Metode Pembayaran: Pembayaran dilakukan melalui transfer bank setelah barang diterima dan dinyatakan lulus pemeriksaan. Peserta wajib memiliki </w:t>
            </w:r>
            <w:r>
              <w:rPr>
                <w:rStyle w:val="7"/>
                <w:rFonts w:hint="eastAsia" w:ascii="仿宋" w:hAnsi="仿宋" w:eastAsia="仿宋" w:cs="仿宋"/>
                <w:b w:val="0"/>
                <w:bCs w:val="0"/>
                <w:sz w:val="21"/>
                <w:szCs w:val="21"/>
              </w:rPr>
              <w:t>rekening bank atas nama perusahaan</w:t>
            </w:r>
            <w:r>
              <w:rPr>
                <w:rFonts w:hint="eastAsia" w:ascii="仿宋" w:hAnsi="仿宋" w:eastAsia="仿宋" w:cs="仿宋"/>
                <w:b w:val="0"/>
                <w:bCs w:val="0"/>
                <w:sz w:val="21"/>
                <w:szCs w:val="21"/>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highlight w:val="none"/>
                <w:lang w:val="en-US" w:eastAsia="zh-CN" w:bidi="ar"/>
              </w:rPr>
            </w:pPr>
            <w:r>
              <w:rPr>
                <w:rStyle w:val="10"/>
                <w:rFonts w:hint="default" w:ascii="仿宋" w:hAnsi="仿宋" w:eastAsia="仿宋" w:cs="仿宋"/>
                <w:b w:val="0"/>
                <w:bCs/>
                <w:sz w:val="21"/>
                <w:szCs w:val="21"/>
                <w:lang w:bidi="ar"/>
              </w:rPr>
              <w:t>6</w:t>
            </w:r>
            <w:r>
              <w:rPr>
                <w:rStyle w:val="10"/>
                <w:rFonts w:hint="default" w:ascii="仿宋" w:hAnsi="仿宋" w:eastAsia="仿宋" w:cs="仿宋"/>
                <w:b w:val="0"/>
                <w:bCs/>
                <w:sz w:val="21"/>
                <w:szCs w:val="21"/>
                <w:highlight w:val="none"/>
                <w:lang w:bidi="ar"/>
              </w:rPr>
              <w:t>. 质保金：</w:t>
            </w:r>
            <w:r>
              <w:rPr>
                <w:rStyle w:val="10"/>
                <w:rFonts w:hint="default" w:ascii="仿宋" w:hAnsi="仿宋" w:eastAsia="仿宋" w:cs="仿宋"/>
                <w:b w:val="0"/>
                <w:bCs/>
                <w:sz w:val="21"/>
                <w:szCs w:val="21"/>
                <w:highlight w:val="none"/>
                <w:lang w:bidi="ar"/>
              </w:rPr>
              <w:sym w:font="Wingdings 2" w:char="00A3"/>
            </w:r>
            <w:r>
              <w:rPr>
                <w:rStyle w:val="10"/>
                <w:rFonts w:hint="default" w:ascii="仿宋" w:hAnsi="仿宋" w:eastAsia="仿宋" w:cs="仿宋"/>
                <w:b w:val="0"/>
                <w:bCs/>
                <w:sz w:val="21"/>
                <w:szCs w:val="21"/>
                <w:highlight w:val="none"/>
                <w:lang w:bidi="ar"/>
              </w:rPr>
              <w:t>不适用。</w:t>
            </w:r>
            <w:r>
              <w:rPr>
                <w:rStyle w:val="10"/>
                <w:rFonts w:hint="default" w:ascii="仿宋" w:hAnsi="仿宋" w:eastAsia="仿宋" w:cs="仿宋"/>
                <w:b w:val="0"/>
                <w:bCs/>
                <w:sz w:val="21"/>
                <w:szCs w:val="21"/>
                <w:highlight w:val="none"/>
                <w:lang w:bidi="ar"/>
              </w:rPr>
              <w:sym w:font="Wingdings 2" w:char="0052"/>
            </w:r>
            <w:r>
              <w:rPr>
                <w:rStyle w:val="10"/>
                <w:rFonts w:hint="default" w:ascii="仿宋" w:hAnsi="仿宋" w:eastAsia="仿宋" w:cs="仿宋"/>
                <w:b w:val="0"/>
                <w:bCs/>
                <w:sz w:val="21"/>
                <w:szCs w:val="21"/>
                <w:highlight w:val="none"/>
                <w:lang w:bidi="ar"/>
              </w:rPr>
              <w:t>适用：合同总额的</w:t>
            </w:r>
            <w:r>
              <w:rPr>
                <w:rStyle w:val="10"/>
                <w:rFonts w:hint="default" w:ascii="仿宋" w:hAnsi="仿宋" w:eastAsia="仿宋" w:cs="仿宋"/>
                <w:b w:val="0"/>
                <w:bCs/>
                <w:sz w:val="21"/>
                <w:szCs w:val="21"/>
                <w:highlight w:val="none"/>
                <w:u w:val="single"/>
                <w:lang w:bidi="ar"/>
              </w:rPr>
              <w:t xml:space="preserve"> </w:t>
            </w:r>
            <w:r>
              <w:rPr>
                <w:rStyle w:val="10"/>
                <w:rFonts w:hint="eastAsia" w:ascii="仿宋" w:hAnsi="仿宋" w:eastAsia="仿宋" w:cs="仿宋"/>
                <w:b w:val="0"/>
                <w:bCs/>
                <w:sz w:val="21"/>
                <w:szCs w:val="21"/>
                <w:highlight w:val="none"/>
                <w:u w:val="single"/>
                <w:lang w:val="en-US" w:eastAsia="zh-CN" w:bidi="ar"/>
              </w:rPr>
              <w:t xml:space="preserve">3% </w:t>
            </w:r>
            <w:r>
              <w:rPr>
                <w:rStyle w:val="10"/>
                <w:rFonts w:hint="default" w:ascii="仿宋" w:hAnsi="仿宋" w:eastAsia="仿宋" w:cs="仿宋"/>
                <w:b w:val="0"/>
                <w:bCs/>
                <w:sz w:val="21"/>
                <w:szCs w:val="21"/>
                <w:highlight w:val="none"/>
                <w:lang w:bidi="ar"/>
              </w:rPr>
              <w:t>，期限</w:t>
            </w:r>
            <w:r>
              <w:rPr>
                <w:rStyle w:val="10"/>
                <w:rFonts w:hint="default" w:ascii="仿宋" w:hAnsi="仿宋" w:eastAsia="仿宋" w:cs="仿宋"/>
                <w:b w:val="0"/>
                <w:bCs/>
                <w:sz w:val="21"/>
                <w:szCs w:val="21"/>
                <w:highlight w:val="none"/>
                <w:u w:val="single"/>
                <w:lang w:bidi="ar"/>
              </w:rPr>
              <w:t xml:space="preserve"> </w:t>
            </w:r>
            <w:r>
              <w:rPr>
                <w:rStyle w:val="10"/>
                <w:rFonts w:hint="eastAsia" w:ascii="仿宋" w:hAnsi="仿宋" w:eastAsia="仿宋" w:cs="仿宋"/>
                <w:b w:val="0"/>
                <w:bCs/>
                <w:sz w:val="21"/>
                <w:szCs w:val="21"/>
                <w:highlight w:val="none"/>
                <w:u w:val="single"/>
                <w:lang w:val="en-US" w:eastAsia="zh-CN" w:bidi="ar"/>
              </w:rPr>
              <w:t xml:space="preserve">6 </w:t>
            </w:r>
            <w:r>
              <w:rPr>
                <w:rStyle w:val="10"/>
                <w:rFonts w:hint="eastAsia" w:ascii="仿宋" w:hAnsi="仿宋" w:eastAsia="仿宋" w:cs="仿宋"/>
                <w:b w:val="0"/>
                <w:bCs/>
                <w:sz w:val="21"/>
                <w:szCs w:val="21"/>
                <w:highlight w:val="none"/>
                <w:u w:val="none"/>
                <w:lang w:val="en-US" w:eastAsia="zh-CN" w:bidi="ar"/>
              </w:rPr>
              <w:t>个月</w:t>
            </w:r>
            <w:r>
              <w:rPr>
                <w:rStyle w:val="10"/>
                <w:rFonts w:hint="default" w:ascii="仿宋" w:hAnsi="仿宋" w:eastAsia="仿宋" w:cs="仿宋"/>
                <w:b w:val="0"/>
                <w:bCs/>
                <w:sz w:val="21"/>
                <w:szCs w:val="21"/>
                <w:highlight w:val="none"/>
                <w:lang w:bidi="ar"/>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eastAsia" w:ascii="仿宋" w:hAnsi="仿宋" w:eastAsia="仿宋" w:cs="仿宋"/>
                <w:b w:val="0"/>
                <w:bCs w:val="0"/>
                <w:sz w:val="18"/>
                <w:szCs w:val="18"/>
                <w:lang w:bidi="ar"/>
              </w:rPr>
            </w:pPr>
            <w:r>
              <w:rPr>
                <w:rStyle w:val="10"/>
                <w:rFonts w:hint="default" w:ascii="仿宋" w:hAnsi="仿宋" w:eastAsia="仿宋" w:cs="仿宋"/>
                <w:b w:val="0"/>
                <w:bCs/>
                <w:sz w:val="21"/>
                <w:szCs w:val="21"/>
                <w:lang w:bidi="ar"/>
              </w:rPr>
              <w:t>6.</w:t>
            </w:r>
            <w:r>
              <w:rPr>
                <w:rStyle w:val="10"/>
                <w:rFonts w:hint="eastAsia" w:ascii="仿宋" w:hAnsi="仿宋" w:eastAsia="仿宋" w:cs="仿宋"/>
                <w:b w:val="0"/>
                <w:bCs/>
                <w:sz w:val="18"/>
                <w:szCs w:val="18"/>
                <w:lang w:bidi="ar"/>
              </w:rPr>
              <w:t xml:space="preserve"> </w:t>
            </w:r>
            <w:r>
              <w:rPr>
                <w:rFonts w:hint="eastAsia" w:ascii="仿宋" w:hAnsi="仿宋" w:eastAsia="仿宋" w:cs="仿宋"/>
                <w:sz w:val="21"/>
                <w:szCs w:val="21"/>
              </w:rPr>
              <w:t>Uang Jaminan Pemeliharaan</w:t>
            </w:r>
            <w:r>
              <w:rPr>
                <w:rStyle w:val="10"/>
                <w:rFonts w:hint="default" w:ascii="仿宋" w:hAnsi="仿宋" w:eastAsia="仿宋" w:cs="仿宋"/>
                <w:b w:val="0"/>
                <w:bCs/>
                <w:sz w:val="21"/>
                <w:szCs w:val="21"/>
                <w:lang w:bidi="ar"/>
              </w:rPr>
              <w:t xml:space="preserve">: </w:t>
            </w:r>
            <w:r>
              <w:rPr>
                <w:rStyle w:val="10"/>
                <w:rFonts w:hint="default" w:ascii="仿宋" w:hAnsi="仿宋" w:eastAsia="仿宋" w:cs="仿宋"/>
                <w:b w:val="0"/>
                <w:bCs/>
                <w:sz w:val="21"/>
                <w:szCs w:val="21"/>
                <w:lang w:bidi="ar"/>
              </w:rPr>
              <w:sym w:font="Wingdings 2" w:char="00A3"/>
            </w:r>
            <w:r>
              <w:rPr>
                <w:rStyle w:val="10"/>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10"/>
                <w:rFonts w:hint="default" w:ascii="仿宋" w:hAnsi="仿宋" w:eastAsia="仿宋" w:cs="仿宋"/>
                <w:b w:val="0"/>
                <w:bCs/>
                <w:sz w:val="21"/>
                <w:szCs w:val="21"/>
                <w:lang w:bidi="ar"/>
              </w:rPr>
              <w:t xml:space="preserve"> </w:t>
            </w:r>
            <w:r>
              <w:rPr>
                <w:rFonts w:hint="eastAsia" w:ascii="仿宋" w:hAnsi="仿宋" w:eastAsia="仿宋" w:cs="仿宋"/>
                <w:b w:val="0"/>
                <w:bCs w:val="0"/>
                <w:sz w:val="21"/>
                <w:szCs w:val="21"/>
              </w:rPr>
              <w:t xml:space="preserve">Berlaku: sebesar </w:t>
            </w:r>
            <w:r>
              <w:rPr>
                <w:rStyle w:val="7"/>
                <w:rFonts w:hint="eastAsia" w:ascii="仿宋" w:hAnsi="仿宋" w:eastAsia="仿宋" w:cs="仿宋"/>
                <w:b w:val="0"/>
                <w:bCs w:val="0"/>
                <w:sz w:val="21"/>
                <w:szCs w:val="21"/>
              </w:rPr>
              <w:t>3% dari total nilai kontrak, dengan jangka waktu 6 bulan</w:t>
            </w:r>
            <w:r>
              <w:rPr>
                <w:rFonts w:hint="eastAsia" w:ascii="仿宋" w:hAnsi="仿宋" w:eastAsia="仿宋" w:cs="仿宋"/>
                <w:b w:val="0"/>
                <w:bCs w:val="0"/>
                <w:sz w:val="21"/>
                <w:szCs w:val="21"/>
              </w:rPr>
              <w:t>.</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keepNext w:val="0"/>
              <w:keepLines w:val="0"/>
              <w:pageBreakBefore w:val="0"/>
              <w:widowControl/>
              <w:kinsoku/>
              <w:wordWrap/>
              <w:overflowPunct/>
              <w:topLinePunct w:val="0"/>
              <w:autoSpaceDE/>
              <w:autoSpaceDN/>
              <w:bidi w:val="0"/>
              <w:adjustRightInd w:val="0"/>
              <w:snapToGrid w:val="0"/>
              <w:spacing w:line="300" w:lineRule="exact"/>
              <w:ind w:left="284" w:hanging="284"/>
              <w:textAlignment w:val="center"/>
              <w:rPr>
                <w:rFonts w:hint="eastAsia" w:ascii="仿宋" w:hAnsi="仿宋" w:eastAsia="仿宋" w:cs="仿宋"/>
                <w:bCs/>
                <w:color w:val="000000"/>
                <w:kern w:val="0"/>
                <w:szCs w:val="21"/>
                <w:lang w:val="en-US" w:eastAsia="zh-CN" w:bidi="ar"/>
              </w:rPr>
            </w:pPr>
            <w:r>
              <w:rPr>
                <w:rStyle w:val="10"/>
                <w:rFonts w:hint="default" w:ascii="仿宋" w:hAnsi="仿宋" w:eastAsia="仿宋" w:cs="仿宋"/>
                <w:b w:val="0"/>
                <w:bCs/>
                <w:sz w:val="21"/>
                <w:szCs w:val="21"/>
                <w:lang w:bidi="ar"/>
              </w:rPr>
              <w:t xml:space="preserve">7. </w:t>
            </w:r>
            <w:r>
              <w:rPr>
                <w:rFonts w:hint="eastAsia" w:ascii="仿宋" w:hAnsi="仿宋" w:eastAsia="仿宋" w:cs="仿宋"/>
                <w:b w:val="0"/>
                <w:bCs w:val="0"/>
                <w:sz w:val="21"/>
                <w:szCs w:val="21"/>
              </w:rPr>
              <w:t>Pengguna Jasa tidak menjamin bahwa penawar dengan harga terendah akan ditetapkan sebagai pemenang, serta tidak berkewajiban memberikan penjelasan kepada peserta yang tidak terpilih.</w:t>
            </w:r>
            <w:r>
              <w:rPr>
                <w:rFonts w:hint="eastAsia" w:ascii="仿宋" w:hAnsi="仿宋" w:eastAsia="仿宋" w:cs="仿宋"/>
                <w:b w:val="0"/>
                <w:bCs w:val="0"/>
                <w:sz w:val="21"/>
                <w:szCs w:val="21"/>
              </w:rPr>
              <w:br w:type="textWrapping"/>
            </w:r>
            <w:r>
              <w:rPr>
                <w:rFonts w:hint="eastAsia" w:ascii="仿宋" w:hAnsi="仿宋" w:eastAsia="仿宋" w:cs="仿宋"/>
                <w:b w:val="0"/>
                <w:bCs w:val="0"/>
                <w:sz w:val="21"/>
                <w:szCs w:val="21"/>
              </w:rPr>
              <w:t xml:space="preserve">Penawaran yang menggunakan produk yang tidak memenuhi persyaratan mutu </w:t>
            </w:r>
            <w:r>
              <w:rPr>
                <w:rStyle w:val="7"/>
                <w:rFonts w:hint="eastAsia" w:ascii="仿宋" w:hAnsi="仿宋" w:eastAsia="仿宋" w:cs="仿宋"/>
                <w:b w:val="0"/>
                <w:bCs w:val="0"/>
                <w:sz w:val="21"/>
                <w:szCs w:val="21"/>
              </w:rPr>
              <w:t>tidak akan dievaluasi</w:t>
            </w:r>
            <w:r>
              <w:rPr>
                <w:rStyle w:val="7"/>
                <w:rFonts w:hint="eastAsia" w:ascii="仿宋" w:hAnsi="仿宋" w:eastAsia="仿宋" w:cs="仿宋"/>
                <w:b w:val="0"/>
                <w:bCs w:val="0"/>
                <w:sz w:val="21"/>
                <w:szCs w:val="21"/>
                <w:lang w:val="en-US" w:eastAsia="zh-CN"/>
              </w:rPr>
              <w:t>.</w:t>
            </w:r>
          </w:p>
        </w:tc>
      </w:tr>
    </w:tbl>
    <w:p>
      <w:pPr>
        <w:widowControl/>
        <w:adjustRightInd w:val="0"/>
        <w:snapToGrid w:val="0"/>
        <w:spacing w:line="320" w:lineRule="exact"/>
        <w:textAlignment w:val="center"/>
        <w:rPr>
          <w:rStyle w:val="10"/>
          <w:rFonts w:hint="default" w:ascii="仿宋" w:hAnsi="仿宋" w:eastAsia="仿宋" w:cs="仿宋"/>
          <w:b w:val="0"/>
          <w:bCs/>
          <w:sz w:val="21"/>
          <w:szCs w:val="21"/>
          <w:lang w:bidi="ar"/>
        </w:rPr>
        <w:sectPr>
          <w:footerReference r:id="rId3" w:type="default"/>
          <w:pgSz w:w="11906" w:h="16838"/>
          <w:pgMar w:top="907" w:right="850" w:bottom="1134" w:left="1134" w:header="851" w:footer="992" w:gutter="0"/>
          <w:pgNumType w:fmt="decimal"/>
          <w:cols w:space="425" w:num="1"/>
          <w:docGrid w:type="lines" w:linePitch="312" w:charSpace="0"/>
        </w:sectPr>
      </w:pPr>
    </w:p>
    <w:p>
      <w:pPr>
        <w:widowControl/>
        <w:adjustRightInd w:val="0"/>
        <w:snapToGrid w:val="0"/>
        <w:spacing w:line="320" w:lineRule="exact"/>
        <w:textAlignment w:val="center"/>
        <w:rPr>
          <w:rStyle w:val="10"/>
          <w:rFonts w:hint="eastAsia" w:ascii="仿宋" w:hAnsi="仿宋" w:eastAsia="仿宋" w:cs="仿宋"/>
          <w:b w:val="0"/>
          <w:bCs/>
          <w:sz w:val="21"/>
          <w:szCs w:val="21"/>
          <w:lang w:val="en-US" w:eastAsia="zh-CN" w:bidi="ar"/>
        </w:rPr>
      </w:pPr>
      <w:r>
        <w:rPr>
          <w:rStyle w:val="10"/>
          <w:rFonts w:hint="default" w:ascii="仿宋" w:hAnsi="仿宋" w:eastAsia="仿宋" w:cs="仿宋"/>
          <w:b w:val="0"/>
          <w:bCs/>
          <w:sz w:val="21"/>
          <w:szCs w:val="21"/>
          <w:lang w:bidi="ar"/>
        </w:rPr>
        <w:t>三、报价表</w:t>
      </w:r>
    </w:p>
    <w:p>
      <w:pPr>
        <w:rPr>
          <w:rStyle w:val="10"/>
          <w:rFonts w:hint="default" w:ascii="仿宋" w:hAnsi="仿宋" w:eastAsia="仿宋" w:cs="仿宋"/>
          <w:b w:val="0"/>
          <w:bCs/>
          <w:sz w:val="21"/>
          <w:szCs w:val="21"/>
          <w:lang w:val="en-US" w:eastAsia="zh-CN" w:bidi="ar"/>
        </w:rPr>
      </w:pPr>
      <w:r>
        <w:rPr>
          <w:rStyle w:val="10"/>
          <w:rFonts w:hint="default" w:ascii="仿宋" w:hAnsi="仿宋" w:eastAsia="仿宋" w:cs="仿宋"/>
          <w:b w:val="0"/>
          <w:bCs/>
          <w:sz w:val="21"/>
          <w:szCs w:val="21"/>
          <w:lang w:bidi="ar"/>
        </w:rPr>
        <w:t>III. Formulir Penawaran</w:t>
      </w:r>
    </w:p>
    <w:tbl>
      <w:tblPr>
        <w:tblStyle w:val="5"/>
        <w:tblW w:w="13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865"/>
        <w:gridCol w:w="3192"/>
        <w:gridCol w:w="991"/>
        <w:gridCol w:w="792"/>
        <w:gridCol w:w="1032"/>
        <w:gridCol w:w="936"/>
        <w:gridCol w:w="1323"/>
        <w:gridCol w:w="3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727"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序号</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Cs/>
                <w:color w:val="000000"/>
                <w:sz w:val="22"/>
                <w:szCs w:val="22"/>
              </w:rPr>
              <w:t>No. Seri</w:t>
            </w:r>
          </w:p>
        </w:tc>
        <w:tc>
          <w:tcPr>
            <w:tcW w:w="1865"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物资名称</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Cs/>
                <w:color w:val="000000"/>
                <w:sz w:val="22"/>
                <w:szCs w:val="22"/>
              </w:rPr>
              <w:t>Nama Barang</w:t>
            </w:r>
          </w:p>
        </w:tc>
        <w:tc>
          <w:tcPr>
            <w:tcW w:w="319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规格/型号</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Cs/>
                <w:color w:val="000000"/>
                <w:sz w:val="22"/>
                <w:szCs w:val="22"/>
              </w:rPr>
              <w:t>Spesifikasi/Model</w:t>
            </w:r>
          </w:p>
        </w:tc>
        <w:tc>
          <w:tcPr>
            <w:tcW w:w="991"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单位</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Cs/>
                <w:color w:val="000000"/>
                <w:sz w:val="22"/>
                <w:szCs w:val="22"/>
              </w:rPr>
              <w:t>Satuan</w:t>
            </w:r>
          </w:p>
        </w:tc>
        <w:tc>
          <w:tcPr>
            <w:tcW w:w="79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数量</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Cs/>
                <w:color w:val="000000"/>
                <w:sz w:val="22"/>
                <w:szCs w:val="22"/>
              </w:rPr>
              <w:t>Jumlah</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单价（RP）</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Fonts w:hint="eastAsia" w:ascii="仿宋" w:hAnsi="仿宋" w:eastAsia="仿宋" w:cs="仿宋"/>
                <w:b w:val="0"/>
                <w:bCs/>
                <w:color w:val="000000"/>
                <w:sz w:val="22"/>
                <w:szCs w:val="22"/>
                <w:lang w:bidi="ar"/>
              </w:rPr>
              <w:t>Harga Satuan (IDR)</w:t>
            </w: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合价（RP）</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Style w:val="14"/>
                <w:rFonts w:hint="eastAsia" w:ascii="仿宋" w:hAnsi="仿宋" w:eastAsia="仿宋" w:cs="仿宋"/>
                <w:b w:val="0"/>
                <w:bCs/>
                <w:sz w:val="22"/>
                <w:szCs w:val="22"/>
                <w:lang w:bidi="ar"/>
              </w:rPr>
              <w:t>Harga Total (IDR)</w:t>
            </w:r>
          </w:p>
        </w:tc>
        <w:tc>
          <w:tcPr>
            <w:tcW w:w="1323" w:type="dxa"/>
            <w:vAlign w:val="top"/>
          </w:tcPr>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val="en-US" w:eastAsia="zh-CN" w:bidi="ar"/>
              </w:rPr>
            </w:pPr>
            <w:r>
              <w:rPr>
                <w:rStyle w:val="10"/>
                <w:rFonts w:hint="eastAsia" w:ascii="仿宋" w:hAnsi="仿宋" w:eastAsia="仿宋" w:cs="仿宋"/>
                <w:b w:val="0"/>
                <w:bCs/>
                <w:sz w:val="22"/>
                <w:szCs w:val="22"/>
                <w:vertAlign w:val="baseline"/>
                <w:lang w:val="en-US" w:eastAsia="zh-CN" w:bidi="ar"/>
              </w:rPr>
              <w:t>到货日期</w:t>
            </w:r>
          </w:p>
          <w:p>
            <w:pPr>
              <w:widowControl/>
              <w:adjustRightInd w:val="0"/>
              <w:snapToGrid w:val="0"/>
              <w:spacing w:line="240" w:lineRule="auto"/>
              <w:jc w:val="center"/>
              <w:textAlignment w:val="center"/>
              <w:rPr>
                <w:rStyle w:val="10"/>
                <w:rFonts w:hint="eastAsia" w:ascii="仿宋" w:hAnsi="仿宋" w:eastAsia="仿宋" w:cs="仿宋"/>
                <w:b w:val="0"/>
                <w:bCs/>
                <w:sz w:val="22"/>
                <w:szCs w:val="22"/>
                <w:vertAlign w:val="baseline"/>
                <w:lang w:bidi="ar"/>
              </w:rPr>
            </w:pPr>
            <w:r>
              <w:rPr>
                <w:rStyle w:val="10"/>
                <w:rFonts w:hint="eastAsia" w:ascii="仿宋" w:hAnsi="仿宋" w:eastAsia="仿宋" w:cs="仿宋"/>
                <w:b w:val="0"/>
                <w:bCs/>
                <w:sz w:val="22"/>
                <w:szCs w:val="22"/>
                <w:vertAlign w:val="baseline"/>
                <w:lang w:val="en-US" w:eastAsia="zh-CN" w:bidi="ar"/>
              </w:rPr>
              <w:t>Tanggal kedatangan</w:t>
            </w:r>
          </w:p>
        </w:tc>
        <w:tc>
          <w:tcPr>
            <w:tcW w:w="3082" w:type="dxa"/>
            <w:vAlign w:val="center"/>
          </w:tcPr>
          <w:p>
            <w:pPr>
              <w:widowControl/>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备注</w:t>
            </w:r>
          </w:p>
          <w:p>
            <w:pPr>
              <w:widowControl/>
              <w:jc w:val="center"/>
              <w:textAlignment w:val="center"/>
              <w:rPr>
                <w:rFonts w:hint="eastAsia" w:ascii="仿宋" w:hAnsi="仿宋" w:eastAsia="仿宋" w:cs="仿宋"/>
                <w:b w:val="0"/>
                <w:bCs/>
                <w:color w:val="000000"/>
                <w:sz w:val="22"/>
                <w:szCs w:val="22"/>
              </w:rPr>
            </w:pPr>
            <w:r>
              <w:rPr>
                <w:rFonts w:hint="eastAsia" w:ascii="仿宋" w:hAnsi="仿宋" w:eastAsia="仿宋" w:cs="仿宋"/>
                <w:b w:val="0"/>
                <w:bCs/>
                <w:color w:val="000000"/>
                <w:sz w:val="22"/>
                <w:szCs w:val="22"/>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联轴器膜片     Diafragma kopling</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型号：TC-TC229E-SSP                      参数：1套包含14片膜片，6 个螺栓紧固件   材质：不锈钢</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Model: TC-TC229E-SSP Parameter: 1 set berisi 14 diaphragm, 6 baut pengencang Material: Stainless steel</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套</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set</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bottom"/>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絮凝剂计量泵隔膜Diafragma pompa dosis flokulan</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米顿罗 GB1000PP4MNN 配套隔膜</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Membran pendukung Milton Roy GB1000PP4MNN</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片potongan</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bottom"/>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原厂米顿罗采购，非原厂,备件因尺寸差异可能与现场设备无法适配</w:t>
            </w:r>
          </w:p>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Pembelian asli Milton Roy, bukan asli, suku cadang mungkin tidak cocok dengan peralatan di lokasi karena perbedaan ukuran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背压阀                          Katup balik tekanan</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型号：RXBF-P25/1.0-F 容积：1.2L 材质：PVC Model: RXBF-P25/1.0-F Kapasitas: 1,2L Bahan: PVC</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个</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buah</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996315" cy="877570"/>
                  <wp:effectExtent l="0" t="0" r="9525" b="635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5"/>
                          <a:srcRect b="19707"/>
                          <a:stretch>
                            <a:fillRect/>
                          </a:stretch>
                        </pic:blipFill>
                        <pic:spPr>
                          <a:xfrm>
                            <a:off x="0" y="0"/>
                            <a:ext cx="996315" cy="8775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空气室式脉冲阻尼器Peredam pulsa tipe ruang udara</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型号：LGMK-1.2 容积：1.2L 材质：UPVC 压力等级：1.0Mpa 隔膜式压力表Model: LGMK-1.2 Kapasitas: 1,2L Bahan: UPVC Tingkat tekanan: 1,0Mpa Pengukur tekanan membran</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个</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buah</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879475" cy="706120"/>
                  <wp:effectExtent l="0" t="0" r="4445" b="1016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6"/>
                          <a:stretch>
                            <a:fillRect/>
                          </a:stretch>
                        </pic:blipFill>
                        <pic:spPr>
                          <a:xfrm>
                            <a:off x="0" y="0"/>
                            <a:ext cx="879475" cy="706120"/>
                          </a:xfrm>
                          <a:prstGeom prst="rect">
                            <a:avLst/>
                          </a:prstGeom>
                          <a:noFill/>
                          <a:ln w="9525">
                            <a:noFill/>
                          </a:ln>
                        </pic:spPr>
                      </pic:pic>
                    </a:graphicData>
                  </a:graphic>
                </wp:inline>
              </w:drawing>
            </w:r>
            <w:r>
              <w:drawing>
                <wp:inline distT="0" distB="0" distL="114300" distR="114300">
                  <wp:extent cx="877570" cy="680085"/>
                  <wp:effectExtent l="0" t="0" r="6350" b="571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877570" cy="68008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电机连接配套齿轮</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（花键）                           Motor terhubung dengan roda gigi pendukung (splined)</w:t>
            </w:r>
          </w:p>
        </w:tc>
        <w:tc>
          <w:tcPr>
            <w:tcW w:w="3192"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电机型号：ZDYi21-4 </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齿轮参数：直径φ20；             键数：6键；    齿数：18齿 </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Model motor: ZDYi21-4</w:t>
            </w:r>
          </w:p>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Parameter gear: diameter φ20; jumlah kunci: 6 kunci; jumlah gigi: 18 gigi</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个</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buah</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Style w:val="14"/>
                <w:rFonts w:hint="eastAsia" w:ascii="仿宋" w:hAnsi="仿宋" w:eastAsia="仿宋" w:cs="仿宋"/>
                <w:b w:val="0"/>
                <w:bCs/>
                <w:sz w:val="21"/>
                <w:szCs w:val="21"/>
                <w:lang w:val="en-US" w:eastAsia="zh-CN" w:bidi="ar"/>
              </w:rPr>
              <w:t>ZDYi21-4电机配套Motor pendamping ZDYi21-4</w:t>
            </w:r>
          </w:p>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773430" cy="809625"/>
                  <wp:effectExtent l="0" t="0" r="3810" b="13335"/>
                  <wp:docPr id="12" name="图片 2" descr="dbf2a918eabb766bd1c98caf014ab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dbf2a918eabb766bd1c98caf014ab475"/>
                          <pic:cNvPicPr>
                            <a:picLocks noChangeAspect="1"/>
                          </pic:cNvPicPr>
                        </pic:nvPicPr>
                        <pic:blipFill>
                          <a:blip r:embed="rId8"/>
                          <a:stretch>
                            <a:fillRect/>
                          </a:stretch>
                        </pic:blipFill>
                        <pic:spPr>
                          <a:xfrm>
                            <a:off x="0" y="0"/>
                            <a:ext cx="773430" cy="8096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电机链接齿轮</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（花键）                             Motor menghubungkan gigi (splined)</w:t>
            </w:r>
          </w:p>
        </w:tc>
        <w:tc>
          <w:tcPr>
            <w:tcW w:w="3192" w:type="dxa"/>
            <w:shd w:val="clear" w:color="auto" w:fill="auto"/>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电机型号：ZDYi12-4 </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齿轮参数：直径φ25；             键数：4键；            齿数：15齿</w:t>
            </w:r>
          </w:p>
          <w:p>
            <w:pPr>
              <w:keepNext w:val="0"/>
              <w:keepLines w:val="0"/>
              <w:widowControl/>
              <w:suppressLineNumbers w:val="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Model motor: ZDYi12-4</w:t>
            </w:r>
          </w:p>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Parameter gear: diameter φ25; jumlah kunci: 4; jumlah gigi: 15</w:t>
            </w:r>
            <w:bookmarkStart w:id="1" w:name="_GoBack"/>
            <w:bookmarkEnd w:id="1"/>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个</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buah</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Fonts w:hint="eastAsia" w:ascii="仿宋" w:hAnsi="仿宋" w:eastAsia="仿宋" w:cs="仿宋"/>
              </w:rPr>
            </w:pPr>
            <w:r>
              <w:rPr>
                <w:rFonts w:hint="eastAsia" w:ascii="仿宋" w:hAnsi="仿宋" w:eastAsia="仿宋" w:cs="仿宋"/>
              </w:rPr>
              <w:t>ZDY</w:t>
            </w:r>
            <w:r>
              <w:rPr>
                <w:rFonts w:hint="eastAsia" w:ascii="仿宋" w:hAnsi="仿宋" w:eastAsia="仿宋" w:cs="仿宋"/>
                <w:lang w:val="en-US" w:eastAsia="zh-CN"/>
              </w:rPr>
              <w:t>i</w:t>
            </w:r>
            <w:r>
              <w:rPr>
                <w:rFonts w:hint="eastAsia" w:ascii="仿宋" w:hAnsi="仿宋" w:eastAsia="仿宋" w:cs="仿宋"/>
              </w:rPr>
              <w:t>12-4电机配套Motor pendamping ZDY</w:t>
            </w:r>
            <w:r>
              <w:rPr>
                <w:rFonts w:hint="eastAsia" w:ascii="仿宋" w:hAnsi="仿宋" w:eastAsia="仿宋" w:cs="仿宋"/>
                <w:lang w:val="en-US" w:eastAsia="zh-CN"/>
              </w:rPr>
              <w:t>i12</w:t>
            </w:r>
            <w:r>
              <w:rPr>
                <w:rFonts w:hint="eastAsia" w:ascii="仿宋" w:hAnsi="仿宋" w:eastAsia="仿宋" w:cs="仿宋"/>
              </w:rPr>
              <w:t>-4</w:t>
            </w:r>
          </w:p>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784225" cy="699770"/>
                  <wp:effectExtent l="0" t="0" r="8255" b="1270"/>
                  <wp:docPr id="11" name="图片 1" descr="f85ca853126f82c85b06146548710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f85ca853126f82c85b06146548710f90"/>
                          <pic:cNvPicPr>
                            <a:picLocks noChangeAspect="1"/>
                          </pic:cNvPicPr>
                        </pic:nvPicPr>
                        <pic:blipFill>
                          <a:blip r:embed="rId9"/>
                          <a:stretch>
                            <a:fillRect/>
                          </a:stretch>
                        </pic:blipFill>
                        <pic:spPr>
                          <a:xfrm>
                            <a:off x="0" y="0"/>
                            <a:ext cx="784225" cy="6997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电动葫芦跑车变速器Transmisi mobil listrik kren</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 xml:space="preserve">3吨运行变速配ZDY12-4电机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 xml:space="preserve"> Transmisi operasi 3 ton dilengkapi dengan motor ZDY12-4</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台</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meja</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Style w:val="14"/>
                <w:rFonts w:hint="eastAsia" w:ascii="仿宋" w:hAnsi="仿宋" w:eastAsia="仿宋" w:cs="仿宋"/>
                <w:b w:val="0"/>
                <w:bCs/>
                <w:sz w:val="21"/>
                <w:szCs w:val="21"/>
                <w:lang w:val="en-US" w:eastAsia="zh-CN" w:bidi="ar"/>
              </w:rPr>
              <w:t>ZDY12-4电机配套Motor ZDY12-4 beserta aksesori</w:t>
            </w:r>
          </w:p>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907415" cy="611505"/>
                  <wp:effectExtent l="0" t="0" r="6985" b="13335"/>
                  <wp:docPr id="10" name="图片 4" descr="cd2037ec3fe5cb2a2293c421bfd60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cd2037ec3fe5cb2a2293c421bfd60e14"/>
                          <pic:cNvPicPr>
                            <a:picLocks noChangeAspect="1"/>
                          </pic:cNvPicPr>
                        </pic:nvPicPr>
                        <pic:blipFill>
                          <a:blip r:embed="rId10"/>
                          <a:stretch>
                            <a:fillRect/>
                          </a:stretch>
                        </pic:blipFill>
                        <pic:spPr>
                          <a:xfrm>
                            <a:off x="0" y="0"/>
                            <a:ext cx="907415" cy="6115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电动葫芦跑车变速器Transmisi mobil listrik kren</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 xml:space="preserve">5吨运行变速配ZDY21-4电机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Transmisi operasi 5 ton dilengkapi dengan motor ZDY21-4</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台</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meja</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Fonts w:hint="eastAsia" w:ascii="仿宋" w:hAnsi="仿宋" w:eastAsia="仿宋" w:cs="仿宋"/>
              </w:rPr>
            </w:pPr>
            <w:r>
              <w:rPr>
                <w:rFonts w:hint="eastAsia" w:ascii="仿宋" w:hAnsi="仿宋" w:eastAsia="仿宋" w:cs="仿宋"/>
              </w:rPr>
              <w:t>ZDY21-4电机配套Motor ZDY21-4 beserta aksesori</w:t>
            </w:r>
          </w:p>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841375" cy="534035"/>
                  <wp:effectExtent l="0" t="0" r="12065" b="1460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1"/>
                          <a:stretch>
                            <a:fillRect/>
                          </a:stretch>
                        </pic:blipFill>
                        <pic:spPr>
                          <a:xfrm>
                            <a:off x="0" y="0"/>
                            <a:ext cx="841375" cy="5340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熔断器</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sekering</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RT28-63A（Φ14*51mm）</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个</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buah</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30</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石膏防火板</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Papan tahan api gipsum</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长1米*宽1米*厚5mm</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Panjang 1 meter * Lebar 1 meter * Tebal 5mm</w:t>
            </w:r>
          </w:p>
        </w:tc>
        <w:tc>
          <w:tcPr>
            <w:tcW w:w="991"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 xml:space="preserve">  张</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Zhang</w:t>
            </w:r>
          </w:p>
        </w:tc>
        <w:tc>
          <w:tcPr>
            <w:tcW w:w="7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空气减压阀                           Katup pengurang tekanan udara</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STNC索诺天工 TRY-40  DN40 两端内螺纹 G1½ 接口端面安装长度 118mm，输入压力 0.05</w:t>
            </w:r>
            <w:r>
              <w:rPr>
                <w:rFonts w:hint="eastAsia" w:ascii="仿宋" w:hAnsi="仿宋" w:eastAsia="仿宋" w:cs="仿宋"/>
                <w:i w:val="0"/>
                <w:color w:val="000000"/>
                <w:kern w:val="0"/>
                <w:sz w:val="21"/>
                <w:szCs w:val="21"/>
                <w:u w:val="none"/>
                <w:lang w:val="en-US" w:eastAsia="zh-CN" w:bidi="ar"/>
              </w:rPr>
              <w:noBreakHyphen/>
            </w:r>
            <w:r>
              <w:rPr>
                <w:rFonts w:hint="eastAsia" w:ascii="仿宋" w:hAnsi="仿宋" w:eastAsia="仿宋" w:cs="仿宋"/>
                <w:i w:val="0"/>
                <w:color w:val="000000"/>
                <w:kern w:val="0"/>
                <w:sz w:val="21"/>
                <w:szCs w:val="21"/>
                <w:u w:val="none"/>
                <w:lang w:val="en-US" w:eastAsia="zh-CN" w:bidi="ar"/>
              </w:rPr>
              <w:t>1.6MPa 配套侧面安装压力表（量程 0</w:t>
            </w:r>
            <w:r>
              <w:rPr>
                <w:rFonts w:hint="eastAsia" w:ascii="仿宋" w:hAnsi="仿宋" w:eastAsia="仿宋" w:cs="仿宋"/>
                <w:i w:val="0"/>
                <w:color w:val="000000"/>
                <w:kern w:val="0"/>
                <w:sz w:val="21"/>
                <w:szCs w:val="21"/>
                <w:u w:val="none"/>
                <w:lang w:val="en-US" w:eastAsia="zh-CN" w:bidi="ar"/>
              </w:rPr>
              <w:noBreakHyphen/>
            </w:r>
            <w:r>
              <w:rPr>
                <w:rFonts w:hint="eastAsia" w:ascii="仿宋" w:hAnsi="仿宋" w:eastAsia="仿宋" w:cs="仿宋"/>
                <w:i w:val="0"/>
                <w:color w:val="000000"/>
                <w:kern w:val="0"/>
                <w:sz w:val="21"/>
                <w:szCs w:val="21"/>
                <w:u w:val="none"/>
                <w:lang w:val="en-US" w:eastAsia="zh-CN" w:bidi="ar"/>
              </w:rPr>
              <w:t>1.0MPa）</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台</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meja</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pPr>
            <w:r>
              <w:drawing>
                <wp:inline distT="0" distB="0" distL="114300" distR="114300">
                  <wp:extent cx="922020" cy="1113155"/>
                  <wp:effectExtent l="0" t="0" r="7620" b="14605"/>
                  <wp:docPr id="8" name="ID_505D47B336A0438E96FA5DE4525ABF63" descr="635759d50e3850a05c17870d4863e9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505D47B336A0438E96FA5DE4525ABF63" descr="635759d50e3850a05c17870d4863e95a"/>
                          <pic:cNvPicPr>
                            <a:picLocks noChangeAspect="1"/>
                          </pic:cNvPicPr>
                        </pic:nvPicPr>
                        <pic:blipFill>
                          <a:blip r:embed="rId12"/>
                          <a:stretch>
                            <a:fillRect/>
                          </a:stretch>
                        </pic:blipFill>
                        <pic:spPr>
                          <a:xfrm>
                            <a:off x="0" y="0"/>
                            <a:ext cx="922020" cy="1113155"/>
                          </a:xfrm>
                          <a:prstGeom prst="rect">
                            <a:avLst/>
                          </a:prstGeom>
                          <a:noFill/>
                          <a:ln w="9525">
                            <a:noFill/>
                          </a:ln>
                        </pic:spPr>
                      </pic:pic>
                    </a:graphicData>
                  </a:graphic>
                </wp:inline>
              </w:drawing>
            </w:r>
          </w:p>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rPr>
              <w:t>原厂家：宁波索诺工业自控设备有限公司，原厂采购，非原厂,备件因尺寸差异可能与现场设备无法适配 Produsen asli: Ningbo Suono Industrial Automation Equipment Co., Ltd., dibeli dari pabrik asli, jika bukan pabrik asli, suku cadang mungkin tidak cocok dengan peralatan di lokasi karena perbedaan ukuran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防溢裙板夹持器只包含C 型槽滑动底座（热镀锌）及M12 T 型螺栓</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Klem pelindung tumpahan hanya mencakup dasar geser alur C (hot-dip galvanis) dan baut T M12</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热镀锌  M12 规格，T型螺栓长80毫米M12 galvanisasi panas, baut T panjang 80 milimeter</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套</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set</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50</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drawing>
                <wp:inline distT="0" distB="0" distL="114300" distR="114300">
                  <wp:extent cx="1892935" cy="1486535"/>
                  <wp:effectExtent l="0" t="0" r="12065" b="698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3"/>
                          <a:stretch>
                            <a:fillRect/>
                          </a:stretch>
                        </pic:blipFill>
                        <pic:spPr>
                          <a:xfrm>
                            <a:off x="0" y="0"/>
                            <a:ext cx="1892935" cy="14865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暗杆闸阀</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Katup gerbang batang tersembunyi</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 xml:space="preserve">Z45X-16Q  DN200 PN1.6MPa 结构长度292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Z45X-16Q DN200 PN1.6MPa panjang struktur 292</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台</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meja</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bottom"/>
          </w:tcPr>
          <w:p>
            <w:pPr>
              <w:widowControl/>
              <w:adjustRightInd w:val="0"/>
              <w:snapToGrid w:val="0"/>
              <w:spacing w:line="240" w:lineRule="auto"/>
              <w:jc w:val="both"/>
              <w:textAlignment w:val="center"/>
              <w:rPr>
                <w:rFonts w:hint="eastAsia" w:ascii="仿宋" w:hAnsi="仿宋" w:eastAsia="仿宋" w:cs="仿宋"/>
                <w:b/>
                <w:i w:val="0"/>
                <w:color w:val="000000"/>
                <w:kern w:val="0"/>
                <w:sz w:val="21"/>
                <w:szCs w:val="21"/>
                <w:u w:val="none"/>
                <w:lang w:val="en-US" w:eastAsia="zh-CN" w:bidi="ar"/>
              </w:rPr>
            </w:pPr>
            <w:r>
              <w:drawing>
                <wp:inline distT="0" distB="0" distL="114300" distR="114300">
                  <wp:extent cx="1146810" cy="1447165"/>
                  <wp:effectExtent l="0" t="0" r="11430" b="635"/>
                  <wp:docPr id="5" name="图片 3" descr="18b680b75c20c1b04620f733eb9f3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18b680b75c20c1b04620f733eb9f36e2"/>
                          <pic:cNvPicPr>
                            <a:picLocks noChangeAspect="1"/>
                          </pic:cNvPicPr>
                        </pic:nvPicPr>
                        <pic:blipFill>
                          <a:blip r:embed="rId14"/>
                          <a:stretch>
                            <a:fillRect/>
                          </a:stretch>
                        </pic:blipFill>
                        <pic:spPr>
                          <a:xfrm>
                            <a:off x="0" y="0"/>
                            <a:ext cx="1146810" cy="144716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14</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 xml:space="preserve">挡尘帘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tirai debu</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 xml:space="preserve">长：940毫米  宽：190毫米 厚：3毫米 </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Panjang: 940 mm Lebar: 190 mm Tebal: 3 mm</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片potongan</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200</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2026.10.15</w:t>
            </w:r>
          </w:p>
        </w:tc>
        <w:tc>
          <w:tcPr>
            <w:tcW w:w="3082" w:type="dxa"/>
            <w:shd w:val="clear" w:color="auto" w:fill="auto"/>
            <w:vAlign w:val="bottom"/>
          </w:tcPr>
          <w:p>
            <w:pPr>
              <w:keepNext w:val="0"/>
              <w:keepLines w:val="0"/>
              <w:widowControl/>
              <w:suppressLineNumbers w:val="0"/>
              <w:jc w:val="center"/>
              <w:textAlignment w:val="bottom"/>
              <w:rPr>
                <w:rStyle w:val="14"/>
                <w:rFonts w:hint="eastAsia" w:ascii="仿宋" w:hAnsi="仿宋" w:eastAsia="仿宋" w:cs="仿宋"/>
                <w:b w:val="0"/>
                <w:bCs/>
                <w:sz w:val="21"/>
                <w:szCs w:val="21"/>
                <w:lang w:val="en-US" w:eastAsia="zh-CN" w:bidi="ar"/>
              </w:rPr>
            </w:pPr>
            <w:r>
              <w:drawing>
                <wp:inline distT="0" distB="0" distL="114300" distR="114300">
                  <wp:extent cx="800735" cy="542925"/>
                  <wp:effectExtent l="0" t="0" r="6985" b="571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5"/>
                          <a:stretch>
                            <a:fillRect/>
                          </a:stretch>
                        </pic:blipFill>
                        <pic:spPr>
                          <a:xfrm>
                            <a:off x="0" y="0"/>
                            <a:ext cx="800735" cy="542925"/>
                          </a:xfrm>
                          <a:prstGeom prst="rect">
                            <a:avLst/>
                          </a:prstGeom>
                          <a:noFill/>
                          <a:ln w="9525">
                            <a:noFill/>
                          </a:ln>
                        </pic:spPr>
                      </pic:pic>
                    </a:graphicData>
                  </a:graphic>
                </wp:inline>
              </w:drawing>
            </w:r>
            <w:r>
              <w:drawing>
                <wp:inline distT="0" distB="0" distL="114300" distR="114300">
                  <wp:extent cx="365125" cy="488950"/>
                  <wp:effectExtent l="0" t="0" r="635" b="1397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6"/>
                          <a:stretch>
                            <a:fillRect/>
                          </a:stretch>
                        </pic:blipFill>
                        <pic:spPr>
                          <a:xfrm>
                            <a:off x="0" y="0"/>
                            <a:ext cx="365125" cy="488950"/>
                          </a:xfrm>
                          <a:prstGeom prst="rect">
                            <a:avLst/>
                          </a:prstGeom>
                          <a:noFill/>
                          <a:ln w="9525">
                            <a:noFill/>
                          </a:ln>
                        </pic:spPr>
                      </pic:pic>
                    </a:graphicData>
                  </a:graphic>
                </wp:inline>
              </w:drawing>
            </w:r>
            <w:r>
              <w:drawing>
                <wp:inline distT="0" distB="0" distL="114300" distR="114300">
                  <wp:extent cx="1101090" cy="751205"/>
                  <wp:effectExtent l="0" t="0" r="11430" b="1079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7"/>
                          <a:stretch>
                            <a:fillRect/>
                          </a:stretch>
                        </pic:blipFill>
                        <pic:spPr>
                          <a:xfrm>
                            <a:off x="0" y="0"/>
                            <a:ext cx="1101090" cy="7512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727"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865"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浇注料</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coran</w:t>
            </w:r>
          </w:p>
        </w:tc>
        <w:tc>
          <w:tcPr>
            <w:tcW w:w="3192" w:type="dxa"/>
            <w:shd w:val="clear" w:color="auto" w:fill="auto"/>
            <w:vAlign w:val="center"/>
          </w:tcPr>
          <w:p>
            <w:pPr>
              <w:keepNext w:val="0"/>
              <w:keepLines w:val="0"/>
              <w:widowControl/>
              <w:suppressLineNumbers w:val="0"/>
              <w:jc w:val="left"/>
              <w:textAlignment w:val="center"/>
              <w:rPr>
                <w:rStyle w:val="14"/>
                <w:rFonts w:hint="eastAsia" w:ascii="仿宋" w:hAnsi="仿宋" w:eastAsia="仿宋" w:cs="仿宋"/>
                <w:b w:val="0"/>
                <w:bCs/>
                <w:sz w:val="21"/>
                <w:szCs w:val="21"/>
                <w:lang w:val="en-US" w:eastAsia="zh" w:bidi="ar"/>
              </w:rPr>
            </w:pPr>
            <w:r>
              <w:rPr>
                <w:rFonts w:hint="eastAsia" w:ascii="仿宋" w:hAnsi="仿宋" w:eastAsia="仿宋" w:cs="仿宋"/>
                <w:i w:val="0"/>
                <w:color w:val="000000"/>
                <w:kern w:val="0"/>
                <w:sz w:val="21"/>
                <w:szCs w:val="21"/>
                <w:u w:val="none"/>
                <w:lang w:val="en-US" w:eastAsia="zh-CN" w:bidi="ar"/>
              </w:rPr>
              <w:t>C-13A</w:t>
            </w:r>
          </w:p>
        </w:tc>
        <w:tc>
          <w:tcPr>
            <w:tcW w:w="991"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id-ID" w:eastAsia="zh" w:bidi="ar"/>
              </w:rPr>
            </w:pPr>
            <w:r>
              <w:rPr>
                <w:rFonts w:hint="eastAsia" w:ascii="仿宋" w:hAnsi="仿宋" w:eastAsia="仿宋" w:cs="仿宋"/>
                <w:i w:val="0"/>
                <w:color w:val="000000"/>
                <w:kern w:val="0"/>
                <w:sz w:val="21"/>
                <w:szCs w:val="21"/>
                <w:u w:val="none"/>
                <w:lang w:val="en-US" w:eastAsia="zh-CN" w:bidi="ar"/>
              </w:rPr>
              <w:t>吨</w:t>
            </w:r>
            <w:r>
              <w:rPr>
                <w:rFonts w:hint="eastAsia" w:ascii="仿宋" w:hAnsi="仿宋" w:eastAsia="仿宋" w:cs="仿宋"/>
                <w:i w:val="0"/>
                <w:color w:val="000000"/>
                <w:kern w:val="0"/>
                <w:sz w:val="21"/>
                <w:szCs w:val="21"/>
                <w:u w:val="none"/>
                <w:lang w:val="en-US" w:eastAsia="zh-CN" w:bidi="ar"/>
              </w:rPr>
              <w:br w:type="textWrapping"/>
            </w:r>
            <w:r>
              <w:rPr>
                <w:rFonts w:hint="eastAsia" w:ascii="仿宋" w:hAnsi="仿宋" w:eastAsia="仿宋" w:cs="仿宋"/>
                <w:i w:val="0"/>
                <w:color w:val="000000"/>
                <w:kern w:val="0"/>
                <w:sz w:val="21"/>
                <w:szCs w:val="21"/>
                <w:u w:val="none"/>
                <w:lang w:val="en-US" w:eastAsia="zh-CN" w:bidi="ar"/>
              </w:rPr>
              <w:t>ton</w:t>
            </w:r>
          </w:p>
        </w:tc>
        <w:tc>
          <w:tcPr>
            <w:tcW w:w="792"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032"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936" w:type="dxa"/>
            <w:vAlign w:val="center"/>
          </w:tcPr>
          <w:p>
            <w:pPr>
              <w:widowControl/>
              <w:adjustRightInd w:val="0"/>
              <w:snapToGrid w:val="0"/>
              <w:spacing w:line="240" w:lineRule="auto"/>
              <w:jc w:val="center"/>
              <w:textAlignment w:val="center"/>
              <w:rPr>
                <w:rStyle w:val="14"/>
                <w:rFonts w:hint="eastAsia" w:ascii="仿宋" w:hAnsi="仿宋" w:eastAsia="仿宋" w:cs="仿宋"/>
                <w:b w:val="0"/>
                <w:bCs/>
                <w:sz w:val="21"/>
                <w:szCs w:val="21"/>
                <w:lang w:val="en-US" w:eastAsia="zh-CN" w:bidi="ar"/>
              </w:rPr>
            </w:pPr>
          </w:p>
        </w:tc>
        <w:tc>
          <w:tcPr>
            <w:tcW w:w="1323" w:type="dxa"/>
            <w:shd w:val="clear" w:color="auto" w:fill="auto"/>
            <w:vAlign w:val="center"/>
          </w:tcPr>
          <w:p>
            <w:pPr>
              <w:keepNext w:val="0"/>
              <w:keepLines w:val="0"/>
              <w:widowControl/>
              <w:suppressLineNumbers w:val="0"/>
              <w:jc w:val="center"/>
              <w:textAlignment w:val="center"/>
              <w:rPr>
                <w:rStyle w:val="14"/>
                <w:rFonts w:hint="eastAsia" w:ascii="仿宋" w:hAnsi="仿宋" w:eastAsia="仿宋" w:cs="仿宋"/>
                <w:b w:val="0"/>
                <w:bCs/>
                <w:sz w:val="21"/>
                <w:szCs w:val="21"/>
                <w:lang w:val="en-US" w:eastAsia="zh-CN" w:bidi="ar"/>
              </w:rPr>
            </w:pPr>
            <w:r>
              <w:rPr>
                <w:rFonts w:hint="eastAsia" w:ascii="宋体" w:hAnsi="宋体" w:eastAsia="宋体" w:cs="宋体"/>
                <w:i w:val="0"/>
                <w:color w:val="000000"/>
                <w:kern w:val="0"/>
                <w:sz w:val="21"/>
                <w:szCs w:val="21"/>
                <w:u w:val="none"/>
                <w:lang w:val="en-US" w:eastAsia="zh-CN" w:bidi="ar"/>
              </w:rPr>
              <w:t>2026.11.1</w:t>
            </w:r>
          </w:p>
        </w:tc>
        <w:tc>
          <w:tcPr>
            <w:tcW w:w="3082" w:type="dxa"/>
            <w:shd w:val="clear" w:color="auto" w:fill="auto"/>
            <w:vAlign w:val="bottom"/>
          </w:tcPr>
          <w:p>
            <w:pPr>
              <w:keepNext w:val="0"/>
              <w:keepLines w:val="0"/>
              <w:widowControl/>
              <w:suppressLineNumbers w:val="0"/>
              <w:jc w:val="center"/>
              <w:textAlignment w:val="bottom"/>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耐温1300°C，成分比例如下:A1₂Q₃:51.10%，Si0₂:41.65%;Fe₂0₃:4.92%;Ca0:0.45%;Mg0:0.29%  Tahan suhu hingga 1300°C, komposisinya sebagai berikut: A1₂Q₃: 51,10%, SiO₂: 41,65%; Fe₂O₃: 4,92%; CaO: 0,45%; MgO: 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trPr>
        <w:tc>
          <w:tcPr>
            <w:tcW w:w="8599" w:type="dxa"/>
            <w:gridSpan w:val="6"/>
            <w:shd w:val="clear" w:color="auto" w:fill="auto"/>
            <w:vAlign w:val="center"/>
          </w:tcPr>
          <w:p>
            <w:pPr>
              <w:rPr>
                <w:rStyle w:val="10"/>
                <w:rFonts w:hint="eastAsia" w:ascii="仿宋" w:hAnsi="仿宋" w:eastAsia="仿宋" w:cs="仿宋"/>
                <w:b w:val="0"/>
                <w:bCs/>
                <w:sz w:val="22"/>
                <w:szCs w:val="22"/>
                <w:vertAlign w:val="baseline"/>
                <w:lang w:val="en-US" w:bidi="ar"/>
              </w:rPr>
            </w:pPr>
            <w:r>
              <w:rPr>
                <w:rFonts w:hint="eastAsia" w:ascii="仿宋" w:hAnsi="仿宋" w:eastAsia="仿宋" w:cs="仿宋"/>
                <w:color w:val="000000"/>
                <w:kern w:val="0"/>
                <w:sz w:val="22"/>
                <w:szCs w:val="22"/>
                <w:vertAlign w:val="baseline"/>
                <w:lang w:val="en-US" w:eastAsia="zh-CN" w:bidi="ar"/>
              </w:rPr>
              <w:t>小计 Subtotal</w:t>
            </w:r>
          </w:p>
        </w:tc>
        <w:tc>
          <w:tcPr>
            <w:tcW w:w="5341" w:type="dxa"/>
            <w:gridSpan w:val="3"/>
            <w:shd w:val="clear" w:color="auto" w:fill="auto"/>
            <w:vAlign w:val="center"/>
          </w:tcPr>
          <w:p>
            <w:pPr>
              <w:rPr>
                <w:rFonts w:hint="eastAsia" w:ascii="仿宋" w:hAnsi="仿宋" w:eastAsia="仿宋" w:cs="仿宋"/>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trPr>
        <w:tc>
          <w:tcPr>
            <w:tcW w:w="8599" w:type="dxa"/>
            <w:gridSpan w:val="6"/>
            <w:shd w:val="clear" w:color="auto" w:fill="auto"/>
            <w:vAlign w:val="center"/>
          </w:tcPr>
          <w:p>
            <w:pPr>
              <w:rPr>
                <w:rStyle w:val="10"/>
                <w:rFonts w:hint="eastAsia" w:ascii="仿宋" w:hAnsi="仿宋" w:eastAsia="仿宋" w:cs="仿宋"/>
                <w:b w:val="0"/>
                <w:bCs/>
                <w:sz w:val="22"/>
                <w:szCs w:val="22"/>
                <w:vertAlign w:val="baseline"/>
                <w:lang w:bidi="ar"/>
              </w:rPr>
            </w:pPr>
            <w:r>
              <w:rPr>
                <w:rFonts w:hint="eastAsia" w:ascii="仿宋" w:hAnsi="仿宋" w:eastAsia="仿宋" w:cs="仿宋"/>
                <w:color w:val="000000"/>
                <w:kern w:val="0"/>
                <w:sz w:val="22"/>
                <w:szCs w:val="22"/>
                <w:vertAlign w:val="baseline"/>
                <w:lang w:val="en-US" w:eastAsia="zh-CN" w:bidi="ar"/>
              </w:rPr>
              <w:t>PPN11%</w:t>
            </w:r>
          </w:p>
        </w:tc>
        <w:tc>
          <w:tcPr>
            <w:tcW w:w="5341" w:type="dxa"/>
            <w:gridSpan w:val="3"/>
            <w:shd w:val="clear" w:color="auto" w:fill="auto"/>
            <w:vAlign w:val="center"/>
          </w:tcPr>
          <w:p>
            <w:pPr>
              <w:rPr>
                <w:rFonts w:hint="eastAsia" w:ascii="仿宋" w:hAnsi="仿宋" w:eastAsia="仿宋" w:cs="仿宋"/>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trPr>
        <w:tc>
          <w:tcPr>
            <w:tcW w:w="8599" w:type="dxa"/>
            <w:gridSpan w:val="6"/>
            <w:shd w:val="clear" w:color="auto" w:fill="auto"/>
            <w:vAlign w:val="center"/>
          </w:tcPr>
          <w:p>
            <w:pPr>
              <w:rPr>
                <w:rStyle w:val="10"/>
                <w:rFonts w:hint="eastAsia" w:ascii="仿宋" w:hAnsi="仿宋" w:eastAsia="仿宋" w:cs="仿宋"/>
                <w:b w:val="0"/>
                <w:bCs/>
                <w:sz w:val="22"/>
                <w:szCs w:val="22"/>
                <w:vertAlign w:val="baseline"/>
                <w:lang w:val="en-US" w:bidi="ar"/>
              </w:rPr>
            </w:pPr>
            <w:r>
              <w:rPr>
                <w:rFonts w:hint="eastAsia" w:ascii="仿宋" w:hAnsi="仿宋" w:eastAsia="仿宋" w:cs="仿宋"/>
                <w:color w:val="000000"/>
                <w:kern w:val="0"/>
                <w:sz w:val="22"/>
                <w:szCs w:val="22"/>
                <w:vertAlign w:val="baseline"/>
                <w:lang w:val="en-US" w:eastAsia="zh-CN" w:bidi="ar"/>
              </w:rPr>
              <w:t>总计 Total</w:t>
            </w:r>
          </w:p>
        </w:tc>
        <w:tc>
          <w:tcPr>
            <w:tcW w:w="5341" w:type="dxa"/>
            <w:gridSpan w:val="3"/>
            <w:shd w:val="clear" w:color="auto" w:fill="auto"/>
            <w:vAlign w:val="center"/>
          </w:tcPr>
          <w:p>
            <w:pPr>
              <w:rPr>
                <w:rFonts w:hint="eastAsia" w:ascii="仿宋" w:hAnsi="仿宋" w:eastAsia="仿宋" w:cs="仿宋"/>
                <w:color w:val="000000"/>
                <w:kern w:val="0"/>
                <w:sz w:val="22"/>
                <w:szCs w:val="22"/>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 w:hRule="atLeast"/>
        </w:trPr>
        <w:tc>
          <w:tcPr>
            <w:tcW w:w="2592" w:type="dxa"/>
            <w:gridSpan w:val="2"/>
            <w:shd w:val="clear" w:color="auto" w:fill="auto"/>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交货期</w:t>
            </w:r>
          </w:p>
          <w:p>
            <w:pPr>
              <w:widowControl/>
              <w:adjustRightInd w:val="0"/>
              <w:snapToGrid w:val="0"/>
              <w:spacing w:line="240" w:lineRule="auto"/>
              <w:jc w:val="center"/>
              <w:textAlignment w:val="center"/>
              <w:rPr>
                <w:rFonts w:hint="eastAsia" w:ascii="仿宋" w:hAnsi="仿宋" w:eastAsia="仿宋" w:cs="仿宋"/>
                <w:kern w:val="2"/>
                <w:sz w:val="22"/>
                <w:szCs w:val="22"/>
                <w:vertAlign w:val="baseline"/>
                <w:lang w:val="en-US" w:eastAsia="zh-CN" w:bidi="ar-SA"/>
              </w:rPr>
            </w:pPr>
            <w:r>
              <w:rPr>
                <w:rStyle w:val="14"/>
                <w:rFonts w:hint="eastAsia" w:ascii="仿宋" w:hAnsi="仿宋" w:eastAsia="仿宋" w:cs="仿宋"/>
                <w:b w:val="0"/>
                <w:bCs/>
                <w:sz w:val="22"/>
                <w:szCs w:val="22"/>
                <w:lang w:bidi="ar"/>
              </w:rPr>
              <w:t>Pengiriman tepat waktu</w:t>
            </w:r>
          </w:p>
        </w:tc>
        <w:tc>
          <w:tcPr>
            <w:tcW w:w="4183" w:type="dxa"/>
            <w:gridSpan w:val="2"/>
            <w:shd w:val="clear" w:color="auto" w:fill="auto"/>
            <w:vAlign w:val="center"/>
          </w:tcPr>
          <w:p>
            <w:pPr>
              <w:widowControl/>
              <w:adjustRightInd w:val="0"/>
              <w:snapToGrid w:val="0"/>
              <w:spacing w:line="240" w:lineRule="auto"/>
              <w:jc w:val="center"/>
              <w:textAlignment w:val="center"/>
              <w:rPr>
                <w:rFonts w:hint="eastAsia" w:ascii="仿宋" w:hAnsi="仿宋" w:eastAsia="仿宋" w:cs="仿宋"/>
                <w:kern w:val="2"/>
                <w:sz w:val="22"/>
                <w:szCs w:val="22"/>
                <w:vertAlign w:val="baseline"/>
                <w:lang w:val="en-US" w:eastAsia="zh-CN" w:bidi="ar-SA"/>
              </w:rPr>
            </w:pPr>
          </w:p>
        </w:tc>
        <w:tc>
          <w:tcPr>
            <w:tcW w:w="2760" w:type="dxa"/>
            <w:gridSpan w:val="3"/>
            <w:shd w:val="clear" w:color="auto" w:fill="auto"/>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供应商名称</w:t>
            </w:r>
          </w:p>
          <w:p>
            <w:pPr>
              <w:widowControl/>
              <w:adjustRightInd w:val="0"/>
              <w:snapToGrid w:val="0"/>
              <w:spacing w:line="240" w:lineRule="auto"/>
              <w:jc w:val="center"/>
              <w:textAlignment w:val="center"/>
              <w:rPr>
                <w:rFonts w:hint="eastAsia" w:ascii="仿宋" w:hAnsi="仿宋" w:eastAsia="仿宋" w:cs="仿宋"/>
                <w:kern w:val="2"/>
                <w:sz w:val="22"/>
                <w:szCs w:val="22"/>
                <w:vertAlign w:val="baseline"/>
                <w:lang w:val="en-US" w:eastAsia="zh-CN" w:bidi="ar-SA"/>
              </w:rPr>
            </w:pPr>
            <w:r>
              <w:rPr>
                <w:rStyle w:val="14"/>
                <w:rFonts w:hint="eastAsia" w:ascii="仿宋" w:hAnsi="仿宋" w:eastAsia="仿宋" w:cs="仿宋"/>
                <w:b w:val="0"/>
                <w:bCs/>
                <w:sz w:val="22"/>
                <w:szCs w:val="22"/>
                <w:lang w:bidi="ar"/>
              </w:rPr>
              <w:t>Nama Pemasok</w:t>
            </w:r>
          </w:p>
        </w:tc>
        <w:tc>
          <w:tcPr>
            <w:tcW w:w="4405" w:type="dxa"/>
            <w:gridSpan w:val="2"/>
            <w:shd w:val="clear" w:color="auto" w:fill="auto"/>
            <w:vAlign w:val="center"/>
          </w:tcPr>
          <w:p>
            <w:pPr>
              <w:widowControl/>
              <w:adjustRightInd w:val="0"/>
              <w:snapToGrid w:val="0"/>
              <w:spacing w:line="240" w:lineRule="auto"/>
              <w:jc w:val="center"/>
              <w:rPr>
                <w:rFonts w:hint="eastAsia" w:ascii="仿宋" w:hAnsi="仿宋" w:eastAsia="仿宋" w:cs="仿宋"/>
                <w:kern w:val="2"/>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 w:hRule="atLeast"/>
        </w:trPr>
        <w:tc>
          <w:tcPr>
            <w:tcW w:w="2592" w:type="dxa"/>
            <w:gridSpan w:val="2"/>
            <w:shd w:val="clear" w:color="auto" w:fill="auto"/>
            <w:vAlign w:val="center"/>
          </w:tcPr>
          <w:p>
            <w:pPr>
              <w:widowControl/>
              <w:adjustRightInd w:val="0"/>
              <w:snapToGrid w:val="0"/>
              <w:spacing w:line="240" w:lineRule="auto"/>
              <w:jc w:val="center"/>
              <w:textAlignment w:val="center"/>
              <w:rPr>
                <w:rStyle w:val="14"/>
                <w:rFonts w:hint="eastAsia" w:ascii="仿宋" w:hAnsi="仿宋" w:eastAsia="仿宋" w:cs="仿宋"/>
                <w:b w:val="0"/>
                <w:bCs/>
                <w:sz w:val="22"/>
                <w:szCs w:val="22"/>
                <w:lang w:bidi="ar"/>
              </w:rPr>
            </w:pPr>
            <w:r>
              <w:rPr>
                <w:rStyle w:val="14"/>
                <w:rFonts w:hint="eastAsia" w:ascii="仿宋" w:hAnsi="仿宋" w:eastAsia="仿宋" w:cs="仿宋"/>
                <w:b w:val="0"/>
                <w:bCs/>
                <w:sz w:val="22"/>
                <w:szCs w:val="22"/>
                <w:lang w:bidi="ar"/>
              </w:rPr>
              <w:t>联系地址</w:t>
            </w:r>
          </w:p>
          <w:p>
            <w:pPr>
              <w:widowControl/>
              <w:adjustRightInd w:val="0"/>
              <w:snapToGrid w:val="0"/>
              <w:spacing w:line="240" w:lineRule="auto"/>
              <w:jc w:val="center"/>
              <w:textAlignment w:val="center"/>
              <w:rPr>
                <w:rFonts w:hint="eastAsia" w:ascii="仿宋" w:hAnsi="仿宋" w:eastAsia="仿宋" w:cs="仿宋"/>
                <w:kern w:val="2"/>
                <w:sz w:val="22"/>
                <w:szCs w:val="22"/>
                <w:vertAlign w:val="baseline"/>
                <w:lang w:val="en-US" w:eastAsia="zh-CN" w:bidi="ar-SA"/>
              </w:rPr>
            </w:pPr>
            <w:r>
              <w:rPr>
                <w:rStyle w:val="14"/>
                <w:rFonts w:hint="eastAsia" w:ascii="仿宋" w:hAnsi="仿宋" w:eastAsia="仿宋" w:cs="仿宋"/>
                <w:b w:val="0"/>
                <w:bCs/>
                <w:sz w:val="22"/>
                <w:szCs w:val="22"/>
                <w:lang w:bidi="ar"/>
              </w:rPr>
              <w:t>Alamat Kontak</w:t>
            </w:r>
          </w:p>
        </w:tc>
        <w:tc>
          <w:tcPr>
            <w:tcW w:w="11348" w:type="dxa"/>
            <w:gridSpan w:val="7"/>
            <w:shd w:val="clear" w:color="auto" w:fill="auto"/>
            <w:vAlign w:val="center"/>
          </w:tcPr>
          <w:p>
            <w:pPr>
              <w:widowControl/>
              <w:adjustRightInd w:val="0"/>
              <w:snapToGrid w:val="0"/>
              <w:spacing w:line="240" w:lineRule="auto"/>
              <w:jc w:val="center"/>
              <w:rPr>
                <w:rFonts w:hint="eastAsia" w:ascii="仿宋" w:hAnsi="仿宋" w:eastAsia="仿宋" w:cs="仿宋"/>
                <w:kern w:val="2"/>
                <w:sz w:val="22"/>
                <w:szCs w:val="2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trPr>
        <w:tc>
          <w:tcPr>
            <w:tcW w:w="13940" w:type="dxa"/>
            <w:gridSpan w:val="9"/>
          </w:tcPr>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报价人：              （签字）                联系方式：</w:t>
            </w: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Penyedia Penawaran:  (Tanda Tangan)              Rincian Kontak:</w:t>
            </w:r>
          </w:p>
          <w:p>
            <w:pPr>
              <w:widowControl/>
              <w:adjustRightInd w:val="0"/>
              <w:snapToGrid w:val="0"/>
              <w:spacing w:line="240" w:lineRule="auto"/>
              <w:ind w:firstLine="4620" w:firstLineChars="2100"/>
              <w:jc w:val="left"/>
              <w:textAlignment w:val="top"/>
              <w:rPr>
                <w:rStyle w:val="10"/>
                <w:rFonts w:hint="eastAsia" w:ascii="仿宋" w:hAnsi="仿宋" w:eastAsia="仿宋" w:cs="仿宋"/>
                <w:b w:val="0"/>
                <w:bCs/>
                <w:sz w:val="22"/>
                <w:szCs w:val="22"/>
                <w:lang w:bidi="ar"/>
              </w:rPr>
            </w:pP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报价单位：            （盖章）</w:t>
            </w: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Organisasi Penawaran:            (Stempel)</w:t>
            </w: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p>
          <w:p>
            <w:pPr>
              <w:widowControl/>
              <w:adjustRightInd w:val="0"/>
              <w:snapToGrid w:val="0"/>
              <w:spacing w:line="240" w:lineRule="auto"/>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备注：1. 报价人应签字盖章扫描后上传到报价专用邮箱。</w:t>
            </w:r>
          </w:p>
          <w:p>
            <w:pPr>
              <w:pStyle w:val="17"/>
              <w:widowControl/>
              <w:numPr>
                <w:ilvl w:val="0"/>
                <w:numId w:val="1"/>
              </w:numPr>
              <w:adjustRightInd w:val="0"/>
              <w:snapToGrid w:val="0"/>
              <w:spacing w:line="240" w:lineRule="auto"/>
              <w:ind w:hanging="153"/>
              <w:jc w:val="left"/>
              <w:textAlignment w:val="top"/>
              <w:rPr>
                <w:rStyle w:val="10"/>
                <w:rFonts w:hint="eastAsia" w:ascii="仿宋" w:hAnsi="仿宋" w:eastAsia="仿宋" w:cs="仿宋"/>
                <w:b w:val="0"/>
                <w:bCs/>
                <w:sz w:val="22"/>
                <w:szCs w:val="22"/>
                <w:highlight w:val="none"/>
                <w:lang w:bidi="ar"/>
              </w:rPr>
            </w:pPr>
            <w:r>
              <w:rPr>
                <w:rStyle w:val="10"/>
                <w:rFonts w:hint="eastAsia" w:ascii="仿宋" w:hAnsi="仿宋" w:eastAsia="仿宋" w:cs="仿宋"/>
                <w:b w:val="0"/>
                <w:bCs/>
                <w:sz w:val="22"/>
                <w:szCs w:val="22"/>
                <w:highlight w:val="none"/>
                <w:lang w:bidi="ar"/>
              </w:rPr>
              <w:t>报价人应附上营业执照、税务登记证、法人身份证明文件扫描件</w:t>
            </w:r>
            <w:r>
              <w:rPr>
                <w:rStyle w:val="10"/>
                <w:rFonts w:hint="eastAsia" w:ascii="仿宋" w:hAnsi="仿宋" w:eastAsia="仿宋" w:cs="仿宋"/>
                <w:b w:val="0"/>
                <w:bCs/>
                <w:sz w:val="22"/>
                <w:szCs w:val="22"/>
                <w:highlight w:val="none"/>
                <w:lang w:val="en-US" w:eastAsia="zh-CN" w:bidi="ar"/>
              </w:rPr>
              <w:t>。</w:t>
            </w:r>
          </w:p>
          <w:p>
            <w:pPr>
              <w:widowControl/>
              <w:adjustRightInd w:val="0"/>
              <w:snapToGrid w:val="0"/>
              <w:spacing w:line="240" w:lineRule="auto"/>
              <w:ind w:left="993" w:hanging="993"/>
              <w:jc w:val="left"/>
              <w:textAlignment w:val="top"/>
              <w:rPr>
                <w:rStyle w:val="10"/>
                <w:rFonts w:hint="eastAsia" w:ascii="仿宋" w:hAnsi="仿宋" w:eastAsia="仿宋" w:cs="仿宋"/>
                <w:b w:val="0"/>
                <w:bCs/>
                <w:sz w:val="22"/>
                <w:szCs w:val="22"/>
                <w:lang w:bidi="ar"/>
              </w:rPr>
            </w:pPr>
            <w:r>
              <w:rPr>
                <w:rStyle w:val="10"/>
                <w:rFonts w:hint="eastAsia" w:ascii="仿宋" w:hAnsi="仿宋" w:eastAsia="仿宋" w:cs="仿宋"/>
                <w:b w:val="0"/>
                <w:bCs/>
                <w:sz w:val="22"/>
                <w:szCs w:val="22"/>
                <w:lang w:bidi="ar"/>
              </w:rPr>
              <w:t>Catatan: 1. Penyedia penawaran wajib menandatangani dan menempelkan stempel, kemudian memindai dan mengunggah dokumen ke alamat email penawaran yang ditentukan.</w:t>
            </w:r>
          </w:p>
          <w:p>
            <w:pPr>
              <w:numPr>
                <w:ilvl w:val="0"/>
                <w:numId w:val="2"/>
              </w:numPr>
              <w:ind w:left="630" w:leftChars="0" w:firstLine="0" w:firstLineChars="0"/>
              <w:rPr>
                <w:rStyle w:val="10"/>
                <w:rFonts w:hint="eastAsia" w:ascii="仿宋" w:hAnsi="仿宋" w:eastAsia="仿宋" w:cs="仿宋"/>
                <w:b w:val="0"/>
                <w:bCs/>
                <w:sz w:val="22"/>
                <w:szCs w:val="22"/>
                <w:lang w:eastAsia="zh-CN" w:bidi="ar"/>
              </w:rPr>
            </w:pPr>
            <w:r>
              <w:rPr>
                <w:rFonts w:hint="eastAsia" w:ascii="仿宋" w:hAnsi="仿宋" w:eastAsia="仿宋" w:cs="仿宋"/>
                <w:sz w:val="22"/>
                <w:szCs w:val="22"/>
              </w:rPr>
              <w:t>Penyedia/Penawar wajib melampirkan hasil pemindaian (scan) Izin Usaha, Surat Pendaftaran Pajak, serta dokumen identitas Direktur/Penanggung Jawab Perusahaan.</w:t>
            </w:r>
          </w:p>
        </w:tc>
      </w:tr>
    </w:tbl>
    <w:p/>
    <w:sectPr>
      <w:pgSz w:w="16838" w:h="11906" w:orient="landscape"/>
      <w:pgMar w:top="1134" w:right="907" w:bottom="850"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FB8E672"/>
    <w:multiLevelType w:val="singleLevel"/>
    <w:tmpl w:val="7FB8E672"/>
    <w:lvl w:ilvl="0" w:tentative="0">
      <w:start w:val="2"/>
      <w:numFmt w:val="decimal"/>
      <w:suff w:val="space"/>
      <w:lvlText w:val="%1."/>
      <w:lvlJc w:val="left"/>
      <w:pPr>
        <w:ind w:left="63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00172A27"/>
    <w:rsid w:val="000B5FD3"/>
    <w:rsid w:val="00221200"/>
    <w:rsid w:val="002752BF"/>
    <w:rsid w:val="003C64D4"/>
    <w:rsid w:val="00843864"/>
    <w:rsid w:val="008D6C82"/>
    <w:rsid w:val="00CC18EC"/>
    <w:rsid w:val="01B35DB0"/>
    <w:rsid w:val="01CB13C4"/>
    <w:rsid w:val="01E63F21"/>
    <w:rsid w:val="020170C9"/>
    <w:rsid w:val="027408D5"/>
    <w:rsid w:val="028D7421"/>
    <w:rsid w:val="03A32673"/>
    <w:rsid w:val="03C90751"/>
    <w:rsid w:val="03CF3EC3"/>
    <w:rsid w:val="03DF209B"/>
    <w:rsid w:val="03F30484"/>
    <w:rsid w:val="045A2629"/>
    <w:rsid w:val="04967979"/>
    <w:rsid w:val="049B3F70"/>
    <w:rsid w:val="051819FB"/>
    <w:rsid w:val="057406C0"/>
    <w:rsid w:val="05853357"/>
    <w:rsid w:val="05AA3D50"/>
    <w:rsid w:val="06243F9E"/>
    <w:rsid w:val="0653675F"/>
    <w:rsid w:val="06562220"/>
    <w:rsid w:val="066C6A06"/>
    <w:rsid w:val="07EF30A5"/>
    <w:rsid w:val="08173489"/>
    <w:rsid w:val="08812760"/>
    <w:rsid w:val="08E20F4C"/>
    <w:rsid w:val="090C1532"/>
    <w:rsid w:val="0A0E320D"/>
    <w:rsid w:val="0A4F3E67"/>
    <w:rsid w:val="0B9D49A5"/>
    <w:rsid w:val="0BE42122"/>
    <w:rsid w:val="0C4A688F"/>
    <w:rsid w:val="0C8359D5"/>
    <w:rsid w:val="0CC03B03"/>
    <w:rsid w:val="0CD33738"/>
    <w:rsid w:val="0CED317F"/>
    <w:rsid w:val="0D0F17AD"/>
    <w:rsid w:val="0D4E62F0"/>
    <w:rsid w:val="0DEB1103"/>
    <w:rsid w:val="0DF929B9"/>
    <w:rsid w:val="0E3E3EBC"/>
    <w:rsid w:val="0E547877"/>
    <w:rsid w:val="0EBC0BA3"/>
    <w:rsid w:val="0F9368AD"/>
    <w:rsid w:val="1061572E"/>
    <w:rsid w:val="1158131F"/>
    <w:rsid w:val="11C36456"/>
    <w:rsid w:val="11C378C0"/>
    <w:rsid w:val="11E44E89"/>
    <w:rsid w:val="127F5B71"/>
    <w:rsid w:val="130909AC"/>
    <w:rsid w:val="13AA3777"/>
    <w:rsid w:val="13E50451"/>
    <w:rsid w:val="144B2D85"/>
    <w:rsid w:val="149A4B2E"/>
    <w:rsid w:val="14DD2694"/>
    <w:rsid w:val="152F44B6"/>
    <w:rsid w:val="166511CC"/>
    <w:rsid w:val="16B139CA"/>
    <w:rsid w:val="16D176EA"/>
    <w:rsid w:val="17B4244C"/>
    <w:rsid w:val="180D0119"/>
    <w:rsid w:val="1818775C"/>
    <w:rsid w:val="193E0575"/>
    <w:rsid w:val="19824B51"/>
    <w:rsid w:val="19915AB8"/>
    <w:rsid w:val="19D95947"/>
    <w:rsid w:val="1A0D7A29"/>
    <w:rsid w:val="1AA706BF"/>
    <w:rsid w:val="1AB353F0"/>
    <w:rsid w:val="1BB62083"/>
    <w:rsid w:val="1C771079"/>
    <w:rsid w:val="1CDC4D94"/>
    <w:rsid w:val="1D3D7951"/>
    <w:rsid w:val="1DD60F22"/>
    <w:rsid w:val="1E217D91"/>
    <w:rsid w:val="1E2A3595"/>
    <w:rsid w:val="1E3E5783"/>
    <w:rsid w:val="1EB5586B"/>
    <w:rsid w:val="1F3E5511"/>
    <w:rsid w:val="1F5E1D07"/>
    <w:rsid w:val="1F66292D"/>
    <w:rsid w:val="1F7246C2"/>
    <w:rsid w:val="1F772453"/>
    <w:rsid w:val="1FBF471E"/>
    <w:rsid w:val="216E0249"/>
    <w:rsid w:val="22050570"/>
    <w:rsid w:val="226A1E01"/>
    <w:rsid w:val="22792C4A"/>
    <w:rsid w:val="22A84DB7"/>
    <w:rsid w:val="22E71536"/>
    <w:rsid w:val="23173CEB"/>
    <w:rsid w:val="23B00E44"/>
    <w:rsid w:val="2441333F"/>
    <w:rsid w:val="24B54551"/>
    <w:rsid w:val="25290CCB"/>
    <w:rsid w:val="253F1AE2"/>
    <w:rsid w:val="256C03D0"/>
    <w:rsid w:val="25B65395"/>
    <w:rsid w:val="25E02FB7"/>
    <w:rsid w:val="261F587A"/>
    <w:rsid w:val="26255B2B"/>
    <w:rsid w:val="276A1679"/>
    <w:rsid w:val="27903299"/>
    <w:rsid w:val="27C24E65"/>
    <w:rsid w:val="28061543"/>
    <w:rsid w:val="284D03C6"/>
    <w:rsid w:val="29841D5D"/>
    <w:rsid w:val="29876599"/>
    <w:rsid w:val="29B375F9"/>
    <w:rsid w:val="2A136040"/>
    <w:rsid w:val="2A9B4EE9"/>
    <w:rsid w:val="2AF91A90"/>
    <w:rsid w:val="2B6D09CA"/>
    <w:rsid w:val="2BC7318B"/>
    <w:rsid w:val="2BE12066"/>
    <w:rsid w:val="2C51664C"/>
    <w:rsid w:val="2C5E6FB2"/>
    <w:rsid w:val="2E202611"/>
    <w:rsid w:val="2F061063"/>
    <w:rsid w:val="2F8C0199"/>
    <w:rsid w:val="2F911241"/>
    <w:rsid w:val="2FBA5391"/>
    <w:rsid w:val="2FC85622"/>
    <w:rsid w:val="30231D9C"/>
    <w:rsid w:val="30236782"/>
    <w:rsid w:val="30424AD4"/>
    <w:rsid w:val="30AD2C64"/>
    <w:rsid w:val="30E75315"/>
    <w:rsid w:val="30EC64AC"/>
    <w:rsid w:val="319F4902"/>
    <w:rsid w:val="32311970"/>
    <w:rsid w:val="3286210F"/>
    <w:rsid w:val="329C6082"/>
    <w:rsid w:val="33373101"/>
    <w:rsid w:val="348C0022"/>
    <w:rsid w:val="34917163"/>
    <w:rsid w:val="34D524C1"/>
    <w:rsid w:val="35332209"/>
    <w:rsid w:val="35C44D62"/>
    <w:rsid w:val="35F32905"/>
    <w:rsid w:val="36106493"/>
    <w:rsid w:val="361A6CEA"/>
    <w:rsid w:val="36372762"/>
    <w:rsid w:val="363B624D"/>
    <w:rsid w:val="364352C1"/>
    <w:rsid w:val="367525D1"/>
    <w:rsid w:val="36794B8A"/>
    <w:rsid w:val="3727044B"/>
    <w:rsid w:val="372B52F0"/>
    <w:rsid w:val="3790401A"/>
    <w:rsid w:val="37E14762"/>
    <w:rsid w:val="37F8DC07"/>
    <w:rsid w:val="38144C3A"/>
    <w:rsid w:val="38156A08"/>
    <w:rsid w:val="38932731"/>
    <w:rsid w:val="38A30FCB"/>
    <w:rsid w:val="38CD0FBF"/>
    <w:rsid w:val="38EA5886"/>
    <w:rsid w:val="39202DE3"/>
    <w:rsid w:val="394D79ED"/>
    <w:rsid w:val="396664DF"/>
    <w:rsid w:val="39C32433"/>
    <w:rsid w:val="39E073C1"/>
    <w:rsid w:val="39EB4EAC"/>
    <w:rsid w:val="3A8057FB"/>
    <w:rsid w:val="3AB47635"/>
    <w:rsid w:val="3B2362D0"/>
    <w:rsid w:val="3BAF6ABD"/>
    <w:rsid w:val="3BD75AB3"/>
    <w:rsid w:val="3BE405C3"/>
    <w:rsid w:val="3BFD7169"/>
    <w:rsid w:val="3C0A77E5"/>
    <w:rsid w:val="3C5A67AB"/>
    <w:rsid w:val="3CE25E28"/>
    <w:rsid w:val="3CEC6A87"/>
    <w:rsid w:val="3CED4F23"/>
    <w:rsid w:val="3D7E1658"/>
    <w:rsid w:val="3DBD2AD4"/>
    <w:rsid w:val="3DE054CC"/>
    <w:rsid w:val="3E6D26A2"/>
    <w:rsid w:val="3EAD6931"/>
    <w:rsid w:val="3F1A65D4"/>
    <w:rsid w:val="3F495B85"/>
    <w:rsid w:val="3F640352"/>
    <w:rsid w:val="40165301"/>
    <w:rsid w:val="403704D9"/>
    <w:rsid w:val="40555132"/>
    <w:rsid w:val="41E03B6E"/>
    <w:rsid w:val="42435850"/>
    <w:rsid w:val="431B6077"/>
    <w:rsid w:val="43A32D2F"/>
    <w:rsid w:val="43B153CA"/>
    <w:rsid w:val="43F959CB"/>
    <w:rsid w:val="441C1ED2"/>
    <w:rsid w:val="446277EA"/>
    <w:rsid w:val="44937855"/>
    <w:rsid w:val="45160A1D"/>
    <w:rsid w:val="4549539E"/>
    <w:rsid w:val="45753E5B"/>
    <w:rsid w:val="458F482B"/>
    <w:rsid w:val="45AF67BC"/>
    <w:rsid w:val="45B442BF"/>
    <w:rsid w:val="45C07575"/>
    <w:rsid w:val="45E05D8B"/>
    <w:rsid w:val="4600352F"/>
    <w:rsid w:val="46162798"/>
    <w:rsid w:val="46165F2F"/>
    <w:rsid w:val="46CF4C5F"/>
    <w:rsid w:val="474E5A15"/>
    <w:rsid w:val="47BD2A12"/>
    <w:rsid w:val="480C25C8"/>
    <w:rsid w:val="485275E0"/>
    <w:rsid w:val="485D1091"/>
    <w:rsid w:val="48C43D5F"/>
    <w:rsid w:val="48D012F0"/>
    <w:rsid w:val="48DD2263"/>
    <w:rsid w:val="4915219E"/>
    <w:rsid w:val="496700E6"/>
    <w:rsid w:val="49BB242B"/>
    <w:rsid w:val="49CA5E38"/>
    <w:rsid w:val="4A7F0F60"/>
    <w:rsid w:val="4B0F23EB"/>
    <w:rsid w:val="4B230E94"/>
    <w:rsid w:val="4B6E35AE"/>
    <w:rsid w:val="4B8B1DE5"/>
    <w:rsid w:val="4BB773E5"/>
    <w:rsid w:val="4C232E61"/>
    <w:rsid w:val="4C33633A"/>
    <w:rsid w:val="4C5B1D4E"/>
    <w:rsid w:val="4C79581F"/>
    <w:rsid w:val="4C8B2C4E"/>
    <w:rsid w:val="4CB171CC"/>
    <w:rsid w:val="4D902853"/>
    <w:rsid w:val="4E2C5CD2"/>
    <w:rsid w:val="4ECB5053"/>
    <w:rsid w:val="4ED40652"/>
    <w:rsid w:val="4F0F6D53"/>
    <w:rsid w:val="4F1618BE"/>
    <w:rsid w:val="4F8355D4"/>
    <w:rsid w:val="4FF03559"/>
    <w:rsid w:val="5088454B"/>
    <w:rsid w:val="50AE6B91"/>
    <w:rsid w:val="50E44BA3"/>
    <w:rsid w:val="512A2892"/>
    <w:rsid w:val="51327AEA"/>
    <w:rsid w:val="51575A7E"/>
    <w:rsid w:val="51D55463"/>
    <w:rsid w:val="52922DAE"/>
    <w:rsid w:val="52975339"/>
    <w:rsid w:val="53770839"/>
    <w:rsid w:val="538F00BB"/>
    <w:rsid w:val="55656468"/>
    <w:rsid w:val="556E1344"/>
    <w:rsid w:val="55FA661E"/>
    <w:rsid w:val="56054143"/>
    <w:rsid w:val="563E59D6"/>
    <w:rsid w:val="56A101EA"/>
    <w:rsid w:val="56C55A7B"/>
    <w:rsid w:val="58135ACF"/>
    <w:rsid w:val="58304321"/>
    <w:rsid w:val="583A34BA"/>
    <w:rsid w:val="58424B86"/>
    <w:rsid w:val="584E2D64"/>
    <w:rsid w:val="58923CD6"/>
    <w:rsid w:val="58E122B8"/>
    <w:rsid w:val="596827D0"/>
    <w:rsid w:val="599C5F96"/>
    <w:rsid w:val="5A070155"/>
    <w:rsid w:val="5A836897"/>
    <w:rsid w:val="5AB04D9D"/>
    <w:rsid w:val="5B1508F3"/>
    <w:rsid w:val="5B32236D"/>
    <w:rsid w:val="5B4013B6"/>
    <w:rsid w:val="5B6053D6"/>
    <w:rsid w:val="5B751AD8"/>
    <w:rsid w:val="5B7B286E"/>
    <w:rsid w:val="5BC03E98"/>
    <w:rsid w:val="5C0D5892"/>
    <w:rsid w:val="5C0F6461"/>
    <w:rsid w:val="5C6772E4"/>
    <w:rsid w:val="5C721A74"/>
    <w:rsid w:val="5DB1036E"/>
    <w:rsid w:val="5DE85F0E"/>
    <w:rsid w:val="5DFA5ED9"/>
    <w:rsid w:val="5E166B62"/>
    <w:rsid w:val="5E885850"/>
    <w:rsid w:val="5EA84339"/>
    <w:rsid w:val="5F1C24E5"/>
    <w:rsid w:val="5F2C483D"/>
    <w:rsid w:val="5F513BBF"/>
    <w:rsid w:val="5FEA1920"/>
    <w:rsid w:val="60810D7D"/>
    <w:rsid w:val="609D7D3E"/>
    <w:rsid w:val="60EB1BA0"/>
    <w:rsid w:val="62D82B70"/>
    <w:rsid w:val="63A455A9"/>
    <w:rsid w:val="63B77A7B"/>
    <w:rsid w:val="641A4188"/>
    <w:rsid w:val="644815D5"/>
    <w:rsid w:val="6450114F"/>
    <w:rsid w:val="647F6DA6"/>
    <w:rsid w:val="64D3348E"/>
    <w:rsid w:val="6517040C"/>
    <w:rsid w:val="65A03DE3"/>
    <w:rsid w:val="65BE1566"/>
    <w:rsid w:val="65EF7CB0"/>
    <w:rsid w:val="661D0604"/>
    <w:rsid w:val="668E7D1E"/>
    <w:rsid w:val="66A930FB"/>
    <w:rsid w:val="67045351"/>
    <w:rsid w:val="671A448A"/>
    <w:rsid w:val="67620642"/>
    <w:rsid w:val="677A5D38"/>
    <w:rsid w:val="678E3405"/>
    <w:rsid w:val="6877035C"/>
    <w:rsid w:val="68EA0AC9"/>
    <w:rsid w:val="69905487"/>
    <w:rsid w:val="69A40054"/>
    <w:rsid w:val="69FA5F22"/>
    <w:rsid w:val="6A717B37"/>
    <w:rsid w:val="6AA04E46"/>
    <w:rsid w:val="6AF22EF5"/>
    <w:rsid w:val="6CB57B0A"/>
    <w:rsid w:val="6D1907DE"/>
    <w:rsid w:val="6D2A03FC"/>
    <w:rsid w:val="6DA14E14"/>
    <w:rsid w:val="6ECD3652"/>
    <w:rsid w:val="6F0C1329"/>
    <w:rsid w:val="6F173176"/>
    <w:rsid w:val="6FB11E38"/>
    <w:rsid w:val="6FC91C35"/>
    <w:rsid w:val="6FEE1620"/>
    <w:rsid w:val="6FFA078E"/>
    <w:rsid w:val="71025650"/>
    <w:rsid w:val="71C46B08"/>
    <w:rsid w:val="72143F67"/>
    <w:rsid w:val="723C52F2"/>
    <w:rsid w:val="725B6795"/>
    <w:rsid w:val="7282175D"/>
    <w:rsid w:val="72C825F1"/>
    <w:rsid w:val="731472A8"/>
    <w:rsid w:val="736B3BFF"/>
    <w:rsid w:val="73801BA4"/>
    <w:rsid w:val="73A22718"/>
    <w:rsid w:val="74831862"/>
    <w:rsid w:val="74E53E1F"/>
    <w:rsid w:val="74EA6759"/>
    <w:rsid w:val="75266722"/>
    <w:rsid w:val="755461F4"/>
    <w:rsid w:val="773F1E4D"/>
    <w:rsid w:val="77505EDE"/>
    <w:rsid w:val="77791736"/>
    <w:rsid w:val="77830040"/>
    <w:rsid w:val="78F11B90"/>
    <w:rsid w:val="796F0675"/>
    <w:rsid w:val="79A1138D"/>
    <w:rsid w:val="7A354A3C"/>
    <w:rsid w:val="7A483F39"/>
    <w:rsid w:val="7AD07307"/>
    <w:rsid w:val="7B291F13"/>
    <w:rsid w:val="7B3F3814"/>
    <w:rsid w:val="7B7930A5"/>
    <w:rsid w:val="7BFA092A"/>
    <w:rsid w:val="7CBD13DA"/>
    <w:rsid w:val="7D385889"/>
    <w:rsid w:val="7D991EDE"/>
    <w:rsid w:val="7DA119AC"/>
    <w:rsid w:val="7DF7AE8B"/>
    <w:rsid w:val="7DF91624"/>
    <w:rsid w:val="7DFF4AA4"/>
    <w:rsid w:val="7E6E060E"/>
    <w:rsid w:val="7EA86E1F"/>
    <w:rsid w:val="7F6709A0"/>
    <w:rsid w:val="7F7B314F"/>
    <w:rsid w:val="7FA60964"/>
    <w:rsid w:val="7FFD2C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Strong"/>
    <w:basedOn w:val="6"/>
    <w:qFormat/>
    <w:uiPriority w:val="0"/>
    <w:rPr>
      <w:b/>
    </w:rPr>
  </w:style>
  <w:style w:type="character" w:styleId="8">
    <w:name w:val="FollowedHyperlink"/>
    <w:basedOn w:val="6"/>
    <w:qFormat/>
    <w:uiPriority w:val="0"/>
    <w:rPr>
      <w:color w:val="954F72" w:themeColor="followedHyperlink"/>
      <w:u w:val="single"/>
      <w14:textFill>
        <w14:solidFill>
          <w14:schemeClr w14:val="folHlink"/>
        </w14:solidFill>
      </w14:textFill>
    </w:rPr>
  </w:style>
  <w:style w:type="character" w:styleId="9">
    <w:name w:val="Hyperlink"/>
    <w:basedOn w:val="6"/>
    <w:qFormat/>
    <w:uiPriority w:val="0"/>
    <w:rPr>
      <w:color w:val="0563C1" w:themeColor="hyperlink"/>
      <w:u w:val="single"/>
      <w14:textFill>
        <w14:solidFill>
          <w14:schemeClr w14:val="hlink"/>
        </w14:solidFill>
      </w14:textFill>
    </w:rPr>
  </w:style>
  <w:style w:type="character" w:customStyle="1" w:styleId="10">
    <w:name w:val="font41"/>
    <w:basedOn w:val="6"/>
    <w:qFormat/>
    <w:uiPriority w:val="0"/>
    <w:rPr>
      <w:rFonts w:hint="eastAsia" w:ascii="宋体" w:hAnsi="宋体" w:eastAsia="宋体" w:cs="宋体"/>
      <w:b/>
      <w:color w:val="000000"/>
      <w:sz w:val="24"/>
      <w:szCs w:val="24"/>
      <w:u w:val="none"/>
    </w:rPr>
  </w:style>
  <w:style w:type="paragraph" w:customStyle="1" w:styleId="11">
    <w:name w:val="引言二级条标题"/>
    <w:basedOn w:val="12"/>
    <w:next w:val="13"/>
    <w:qFormat/>
    <w:uiPriority w:val="0"/>
    <w:pPr>
      <w:tabs>
        <w:tab w:val="left" w:pos="900"/>
      </w:tabs>
      <w:ind w:left="0" w:firstLine="0"/>
    </w:pPr>
  </w:style>
  <w:style w:type="paragraph" w:customStyle="1" w:styleId="12">
    <w:name w:val="引言一级条标题"/>
    <w:basedOn w:val="1"/>
    <w:next w:val="13"/>
    <w:qFormat/>
    <w:uiPriority w:val="0"/>
    <w:pPr>
      <w:tabs>
        <w:tab w:val="left" w:pos="900"/>
      </w:tabs>
      <w:ind w:left="900" w:hanging="900"/>
    </w:pPr>
    <w:rPr>
      <w:rFonts w:ascii="Times New Roman" w:hAnsi="Times New Roman" w:eastAsia="黑体"/>
      <w:b/>
    </w:rPr>
  </w:style>
  <w:style w:type="paragraph" w:customStyle="1" w:styleId="13">
    <w:name w:val="段"/>
    <w:basedOn w:val="1"/>
    <w:qFormat/>
    <w:uiPriority w:val="0"/>
    <w:pPr>
      <w:ind w:firstLine="200"/>
    </w:pPr>
    <w:rPr>
      <w:rFonts w:ascii="宋体" w:hAnsi="宋体" w:cs="宋体"/>
      <w:szCs w:val="21"/>
    </w:rPr>
  </w:style>
  <w:style w:type="character" w:customStyle="1" w:styleId="14">
    <w:name w:val="font91"/>
    <w:basedOn w:val="6"/>
    <w:qFormat/>
    <w:uiPriority w:val="0"/>
    <w:rPr>
      <w:rFonts w:hint="eastAsia" w:ascii="微软雅黑" w:hAnsi="微软雅黑" w:eastAsia="微软雅黑" w:cs="微软雅黑"/>
      <w:b/>
      <w:color w:val="000000"/>
      <w:sz w:val="20"/>
      <w:szCs w:val="20"/>
      <w:u w:val="none"/>
    </w:rPr>
  </w:style>
  <w:style w:type="paragraph" w:customStyle="1" w:styleId="15">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6">
    <w:name w:val="Unresolved Mention"/>
    <w:basedOn w:val="6"/>
    <w:semiHidden/>
    <w:unhideWhenUsed/>
    <w:qFormat/>
    <w:uiPriority w:val="99"/>
    <w:rPr>
      <w:color w:val="605E5C"/>
      <w:shd w:val="clear" w:color="auto" w:fill="E1DFDD"/>
    </w:rPr>
  </w:style>
  <w:style w:type="paragraph" w:styleId="17">
    <w:name w:val="List Paragraph"/>
    <w:basedOn w:val="1"/>
    <w:unhideWhenUsed/>
    <w:qFormat/>
    <w:uiPriority w:val="99"/>
    <w:pPr>
      <w:ind w:left="720"/>
      <w:contextualSpacing/>
    </w:pPr>
  </w:style>
  <w:style w:type="character" w:customStyle="1" w:styleId="18">
    <w:name w:val="font21"/>
    <w:basedOn w:val="6"/>
    <w:qFormat/>
    <w:uiPriority w:val="0"/>
    <w:rPr>
      <w:rFonts w:hint="default" w:ascii="Times New Roman" w:hAnsi="Times New Roman" w:cs="Times New Roman"/>
      <w:color w:val="000000"/>
      <w:sz w:val="24"/>
      <w:szCs w:val="24"/>
      <w:u w:val="none"/>
    </w:rPr>
  </w:style>
  <w:style w:type="character" w:customStyle="1" w:styleId="19">
    <w:name w:val="font71"/>
    <w:basedOn w:val="6"/>
    <w:qFormat/>
    <w:uiPriority w:val="0"/>
    <w:rPr>
      <w:rFonts w:hint="eastAsia" w:ascii="宋体" w:hAnsi="宋体" w:eastAsia="宋体" w:cs="宋体"/>
      <w:color w:val="000000"/>
      <w:sz w:val="24"/>
      <w:szCs w:val="24"/>
      <w:u w:val="none"/>
    </w:rPr>
  </w:style>
  <w:style w:type="character" w:customStyle="1" w:styleId="20">
    <w:name w:val="font81"/>
    <w:basedOn w:val="6"/>
    <w:qFormat/>
    <w:uiPriority w:val="0"/>
    <w:rPr>
      <w:rFonts w:hint="eastAsia" w:ascii="宋体" w:hAnsi="宋体" w:eastAsia="宋体" w:cs="宋体"/>
      <w:color w:val="000000"/>
      <w:sz w:val="24"/>
      <w:szCs w:val="24"/>
      <w:u w:val="none"/>
    </w:rPr>
  </w:style>
  <w:style w:type="character" w:customStyle="1" w:styleId="21">
    <w:name w:val="font31"/>
    <w:basedOn w:val="6"/>
    <w:qFormat/>
    <w:uiPriority w:val="0"/>
    <w:rPr>
      <w:rFonts w:hint="default" w:ascii="仿宋_GB2312" w:eastAsia="仿宋_GB2312" w:cs="仿宋_GB2312"/>
      <w:color w:val="000000"/>
      <w:sz w:val="24"/>
      <w:szCs w:val="24"/>
      <w:u w:val="none"/>
    </w:rPr>
  </w:style>
  <w:style w:type="character" w:customStyle="1" w:styleId="22">
    <w:name w:val="font51"/>
    <w:basedOn w:val="6"/>
    <w:qFormat/>
    <w:uiPriority w:val="0"/>
    <w:rPr>
      <w:rFonts w:hint="default" w:ascii="仿宋_GB2312" w:eastAsia="仿宋_GB2312" w:cs="仿宋_GB2312"/>
      <w:color w:val="000000"/>
      <w:sz w:val="24"/>
      <w:szCs w:val="24"/>
      <w:u w:val="none"/>
    </w:rPr>
  </w:style>
  <w:style w:type="character" w:customStyle="1" w:styleId="23">
    <w:name w:val="font61"/>
    <w:basedOn w:val="6"/>
    <w:qFormat/>
    <w:uiPriority w:val="0"/>
    <w:rPr>
      <w:rFonts w:hint="eastAsia" w:ascii="宋体" w:hAnsi="宋体" w:eastAsia="宋体" w:cs="宋体"/>
      <w:color w:val="000000"/>
      <w:sz w:val="24"/>
      <w:szCs w:val="24"/>
      <w:u w:val="none"/>
    </w:rPr>
  </w:style>
  <w:style w:type="character" w:customStyle="1" w:styleId="24">
    <w:name w:val="font112"/>
    <w:basedOn w:val="6"/>
    <w:qFormat/>
    <w:uiPriority w:val="0"/>
    <w:rPr>
      <w:rFonts w:ascii="Calibri" w:hAnsi="Calibri" w:cs="Calibri"/>
      <w:color w:val="000000"/>
      <w:sz w:val="20"/>
      <w:szCs w:val="20"/>
      <w:u w:val="none"/>
    </w:rPr>
  </w:style>
  <w:style w:type="character" w:customStyle="1" w:styleId="25">
    <w:name w:val="font11"/>
    <w:basedOn w:val="6"/>
    <w:qFormat/>
    <w:uiPriority w:val="0"/>
    <w:rPr>
      <w:rFonts w:hint="eastAsia" w:ascii="宋体" w:hAnsi="宋体" w:eastAsia="宋体" w:cs="宋体"/>
      <w:b/>
      <w:bCs/>
      <w:color w:val="000000"/>
      <w:sz w:val="22"/>
      <w:szCs w:val="22"/>
      <w:u w:val="none"/>
    </w:rPr>
  </w:style>
  <w:style w:type="character" w:customStyle="1" w:styleId="26">
    <w:name w:val="font01"/>
    <w:basedOn w:val="6"/>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中国华电集团公司</Company>
  <Pages>6</Pages>
  <Words>3701</Words>
  <Characters>8890</Characters>
  <Lines>33</Lines>
  <Paragraphs>9</Paragraphs>
  <TotalTime>5</TotalTime>
  <ScaleCrop>false</ScaleCrop>
  <LinksUpToDate>false</LinksUpToDate>
  <CharactersWithSpaces>9913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2025-04-28T16:16:00Z</dcterms:created>
  <dc:creator>LJ</dc:creator>
  <cp:lastModifiedBy>张郡书</cp:lastModifiedBy>
  <dcterms:modified xsi:type="dcterms:W3CDTF">2026-09-16T07:32:17Z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82CFCA51245A35289396716A5F477A2F_43</vt:lpwstr>
  </property>
  <property fmtid="{D5CDD505-2E9C-101B-9397-08002B2CF9AE}" pid="4" name="KSOTemplateDocerSaveRecord">
    <vt:lpwstr>eyJoZGlkIjoiODViY2JkMjU3NGYzZTEwMzZmMGFkZWViYmNkYWU3NDIiLCJ1c2VySWQiOiIzMTI0Nzk0ODQifQ==</vt:lpwstr>
  </property>
</Properties>
</file>