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16F1E">
      <w:pPr>
        <w:widowControl w:val="0"/>
        <w:spacing w:before="120" w:beforeLines="50" w:line="240" w:lineRule="auto"/>
        <w:ind w:firstLine="0" w:firstLineChars="0"/>
        <w:jc w:val="center"/>
        <w:rPr>
          <w:b/>
          <w:bCs/>
          <w:sz w:val="36"/>
          <w:szCs w:val="36"/>
          <w:lang w:eastAsia="zh-CN"/>
        </w:rPr>
      </w:pPr>
      <w:r>
        <w:rPr>
          <w:rFonts w:hint="eastAsia"/>
          <w:b/>
          <w:bCs/>
          <w:sz w:val="36"/>
          <w:szCs w:val="36"/>
          <w:lang w:eastAsia="zh-CN"/>
        </w:rPr>
        <w:t>PT PEMBANGKITAN LISTRIK PINTAR ENERGI</w:t>
      </w:r>
    </w:p>
    <w:p w14:paraId="501AF7AA">
      <w:pPr>
        <w:widowControl w:val="0"/>
        <w:spacing w:before="120" w:beforeLines="50" w:line="240" w:lineRule="auto"/>
        <w:ind w:firstLine="0" w:firstLineChars="0"/>
        <w:jc w:val="center"/>
        <w:rPr>
          <w:rFonts w:ascii="黑体" w:hAnsi="黑体" w:eastAsia="黑体"/>
          <w:sz w:val="36"/>
          <w:szCs w:val="36"/>
          <w:lang w:eastAsia="zh-CN"/>
        </w:rPr>
      </w:pPr>
    </w:p>
    <w:p w14:paraId="13535ACE">
      <w:pPr>
        <w:widowControl w:val="0"/>
        <w:spacing w:before="120" w:beforeLines="50" w:line="240" w:lineRule="auto"/>
        <w:ind w:firstLine="0" w:firstLineChars="0"/>
        <w:jc w:val="center"/>
        <w:rPr>
          <w:rFonts w:ascii="黑体" w:hAnsi="黑体" w:eastAsia="黑体"/>
          <w:sz w:val="36"/>
          <w:szCs w:val="36"/>
          <w:lang w:eastAsia="zh-CN"/>
        </w:rPr>
      </w:pPr>
      <w:r>
        <w:rPr>
          <w:rFonts w:hint="eastAsia" w:ascii="黑体" w:hAnsi="黑体" w:eastAsia="黑体"/>
          <w:sz w:val="36"/>
          <w:szCs w:val="36"/>
          <w:lang w:eastAsia="zh-CN"/>
        </w:rPr>
        <w:t xml:space="preserve"> </w:t>
      </w:r>
      <w:bookmarkStart w:id="59" w:name="_GoBack"/>
      <w:r>
        <w:rPr>
          <w:rFonts w:hint="eastAsia" w:ascii="黑体" w:hAnsi="黑体" w:eastAsia="黑体"/>
          <w:sz w:val="36"/>
          <w:szCs w:val="36"/>
          <w:lang w:eastAsia="zh-CN"/>
        </w:rPr>
        <w:t>2025-2027年度灰场管理、灰渣、石膏、石子煤</w:t>
      </w:r>
    </w:p>
    <w:p w14:paraId="0449511D">
      <w:pPr>
        <w:widowControl w:val="0"/>
        <w:spacing w:before="120" w:beforeLines="50" w:line="360" w:lineRule="auto"/>
        <w:ind w:firstLine="0" w:firstLineChars="0"/>
        <w:jc w:val="center"/>
        <w:rPr>
          <w:rFonts w:ascii="黑体" w:hAnsi="黑体" w:eastAsia="黑体"/>
          <w:sz w:val="36"/>
          <w:szCs w:val="36"/>
          <w:lang w:eastAsia="zh-CN"/>
        </w:rPr>
      </w:pPr>
      <w:r>
        <w:rPr>
          <w:rFonts w:hint="eastAsia" w:ascii="黑体" w:hAnsi="黑体" w:eastAsia="黑体"/>
          <w:sz w:val="36"/>
          <w:szCs w:val="36"/>
          <w:lang w:eastAsia="zh-CN"/>
        </w:rPr>
        <w:t>装卸转运服务招标公告</w:t>
      </w:r>
    </w:p>
    <w:bookmarkEnd w:id="59"/>
    <w:p w14:paraId="42D8B349">
      <w:pPr>
        <w:widowControl w:val="0"/>
        <w:spacing w:before="120" w:beforeLines="50" w:line="240" w:lineRule="auto"/>
        <w:ind w:firstLine="0" w:firstLineChars="0"/>
        <w:jc w:val="center"/>
        <w:rPr>
          <w:b/>
          <w:bCs/>
          <w:sz w:val="32"/>
          <w:szCs w:val="32"/>
          <w:lang w:eastAsia="zh-CN"/>
        </w:rPr>
      </w:pPr>
      <w:r>
        <w:rPr>
          <w:rFonts w:hint="eastAsia"/>
          <w:b/>
          <w:bCs/>
          <w:sz w:val="32"/>
          <w:szCs w:val="32"/>
          <w:lang w:eastAsia="zh-CN"/>
        </w:rPr>
        <w:t>Layanan Manajemen Pengelolaan Ash Yard dan Transportasi FABA, Gypsum, Pyrite Tahun 2025-2027</w:t>
      </w:r>
    </w:p>
    <w:p w14:paraId="3045CBC4">
      <w:pPr>
        <w:widowControl w:val="0"/>
        <w:tabs>
          <w:tab w:val="left" w:pos="1118"/>
        </w:tabs>
        <w:ind w:firstLine="480"/>
        <w:jc w:val="center"/>
        <w:rPr>
          <w:rFonts w:cs="黑体"/>
          <w:szCs w:val="24"/>
          <w:lang w:eastAsia="zh-CN"/>
        </w:rPr>
      </w:pPr>
      <w:r>
        <w:rPr>
          <w:rFonts w:hint="eastAsia" w:cs="黑体"/>
          <w:szCs w:val="24"/>
          <w:lang w:eastAsia="zh-CN"/>
        </w:rPr>
        <w:t>（招标编号：</w:t>
      </w:r>
      <w:r>
        <w:rPr>
          <w:rFonts w:cs="黑体"/>
          <w:szCs w:val="24"/>
          <w:lang w:eastAsia="zh-CN"/>
        </w:rPr>
        <w:t xml:space="preserve"> </w:t>
      </w:r>
      <w:r>
        <w:rPr>
          <w:rFonts w:cs="黑体"/>
          <w:szCs w:val="24"/>
          <w:u w:val="single"/>
          <w:lang w:eastAsia="zh-CN"/>
        </w:rPr>
        <w:t xml:space="preserve"> </w:t>
      </w:r>
      <w:r>
        <w:rPr>
          <w:rFonts w:hint="eastAsia" w:cs="黑体"/>
          <w:szCs w:val="24"/>
          <w:u w:val="single"/>
          <w:lang w:eastAsia="zh-CN"/>
        </w:rPr>
        <w:t>BY-WZZB-2025-004</w:t>
      </w:r>
      <w:r>
        <w:rPr>
          <w:rFonts w:cs="黑体"/>
          <w:szCs w:val="24"/>
          <w:u w:val="single"/>
          <w:lang w:eastAsia="zh-CN"/>
        </w:rPr>
        <w:t xml:space="preserve"> </w:t>
      </w:r>
      <w:r>
        <w:rPr>
          <w:rFonts w:cs="黑体"/>
          <w:szCs w:val="24"/>
          <w:lang w:eastAsia="zh-CN"/>
        </w:rPr>
        <w:t xml:space="preserve"> </w:t>
      </w:r>
      <w:r>
        <w:rPr>
          <w:rFonts w:hint="eastAsia" w:cs="黑体"/>
          <w:szCs w:val="24"/>
          <w:lang w:eastAsia="zh-CN"/>
        </w:rPr>
        <w:t>）</w:t>
      </w:r>
    </w:p>
    <w:p w14:paraId="0C66046B">
      <w:pPr>
        <w:pStyle w:val="9"/>
        <w:widowControl w:val="0"/>
        <w:numPr>
          <w:ilvl w:val="0"/>
          <w:numId w:val="1"/>
        </w:numPr>
        <w:adjustRightInd/>
        <w:snapToGrid/>
        <w:spacing w:after="120" w:afterLines="50" w:line="360" w:lineRule="auto"/>
        <w:ind w:left="448" w:firstLine="0" w:firstLineChars="0"/>
        <w:jc w:val="both"/>
        <w:outlineLvl w:val="1"/>
        <w:rPr>
          <w:bCs/>
          <w:sz w:val="28"/>
          <w:szCs w:val="28"/>
        </w:rPr>
      </w:pPr>
      <w:bookmarkStart w:id="0" w:name="_Toc6763"/>
      <w:bookmarkStart w:id="1" w:name="_Toc27749"/>
      <w:bookmarkStart w:id="2" w:name="_Toc6614"/>
      <w:bookmarkStart w:id="3" w:name="_Toc22134"/>
      <w:bookmarkStart w:id="4" w:name="_Toc522694159"/>
      <w:bookmarkStart w:id="5" w:name="_Toc523264509"/>
      <w:bookmarkStart w:id="6" w:name="_Toc31333"/>
      <w:bookmarkStart w:id="7" w:name="_Toc17337"/>
      <w:bookmarkStart w:id="8" w:name="_Toc523264295"/>
      <w:bookmarkStart w:id="9" w:name="_Toc12533"/>
      <w:bookmarkStart w:id="10" w:name="_Toc522693214"/>
      <w:r>
        <w:rPr>
          <w:rFonts w:ascii="黑体" w:hAnsi="黑体" w:eastAsia="黑体" w:cs="Microsoft JhengHei"/>
          <w:bCs/>
          <w:sz w:val="28"/>
          <w:szCs w:val="28"/>
        </w:rPr>
        <w:t>招标条件</w:t>
      </w:r>
      <w:bookmarkEnd w:id="0"/>
      <w:bookmarkEnd w:id="1"/>
      <w:bookmarkEnd w:id="2"/>
      <w:bookmarkEnd w:id="3"/>
      <w:r>
        <w:rPr>
          <w:rFonts w:hint="eastAsia"/>
          <w:bCs/>
          <w:sz w:val="28"/>
          <w:szCs w:val="28"/>
        </w:rPr>
        <w:t>Ketentuan penawaran</w:t>
      </w:r>
    </w:p>
    <w:p w14:paraId="115ACD7E">
      <w:pPr>
        <w:ind w:firstLine="480"/>
        <w:jc w:val="both"/>
        <w:rPr>
          <w:rFonts w:ascii="Calibri" w:hAnsi="Calibri" w:cs="Times New Roman"/>
          <w:szCs w:val="24"/>
          <w:lang w:eastAsia="zh-CN"/>
        </w:rPr>
      </w:pPr>
      <w:r>
        <w:rPr>
          <w:rFonts w:hint="eastAsia"/>
          <w:szCs w:val="24"/>
          <w:u w:val="single"/>
          <w:lang w:eastAsia="zh-CN"/>
        </w:rPr>
        <w:t xml:space="preserve"> PT PEMBANGKITAN LISTRIK PINTAR ENERGI 2025-2027年度灰场管理、灰渣、石膏、石子煤装卸转运服务招标公告 </w:t>
      </w:r>
      <w:r>
        <w:rPr>
          <w:rFonts w:ascii="Calibri" w:hAnsi="Calibri" w:cs="Times New Roman"/>
          <w:szCs w:val="24"/>
          <w:lang w:eastAsia="zh-CN"/>
        </w:rPr>
        <w:t>已由</w:t>
      </w:r>
      <w:r>
        <w:rPr>
          <w:rFonts w:hint="eastAsia"/>
          <w:szCs w:val="24"/>
          <w:u w:val="single"/>
          <w:lang w:eastAsia="zh-CN"/>
        </w:rPr>
        <w:t xml:space="preserve"> 华电海投公司 </w:t>
      </w:r>
      <w:r>
        <w:rPr>
          <w:rFonts w:ascii="Calibri" w:hAnsi="Calibri" w:cs="Times New Roman"/>
          <w:szCs w:val="24"/>
          <w:lang w:eastAsia="zh-CN"/>
        </w:rPr>
        <w:t>批准，招标人为</w:t>
      </w:r>
      <w:r>
        <w:rPr>
          <w:rFonts w:hint="eastAsia"/>
          <w:szCs w:val="24"/>
          <w:u w:val="single"/>
          <w:lang w:eastAsia="zh-CN"/>
        </w:rPr>
        <w:t xml:space="preserve"> PT PEMBANGKITAN LISTRIK PINTAR ENERGI </w:t>
      </w:r>
      <w:r>
        <w:rPr>
          <w:rFonts w:ascii="Calibri" w:hAnsi="Calibri" w:cs="Times New Roman"/>
          <w:szCs w:val="24"/>
          <w:lang w:eastAsia="zh-CN"/>
        </w:rPr>
        <w:t>，项目资金为</w:t>
      </w:r>
      <w:r>
        <w:rPr>
          <w:rFonts w:hint="eastAsia"/>
          <w:szCs w:val="24"/>
          <w:u w:val="single"/>
          <w:lang w:eastAsia="zh-CN"/>
        </w:rPr>
        <w:t xml:space="preserve"> 自筹 </w:t>
      </w:r>
      <w:r>
        <w:rPr>
          <w:rFonts w:ascii="Calibri" w:hAnsi="Calibri" w:cs="Times New Roman"/>
          <w:szCs w:val="24"/>
          <w:lang w:eastAsia="zh-CN"/>
        </w:rPr>
        <w:t>。本项目已具备招标条件，现进行</w:t>
      </w:r>
      <w:bookmarkStart w:id="11" w:name="BL_000016"/>
      <w:r>
        <w:rPr>
          <w:rFonts w:ascii="Calibri" w:hAnsi="Calibri" w:cs="Times New Roman"/>
          <w:szCs w:val="24"/>
          <w:lang w:eastAsia="zh-CN"/>
        </w:rPr>
        <w:t>公开招标</w:t>
      </w:r>
      <w:bookmarkEnd w:id="11"/>
      <w:r>
        <w:rPr>
          <w:rFonts w:ascii="Calibri" w:hAnsi="Calibri" w:cs="Times New Roman"/>
          <w:szCs w:val="24"/>
          <w:lang w:eastAsia="zh-CN"/>
        </w:rPr>
        <w:t xml:space="preserve">。 </w:t>
      </w:r>
    </w:p>
    <w:p w14:paraId="7A0FF349">
      <w:pPr>
        <w:ind w:firstLine="480"/>
        <w:jc w:val="both"/>
        <w:rPr>
          <w:szCs w:val="24"/>
          <w:lang w:eastAsia="zh-CN"/>
        </w:rPr>
      </w:pPr>
      <w:r>
        <w:rPr>
          <w:rFonts w:hint="eastAsia"/>
          <w:szCs w:val="24"/>
          <w:lang w:eastAsia="zh-CN"/>
        </w:rPr>
        <w:t>Pengumuman Penawaran Layanan Pengelolaan Lahan Abu, Pemindahan dan Bongkar Muat Abu Terbang, Gipsum, dan Batu Bara Kecil PT PEMBANGKITAN LISTRIK PINTAR ENERGI untuk Tahun 2025–2027 Proyek ini telah disetujui oleh Huadian International Power Company, dengan PT PEMBANGKITAN LISTRIK PINTAR ENERGI sebagai pihak penawar (pemilik Penawaran). Dana proyek bersumber dari pendanaan mandiri. Proyek ini telah memenuhi syarat untuk diPenawarankan dan kini diumumkan secara terbuka.</w:t>
      </w:r>
    </w:p>
    <w:p w14:paraId="483364F7">
      <w:pPr>
        <w:ind w:firstLine="480"/>
        <w:jc w:val="both"/>
        <w:rPr>
          <w:rFonts w:ascii="Calibri" w:hAnsi="Calibri" w:cs="Times New Roman"/>
          <w:szCs w:val="24"/>
          <w:lang w:eastAsia="zh-CN"/>
        </w:rPr>
      </w:pPr>
    </w:p>
    <w:p w14:paraId="23F7B1BD">
      <w:pPr>
        <w:pStyle w:val="9"/>
        <w:widowControl w:val="0"/>
        <w:numPr>
          <w:ilvl w:val="0"/>
          <w:numId w:val="1"/>
        </w:numPr>
        <w:adjustRightInd/>
        <w:snapToGrid/>
        <w:spacing w:after="120" w:afterLines="50" w:line="360" w:lineRule="auto"/>
        <w:ind w:left="448" w:firstLine="0" w:firstLineChars="0"/>
        <w:jc w:val="both"/>
        <w:outlineLvl w:val="1"/>
        <w:rPr>
          <w:bCs/>
          <w:sz w:val="28"/>
          <w:szCs w:val="28"/>
        </w:rPr>
      </w:pPr>
      <w:bookmarkStart w:id="12" w:name="_Toc7830"/>
      <w:bookmarkStart w:id="13" w:name="_Toc29298"/>
      <w:bookmarkStart w:id="14" w:name="_Toc29114"/>
      <w:bookmarkStart w:id="15" w:name="_Toc26732"/>
      <w:r>
        <w:rPr>
          <w:rFonts w:ascii="黑体" w:hAnsi="黑体" w:eastAsia="黑体" w:cs="Microsoft JhengHei"/>
          <w:bCs/>
          <w:sz w:val="28"/>
          <w:szCs w:val="28"/>
        </w:rPr>
        <w:t>项目规模和招标范围</w:t>
      </w:r>
      <w:bookmarkEnd w:id="12"/>
      <w:bookmarkEnd w:id="13"/>
      <w:bookmarkEnd w:id="14"/>
      <w:bookmarkEnd w:id="15"/>
      <w:r>
        <w:rPr>
          <w:rFonts w:hint="eastAsia"/>
          <w:bCs/>
          <w:sz w:val="28"/>
          <w:szCs w:val="28"/>
        </w:rPr>
        <w:t>Lingkup proyek dan ruang lingkup Penawaran</w:t>
      </w:r>
    </w:p>
    <w:p w14:paraId="05C26D6C">
      <w:pPr>
        <w:ind w:firstLine="482"/>
        <w:jc w:val="both"/>
        <w:rPr>
          <w:szCs w:val="24"/>
          <w:lang w:eastAsia="zh-CN" w:bidi="ar"/>
        </w:rPr>
      </w:pPr>
      <w:r>
        <w:rPr>
          <w:b/>
          <w:szCs w:val="24"/>
          <w:lang w:eastAsia="zh-CN" w:bidi="ar"/>
        </w:rPr>
        <w:t>2.1招标采购项目</w:t>
      </w:r>
      <w:r>
        <w:rPr>
          <w:rFonts w:hint="eastAsia"/>
          <w:b/>
          <w:szCs w:val="24"/>
          <w:lang w:eastAsia="zh-CN" w:bidi="ar"/>
        </w:rPr>
        <w:t>地址</w:t>
      </w:r>
      <w:r>
        <w:rPr>
          <w:b/>
          <w:szCs w:val="24"/>
          <w:lang w:eastAsia="zh-CN" w:bidi="ar"/>
        </w:rPr>
        <w:t>：</w:t>
      </w:r>
      <w:r>
        <w:rPr>
          <w:rFonts w:hint="eastAsia"/>
          <w:szCs w:val="24"/>
          <w:u w:val="single"/>
          <w:lang w:eastAsia="zh-CN" w:bidi="ar"/>
        </w:rPr>
        <w:t xml:space="preserve"> 印度尼西亚南苏门答腊省穆拉埃宁（Muara Enim）县以南Darmo镇 </w:t>
      </w:r>
      <w:r>
        <w:rPr>
          <w:rFonts w:hint="eastAsia"/>
          <w:szCs w:val="24"/>
          <w:lang w:eastAsia="zh-CN" w:bidi="ar"/>
        </w:rPr>
        <w:t>。</w:t>
      </w:r>
    </w:p>
    <w:p w14:paraId="09B4628F">
      <w:pPr>
        <w:ind w:firstLine="480"/>
        <w:jc w:val="both"/>
        <w:rPr>
          <w:szCs w:val="24"/>
          <w:lang w:eastAsia="zh-CN" w:bidi="ar"/>
        </w:rPr>
      </w:pPr>
      <w:r>
        <w:rPr>
          <w:rFonts w:hint="eastAsia"/>
          <w:szCs w:val="24"/>
          <w:lang w:eastAsia="zh-CN" w:bidi="ar"/>
        </w:rPr>
        <w:t>2.1 Alamat proyek yang diundang untuk Penawaran: Kota Darmo, sebelah selatan Kabupaten Muara Enim, Sumatera Selatan, Indonesia.</w:t>
      </w:r>
    </w:p>
    <w:p w14:paraId="37FFD3EB">
      <w:pPr>
        <w:ind w:firstLine="482"/>
        <w:jc w:val="both"/>
        <w:rPr>
          <w:szCs w:val="24"/>
          <w:lang w:eastAsia="zh-CN" w:bidi="ar"/>
        </w:rPr>
      </w:pPr>
      <w:r>
        <w:rPr>
          <w:b/>
          <w:szCs w:val="24"/>
          <w:lang w:eastAsia="zh-CN" w:bidi="ar"/>
        </w:rPr>
        <w:t>2.2项目规模：</w:t>
      </w:r>
      <w:r>
        <w:rPr>
          <w:rFonts w:hint="eastAsia"/>
          <w:szCs w:val="24"/>
          <w:u w:val="single"/>
          <w:lang w:eastAsia="zh-CN" w:bidi="ar"/>
        </w:rPr>
        <w:t xml:space="preserve"> </w:t>
      </w:r>
      <w:r>
        <w:rPr>
          <w:rFonts w:hint="eastAsia"/>
          <w:b/>
          <w:bCs/>
        </w:rPr>
        <w:t>2×660MW超临界燃煤机组</w:t>
      </w:r>
      <w:r>
        <w:rPr>
          <w:rFonts w:hint="eastAsia"/>
          <w:szCs w:val="24"/>
          <w:u w:val="single"/>
          <w:lang w:eastAsia="zh-CN" w:bidi="ar"/>
        </w:rPr>
        <w:t xml:space="preserve"> </w:t>
      </w:r>
      <w:r>
        <w:rPr>
          <w:rFonts w:hint="eastAsia"/>
          <w:szCs w:val="24"/>
          <w:lang w:eastAsia="zh-CN" w:bidi="ar"/>
        </w:rPr>
        <w:t>。</w:t>
      </w:r>
    </w:p>
    <w:p w14:paraId="7D8D9A7A">
      <w:pPr>
        <w:ind w:firstLine="480"/>
        <w:jc w:val="both"/>
        <w:rPr>
          <w:szCs w:val="24"/>
          <w:lang w:eastAsia="zh-CN" w:bidi="ar"/>
        </w:rPr>
      </w:pPr>
      <w:r>
        <w:rPr>
          <w:rFonts w:hint="eastAsia"/>
          <w:szCs w:val="24"/>
          <w:lang w:eastAsia="zh-CN" w:bidi="ar"/>
        </w:rPr>
        <w:t>2.2 Skala Proyek: 2×660MW unit pembangkit listrik tenaga batu bara superkritis.</w:t>
      </w:r>
    </w:p>
    <w:p w14:paraId="324CB575">
      <w:pPr>
        <w:ind w:firstLine="482"/>
        <w:jc w:val="both"/>
        <w:rPr>
          <w:szCs w:val="24"/>
          <w:lang w:eastAsia="zh-CN" w:bidi="ar"/>
        </w:rPr>
      </w:pPr>
      <w:r>
        <w:rPr>
          <w:rFonts w:hint="eastAsia"/>
          <w:b/>
          <w:szCs w:val="24"/>
          <w:lang w:eastAsia="zh-CN" w:bidi="ar"/>
        </w:rPr>
        <w:t>2.3</w:t>
      </w:r>
      <w:r>
        <w:rPr>
          <w:b/>
          <w:szCs w:val="24"/>
          <w:lang w:eastAsia="zh-CN" w:bidi="ar"/>
        </w:rPr>
        <w:t>招标采购项目工期：</w:t>
      </w:r>
      <w:r>
        <w:rPr>
          <w:rFonts w:hint="eastAsia"/>
          <w:szCs w:val="24"/>
          <w:u w:val="single"/>
          <w:lang w:eastAsia="zh-CN" w:bidi="ar"/>
        </w:rPr>
        <w:t xml:space="preserve"> 两年 </w:t>
      </w:r>
      <w:r>
        <w:rPr>
          <w:rFonts w:hint="eastAsia"/>
          <w:szCs w:val="24"/>
          <w:lang w:eastAsia="zh-CN" w:bidi="ar"/>
        </w:rPr>
        <w:t xml:space="preserve"> </w:t>
      </w:r>
      <w:r>
        <w:rPr>
          <w:szCs w:val="24"/>
          <w:lang w:eastAsia="zh-CN" w:bidi="ar"/>
        </w:rPr>
        <w:t>。</w:t>
      </w:r>
    </w:p>
    <w:p w14:paraId="6280149E">
      <w:pPr>
        <w:ind w:firstLine="480"/>
        <w:jc w:val="both"/>
        <w:rPr>
          <w:szCs w:val="24"/>
          <w:lang w:eastAsia="zh-CN" w:bidi="ar"/>
        </w:rPr>
      </w:pPr>
      <w:r>
        <w:rPr>
          <w:szCs w:val="24"/>
          <w:lang w:eastAsia="zh-CN" w:bidi="ar"/>
        </w:rPr>
        <w:t>2.3 Jangka Waktu Pelaksanaan Proyek Pengadaan Penawaran: Dua tahun.</w:t>
      </w:r>
    </w:p>
    <w:p w14:paraId="4BA13C3D">
      <w:pPr>
        <w:ind w:firstLine="482"/>
        <w:jc w:val="both"/>
        <w:rPr>
          <w:szCs w:val="24"/>
          <w:lang w:eastAsia="zh-CN" w:bidi="ar"/>
        </w:rPr>
      </w:pPr>
      <w:r>
        <w:rPr>
          <w:rFonts w:hint="eastAsia"/>
          <w:b/>
          <w:szCs w:val="24"/>
          <w:lang w:eastAsia="zh-CN" w:bidi="ar"/>
        </w:rPr>
        <w:t>2.4</w:t>
      </w:r>
      <w:r>
        <w:rPr>
          <w:b/>
          <w:szCs w:val="24"/>
          <w:lang w:eastAsia="zh-CN" w:bidi="ar"/>
        </w:rPr>
        <w:t>招标范围</w:t>
      </w:r>
      <w:r>
        <w:rPr>
          <w:rFonts w:hint="eastAsia"/>
          <w:b/>
          <w:szCs w:val="24"/>
          <w:lang w:eastAsia="zh-CN" w:bidi="ar"/>
        </w:rPr>
        <w:t>：</w:t>
      </w:r>
      <w:r>
        <w:rPr>
          <w:szCs w:val="24"/>
          <w:u w:val="single"/>
          <w:lang w:eastAsia="zh-CN" w:bidi="ar"/>
        </w:rPr>
        <w:t xml:space="preserve"> </w:t>
      </w:r>
      <w:r>
        <w:rPr>
          <w:rFonts w:hint="eastAsia"/>
          <w:szCs w:val="24"/>
          <w:u w:val="single"/>
          <w:lang w:eastAsia="zh-CN" w:bidi="ar"/>
        </w:rPr>
        <w:t xml:space="preserve">2025-2027年度灰场管理、灰渣、石膏、石子煤装卸转运服务 </w:t>
      </w:r>
      <w:r>
        <w:rPr>
          <w:rFonts w:hint="eastAsia"/>
          <w:szCs w:val="24"/>
          <w:lang w:eastAsia="zh-CN" w:bidi="ar"/>
        </w:rPr>
        <w:t xml:space="preserve"> </w:t>
      </w:r>
      <w:r>
        <w:rPr>
          <w:szCs w:val="24"/>
          <w:lang w:eastAsia="zh-CN" w:bidi="ar"/>
        </w:rPr>
        <w:t>。</w:t>
      </w:r>
    </w:p>
    <w:p w14:paraId="53852C0F">
      <w:pPr>
        <w:ind w:firstLine="480"/>
        <w:jc w:val="both"/>
        <w:rPr>
          <w:szCs w:val="24"/>
          <w:lang w:eastAsia="zh-CN" w:bidi="ar"/>
        </w:rPr>
      </w:pPr>
      <w:r>
        <w:rPr>
          <w:szCs w:val="24"/>
          <w:lang w:eastAsia="zh-CN" w:bidi="ar"/>
        </w:rPr>
        <w:t>2.4 Ruang Lingkup Penawaran: Layanan pengelolaan lahan abu, serta bongkar muat dan pemindahan abu terbang, gipsum, dan batu bara kecil untuk tahun 2025–2027.</w:t>
      </w:r>
    </w:p>
    <w:p w14:paraId="1D017D80">
      <w:pPr>
        <w:ind w:firstLine="480"/>
        <w:jc w:val="both"/>
        <w:rPr>
          <w:szCs w:val="24"/>
          <w:lang w:eastAsia="zh-CN" w:bidi="ar"/>
        </w:rPr>
      </w:pPr>
      <w:r>
        <w:rPr>
          <w:szCs w:val="24"/>
          <w:lang w:eastAsia="zh-CN" w:bidi="ar"/>
        </w:rPr>
        <w:t>招标项目划分为</w:t>
      </w:r>
      <w:r>
        <w:rPr>
          <w:szCs w:val="24"/>
          <w:u w:val="single"/>
          <w:lang w:eastAsia="zh-CN" w:bidi="ar"/>
        </w:rPr>
        <w:t xml:space="preserve">  </w:t>
      </w:r>
      <w:r>
        <w:rPr>
          <w:rFonts w:hint="eastAsia"/>
          <w:szCs w:val="24"/>
          <w:u w:val="single"/>
          <w:lang w:eastAsia="zh-CN" w:bidi="ar"/>
        </w:rPr>
        <w:t>1</w:t>
      </w:r>
      <w:r>
        <w:rPr>
          <w:szCs w:val="24"/>
          <w:u w:val="single"/>
          <w:lang w:eastAsia="zh-CN" w:bidi="ar"/>
        </w:rPr>
        <w:t xml:space="preserve">  </w:t>
      </w:r>
      <w:r>
        <w:rPr>
          <w:szCs w:val="24"/>
          <w:lang w:eastAsia="zh-CN" w:bidi="ar"/>
        </w:rPr>
        <w:t xml:space="preserve">个标段，具体为: </w:t>
      </w:r>
      <w:bookmarkStart w:id="16" w:name="BL_000121"/>
    </w:p>
    <w:p w14:paraId="561BAB1B">
      <w:pPr>
        <w:ind w:firstLine="480"/>
        <w:jc w:val="both"/>
        <w:rPr>
          <w:szCs w:val="24"/>
          <w:lang w:eastAsia="zh-CN" w:bidi="ar"/>
        </w:rPr>
      </w:pPr>
      <w:r>
        <w:rPr>
          <w:szCs w:val="24"/>
          <w:lang w:eastAsia="zh-CN" w:bidi="ar"/>
        </w:rPr>
        <w:t xml:space="preserve">Penawaran dibagi menjadi 1 bagian, sebagai berikut. </w:t>
      </w:r>
    </w:p>
    <w:tbl>
      <w:tblPr>
        <w:tblStyle w:val="6"/>
        <w:tblW w:w="8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2244"/>
        <w:gridCol w:w="3590"/>
        <w:gridCol w:w="1634"/>
      </w:tblGrid>
      <w:tr w14:paraId="1015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9" w:type="dxa"/>
          </w:tcPr>
          <w:p w14:paraId="3F759265">
            <w:pPr>
              <w:spacing w:line="240" w:lineRule="auto"/>
              <w:ind w:firstLine="0" w:firstLineChars="0"/>
              <w:jc w:val="center"/>
              <w:rPr>
                <w:szCs w:val="24"/>
                <w:u w:val="single"/>
              </w:rPr>
            </w:pPr>
            <w:r>
              <w:rPr>
                <w:rFonts w:hint="eastAsia"/>
                <w:spacing w:val="61"/>
                <w:w w:val="68"/>
                <w:szCs w:val="24"/>
                <w:u w:val="single"/>
              </w:rPr>
              <w:t>标段编</w:t>
            </w:r>
            <w:r>
              <w:rPr>
                <w:rFonts w:hint="eastAsia"/>
                <w:w w:val="68"/>
                <w:szCs w:val="24"/>
                <w:u w:val="single"/>
              </w:rPr>
              <w:t>号Nomor bagian penawaran</w:t>
            </w:r>
          </w:p>
        </w:tc>
        <w:tc>
          <w:tcPr>
            <w:tcW w:w="2244" w:type="dxa"/>
          </w:tcPr>
          <w:p w14:paraId="0BEBD08E">
            <w:pPr>
              <w:spacing w:line="240" w:lineRule="auto"/>
              <w:ind w:firstLine="0" w:firstLineChars="0"/>
              <w:jc w:val="center"/>
              <w:rPr>
                <w:szCs w:val="24"/>
                <w:u w:val="single"/>
              </w:rPr>
            </w:pPr>
            <w:r>
              <w:rPr>
                <w:rFonts w:hint="eastAsia"/>
                <w:spacing w:val="176"/>
                <w:szCs w:val="24"/>
                <w:u w:val="single"/>
              </w:rPr>
              <w:t>标段名</w:t>
            </w:r>
            <w:r>
              <w:rPr>
                <w:rFonts w:hint="eastAsia"/>
                <w:szCs w:val="24"/>
                <w:u w:val="single"/>
              </w:rPr>
              <w:t>称</w:t>
            </w:r>
            <w:r>
              <w:rPr>
                <w:rFonts w:hint="eastAsia"/>
                <w:sz w:val="21"/>
                <w:szCs w:val="21"/>
                <w:u w:val="single"/>
              </w:rPr>
              <w:t>Nama bagian</w:t>
            </w:r>
          </w:p>
        </w:tc>
        <w:tc>
          <w:tcPr>
            <w:tcW w:w="3590" w:type="dxa"/>
          </w:tcPr>
          <w:p w14:paraId="1880408B">
            <w:pPr>
              <w:spacing w:line="240" w:lineRule="auto"/>
              <w:ind w:firstLine="0" w:firstLineChars="0"/>
              <w:jc w:val="center"/>
              <w:rPr>
                <w:szCs w:val="24"/>
                <w:u w:val="single"/>
              </w:rPr>
            </w:pPr>
            <w:r>
              <w:rPr>
                <w:rFonts w:hint="eastAsia"/>
                <w:spacing w:val="400"/>
                <w:szCs w:val="24"/>
                <w:u w:val="single"/>
              </w:rPr>
              <w:t>招标范</w:t>
            </w:r>
            <w:r>
              <w:rPr>
                <w:rFonts w:hint="eastAsia"/>
                <w:szCs w:val="24"/>
                <w:u w:val="single"/>
              </w:rPr>
              <w:t>围</w:t>
            </w:r>
            <w:r>
              <w:rPr>
                <w:rFonts w:hint="eastAsia"/>
                <w:sz w:val="21"/>
                <w:szCs w:val="21"/>
                <w:u w:val="single"/>
              </w:rPr>
              <w:t>Lingkup Penawaran</w:t>
            </w:r>
          </w:p>
        </w:tc>
        <w:tc>
          <w:tcPr>
            <w:tcW w:w="1634" w:type="dxa"/>
          </w:tcPr>
          <w:p w14:paraId="6FC22567">
            <w:pPr>
              <w:spacing w:line="240" w:lineRule="auto"/>
              <w:ind w:firstLine="0" w:firstLineChars="0"/>
              <w:jc w:val="center"/>
              <w:rPr>
                <w:szCs w:val="24"/>
                <w:u w:val="single"/>
              </w:rPr>
            </w:pPr>
            <w:r>
              <w:rPr>
                <w:rFonts w:hint="eastAsia"/>
                <w:spacing w:val="29"/>
                <w:w w:val="63"/>
                <w:szCs w:val="24"/>
                <w:u w:val="single"/>
              </w:rPr>
              <w:t>标书售价</w:t>
            </w:r>
            <w:r>
              <w:rPr>
                <w:rFonts w:hint="eastAsia"/>
                <w:spacing w:val="29"/>
                <w:w w:val="63"/>
                <w:sz w:val="21"/>
                <w:szCs w:val="21"/>
                <w:u w:val="single"/>
              </w:rPr>
              <w:t>Harga Penawaran</w:t>
            </w:r>
            <w:r>
              <w:rPr>
                <w:rFonts w:hint="eastAsia"/>
                <w:spacing w:val="29"/>
                <w:w w:val="63"/>
                <w:szCs w:val="24"/>
                <w:u w:val="single"/>
              </w:rPr>
              <w:t>（</w:t>
            </w:r>
            <w:r>
              <w:rPr>
                <w:rFonts w:hint="eastAsia"/>
                <w:spacing w:val="29"/>
                <w:w w:val="63"/>
                <w:szCs w:val="24"/>
                <w:u w:val="single"/>
                <w:lang w:eastAsia="zh-CN"/>
              </w:rPr>
              <w:t>Rp</w:t>
            </w:r>
            <w:r>
              <w:rPr>
                <w:rFonts w:hint="eastAsia"/>
                <w:w w:val="63"/>
                <w:szCs w:val="24"/>
                <w:u w:val="single"/>
              </w:rPr>
              <w:t>）</w:t>
            </w:r>
          </w:p>
        </w:tc>
      </w:tr>
      <w:tr w14:paraId="30E36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249" w:type="dxa"/>
          </w:tcPr>
          <w:p w14:paraId="758B256F">
            <w:pPr>
              <w:spacing w:line="240" w:lineRule="auto"/>
              <w:ind w:firstLine="0" w:firstLineChars="0"/>
              <w:jc w:val="center"/>
              <w:rPr>
                <w:rStyle w:val="10"/>
                <w:rFonts w:hint="default"/>
                <w:color w:val="auto"/>
                <w:sz w:val="28"/>
                <w:szCs w:val="28"/>
              </w:rPr>
            </w:pPr>
          </w:p>
        </w:tc>
        <w:tc>
          <w:tcPr>
            <w:tcW w:w="2244" w:type="dxa"/>
          </w:tcPr>
          <w:p w14:paraId="7D7AB59A">
            <w:pPr>
              <w:ind w:firstLine="0" w:firstLineChars="0"/>
              <w:rPr>
                <w:rStyle w:val="10"/>
                <w:rFonts w:hint="default"/>
                <w:color w:val="auto"/>
                <w:sz w:val="24"/>
                <w:szCs w:val="24"/>
                <w:lang w:eastAsia="zh-CN" w:bidi="ar"/>
              </w:rPr>
            </w:pPr>
            <w:r>
              <w:rPr>
                <w:rStyle w:val="10"/>
                <w:rFonts w:hint="default"/>
                <w:color w:val="auto"/>
                <w:sz w:val="24"/>
                <w:szCs w:val="24"/>
                <w:lang w:eastAsia="zh-CN" w:bidi="ar"/>
              </w:rPr>
              <w:t>2025-2027年度灰场管理，灰渣、石膏、石子煤装卸转运服务</w:t>
            </w:r>
          </w:p>
          <w:p w14:paraId="5D6D36B3">
            <w:pPr>
              <w:ind w:firstLine="0" w:firstLineChars="0"/>
              <w:rPr>
                <w:rStyle w:val="10"/>
                <w:rFonts w:hint="default"/>
                <w:color w:val="auto"/>
                <w:sz w:val="28"/>
                <w:szCs w:val="28"/>
                <w:lang w:eastAsia="zh-CN"/>
              </w:rPr>
            </w:pPr>
            <w:r>
              <w:rPr>
                <w:rStyle w:val="10"/>
                <w:rFonts w:hint="default"/>
                <w:color w:val="auto"/>
                <w:sz w:val="21"/>
                <w:szCs w:val="21"/>
                <w:lang w:eastAsia="zh-CN" w:bidi="ar"/>
              </w:rPr>
              <w:t>Layanan Pengelolaan Lahan Abu serta Bongkar Muat dan Pemindahan Abu Terbang, Gipsum, dan Batu Bara Kecil untuk Tahun 2025–2027</w:t>
            </w:r>
          </w:p>
        </w:tc>
        <w:tc>
          <w:tcPr>
            <w:tcW w:w="3590" w:type="dxa"/>
          </w:tcPr>
          <w:p w14:paraId="7D1DA593">
            <w:pPr>
              <w:spacing w:line="240" w:lineRule="auto"/>
              <w:ind w:firstLine="0" w:firstLineChars="0"/>
              <w:jc w:val="center"/>
              <w:rPr>
                <w:rStyle w:val="10"/>
                <w:rFonts w:hint="default"/>
                <w:color w:val="auto"/>
                <w:sz w:val="24"/>
                <w:szCs w:val="24"/>
                <w:lang w:eastAsia="zh-CN" w:bidi="ar"/>
              </w:rPr>
            </w:pPr>
            <w:r>
              <w:rPr>
                <w:rStyle w:val="10"/>
                <w:rFonts w:hint="default"/>
                <w:color w:val="auto"/>
                <w:sz w:val="24"/>
                <w:szCs w:val="24"/>
                <w:lang w:bidi="ar"/>
              </w:rPr>
              <w:t>灰场区域管理及灰渣、石膏、石子煤装卸、转运服务</w:t>
            </w:r>
            <w:r>
              <w:rPr>
                <w:rStyle w:val="10"/>
                <w:rFonts w:hint="default"/>
                <w:color w:val="auto"/>
                <w:sz w:val="24"/>
                <w:szCs w:val="24"/>
                <w:lang w:eastAsia="zh-CN" w:bidi="ar"/>
              </w:rPr>
              <w:t>，具体详见技术文件。</w:t>
            </w:r>
          </w:p>
          <w:p w14:paraId="2A5EC47C">
            <w:pPr>
              <w:spacing w:line="240" w:lineRule="auto"/>
              <w:ind w:firstLine="0" w:firstLineChars="0"/>
              <w:jc w:val="center"/>
              <w:rPr>
                <w:rStyle w:val="10"/>
                <w:rFonts w:hint="default"/>
                <w:color w:val="auto"/>
                <w:sz w:val="28"/>
                <w:szCs w:val="28"/>
                <w:lang w:eastAsia="zh-CN"/>
              </w:rPr>
            </w:pPr>
            <w:r>
              <w:rPr>
                <w:rStyle w:val="10"/>
                <w:rFonts w:hint="default"/>
                <w:color w:val="auto"/>
                <w:sz w:val="21"/>
                <w:szCs w:val="21"/>
                <w:lang w:eastAsia="zh-CN" w:bidi="ar"/>
              </w:rPr>
              <w:t>Layanan Pengelolaan Area Lahan Abu serta Bongkar Muat dan Pemindahan Abu Terbang, Gipsum, dan Batu Bara Kecil, selengkapnya dapat dilihat pada Dokumen Teknis.</w:t>
            </w:r>
          </w:p>
        </w:tc>
        <w:tc>
          <w:tcPr>
            <w:tcW w:w="1634" w:type="dxa"/>
          </w:tcPr>
          <w:p w14:paraId="21CDB980">
            <w:pPr>
              <w:spacing w:line="240" w:lineRule="auto"/>
              <w:ind w:firstLine="0" w:firstLineChars="0"/>
              <w:jc w:val="center"/>
              <w:rPr>
                <w:rStyle w:val="10"/>
                <w:rFonts w:hint="default"/>
                <w:color w:val="auto"/>
                <w:sz w:val="28"/>
                <w:szCs w:val="28"/>
                <w:lang w:eastAsia="zh-CN"/>
              </w:rPr>
            </w:pPr>
            <w:r>
              <w:rPr>
                <w:rStyle w:val="10"/>
                <w:rFonts w:hint="default"/>
                <w:color w:val="auto"/>
                <w:spacing w:val="18"/>
                <w:sz w:val="28"/>
                <w:szCs w:val="28"/>
                <w:lang w:eastAsia="zh-CN"/>
              </w:rPr>
              <w:t>1,000,00</w:t>
            </w:r>
            <w:r>
              <w:rPr>
                <w:rStyle w:val="10"/>
                <w:rFonts w:hint="default"/>
                <w:color w:val="auto"/>
                <w:sz w:val="28"/>
                <w:szCs w:val="28"/>
                <w:lang w:eastAsia="zh-CN"/>
              </w:rPr>
              <w:t>0</w:t>
            </w:r>
          </w:p>
        </w:tc>
      </w:tr>
      <w:bookmarkEnd w:id="16"/>
    </w:tbl>
    <w:p w14:paraId="1DD95D18">
      <w:pPr>
        <w:pStyle w:val="9"/>
        <w:widowControl w:val="0"/>
        <w:numPr>
          <w:ilvl w:val="0"/>
          <w:numId w:val="1"/>
        </w:numPr>
        <w:adjustRightInd/>
        <w:snapToGrid/>
        <w:spacing w:after="120" w:afterLines="50" w:line="360" w:lineRule="auto"/>
        <w:ind w:left="448" w:firstLine="0" w:firstLineChars="0"/>
        <w:jc w:val="both"/>
        <w:outlineLvl w:val="1"/>
        <w:rPr>
          <w:bCs/>
          <w:szCs w:val="24"/>
        </w:rPr>
      </w:pPr>
      <w:bookmarkStart w:id="17" w:name="_Toc17584"/>
      <w:bookmarkStart w:id="18" w:name="_Toc20374"/>
      <w:bookmarkStart w:id="19" w:name="_Toc13585"/>
      <w:bookmarkStart w:id="20" w:name="_Toc8920"/>
      <w:r>
        <w:rPr>
          <w:rFonts w:ascii="黑体" w:hAnsi="黑体" w:eastAsia="黑体" w:cs="Microsoft JhengHei"/>
          <w:bCs/>
          <w:sz w:val="28"/>
          <w:szCs w:val="28"/>
        </w:rPr>
        <w:t>投标人资格要求</w:t>
      </w:r>
      <w:bookmarkEnd w:id="17"/>
      <w:bookmarkEnd w:id="18"/>
      <w:bookmarkEnd w:id="19"/>
      <w:bookmarkEnd w:id="20"/>
      <w:r>
        <w:rPr>
          <w:rFonts w:hint="eastAsia"/>
          <w:bCs/>
          <w:szCs w:val="24"/>
        </w:rPr>
        <w:t>Persyaratan Kualifikasi Penawar</w:t>
      </w:r>
    </w:p>
    <w:bookmarkEnd w:id="4"/>
    <w:bookmarkEnd w:id="5"/>
    <w:bookmarkEnd w:id="6"/>
    <w:bookmarkEnd w:id="7"/>
    <w:bookmarkEnd w:id="8"/>
    <w:bookmarkEnd w:id="9"/>
    <w:bookmarkEnd w:id="10"/>
    <w:p w14:paraId="1027B5BE">
      <w:pPr>
        <w:ind w:firstLine="480"/>
        <w:rPr>
          <w:lang w:eastAsia="zh-CN"/>
        </w:rPr>
      </w:pPr>
      <w:r>
        <w:rPr>
          <w:rFonts w:hint="eastAsia"/>
          <w:lang w:eastAsia="zh-CN"/>
        </w:rPr>
        <w:t>3.1通用资格条件：</w:t>
      </w:r>
    </w:p>
    <w:p w14:paraId="5E255E08">
      <w:pPr>
        <w:ind w:firstLine="480"/>
        <w:rPr>
          <w:lang w:eastAsia="zh-CN"/>
        </w:rPr>
      </w:pPr>
      <w:r>
        <w:rPr>
          <w:rFonts w:hint="eastAsia"/>
          <w:lang w:eastAsia="zh-CN"/>
        </w:rPr>
        <w:t>3.1 Ketentuan Umum Kelayakan:</w:t>
      </w:r>
    </w:p>
    <w:p w14:paraId="0CA809CD">
      <w:pPr>
        <w:widowControl w:val="0"/>
        <w:ind w:firstLine="480"/>
        <w:rPr>
          <w:szCs w:val="24"/>
          <w:lang w:eastAsia="zh-CN"/>
        </w:rPr>
      </w:pPr>
      <w:r>
        <w:rPr>
          <w:rFonts w:hint="eastAsia"/>
          <w:lang w:eastAsia="zh-CN" w:bidi="ar"/>
        </w:rPr>
        <w:t>3.1.</w:t>
      </w:r>
      <w:r>
        <w:rPr>
          <w:rFonts w:hint="eastAsia"/>
          <w:szCs w:val="24"/>
          <w:lang w:eastAsia="zh-CN"/>
        </w:rPr>
        <w:t>1投标人为</w:t>
      </w:r>
      <w:r>
        <w:rPr>
          <w:rFonts w:hint="eastAsia"/>
          <w:lang w:eastAsia="zh-CN"/>
        </w:rPr>
        <w:t>印度尼西亚境内合法注册的独立企业法人或其他组织，具有独立承担民事责任能力，具有独立订立合同的权力</w:t>
      </w:r>
      <w:r>
        <w:rPr>
          <w:rFonts w:hint="eastAsia"/>
          <w:szCs w:val="24"/>
          <w:lang w:eastAsia="zh-CN"/>
        </w:rPr>
        <w:t>；</w:t>
      </w:r>
    </w:p>
    <w:p w14:paraId="38A2283F">
      <w:pPr>
        <w:widowControl w:val="0"/>
        <w:ind w:firstLine="480"/>
        <w:rPr>
          <w:szCs w:val="24"/>
          <w:lang w:eastAsia="zh-CN"/>
        </w:rPr>
      </w:pPr>
      <w:r>
        <w:rPr>
          <w:rFonts w:hint="eastAsia"/>
          <w:szCs w:val="24"/>
          <w:lang w:eastAsia="zh-CN"/>
        </w:rPr>
        <w:t>3.1.1 Peserta Penawaran adalah badan hukum perusahaan independen atau organisasi lain yang terdaftar secara hukum di Indonesia, dengan kemampuan untuk memikul tanggung jawab perdata secara independen dan memiliki kewenangan untuk menandatangani kontrak secara independen;</w:t>
      </w:r>
    </w:p>
    <w:p w14:paraId="7E484E34">
      <w:pPr>
        <w:widowControl w:val="0"/>
        <w:ind w:firstLine="480"/>
        <w:rPr>
          <w:szCs w:val="24"/>
          <w:lang w:eastAsia="zh-CN"/>
        </w:rPr>
      </w:pPr>
      <w:r>
        <w:rPr>
          <w:rFonts w:hint="eastAsia"/>
          <w:lang w:eastAsia="zh-CN" w:bidi="ar"/>
        </w:rPr>
        <w:t>3.1.</w:t>
      </w:r>
      <w:r>
        <w:rPr>
          <w:rFonts w:hint="eastAsia"/>
          <w:szCs w:val="24"/>
          <w:lang w:eastAsia="zh-CN"/>
        </w:rPr>
        <w:t>2投标人没有处于被责令停产、停业或进入破产程序的状态，资产未被重组、未被接管、未被冻结，营业执照未被吊销；</w:t>
      </w:r>
    </w:p>
    <w:p w14:paraId="5D3FF75E">
      <w:pPr>
        <w:widowControl w:val="0"/>
        <w:ind w:firstLine="480"/>
        <w:rPr>
          <w:szCs w:val="24"/>
          <w:lang w:eastAsia="zh-CN"/>
        </w:rPr>
      </w:pPr>
      <w:r>
        <w:rPr>
          <w:rFonts w:hint="eastAsia"/>
          <w:szCs w:val="24"/>
          <w:lang w:eastAsia="zh-CN"/>
        </w:rPr>
        <w:t>3.1.2 Peserta Penawaran tidak dalam keadaan diperintahkan untuk menghentikan produksi, menghentikan bisnis, atau masuk dalam proses kebangkrutan, asetnya belum direstrukturisasi, diambil alih atau dibekukan, dan izin usahanya belum dicabut;</w:t>
      </w:r>
    </w:p>
    <w:p w14:paraId="519352B7">
      <w:pPr>
        <w:widowControl w:val="0"/>
        <w:ind w:firstLine="480"/>
        <w:rPr>
          <w:szCs w:val="24"/>
          <w:lang w:eastAsia="zh-CN"/>
        </w:rPr>
      </w:pPr>
      <w:r>
        <w:rPr>
          <w:rFonts w:hint="eastAsia"/>
          <w:lang w:eastAsia="zh-CN" w:bidi="ar"/>
        </w:rPr>
        <w:t>3.1.3</w:t>
      </w:r>
      <w:r>
        <w:rPr>
          <w:rFonts w:hint="eastAsia"/>
          <w:szCs w:val="24"/>
          <w:lang w:eastAsia="zh-CN"/>
        </w:rPr>
        <w:t>投标人没有处于行政主管部门或中国华电集团有限公司相关文件确认的禁止投标的处罚期内；</w:t>
      </w:r>
    </w:p>
    <w:p w14:paraId="64869E8D">
      <w:pPr>
        <w:widowControl w:val="0"/>
        <w:ind w:firstLine="480"/>
        <w:rPr>
          <w:szCs w:val="24"/>
          <w:lang w:eastAsia="zh-CN"/>
        </w:rPr>
      </w:pPr>
      <w:r>
        <w:rPr>
          <w:rFonts w:hint="eastAsia"/>
          <w:szCs w:val="24"/>
          <w:lang w:eastAsia="zh-CN"/>
        </w:rPr>
        <w:t>3.1.3 Peserta Penawaran tidak berada di bawah masa hukuman larangan mengikuti Penawaran sebagaimana dikonfirmasi oleh dokumen-dokumen yang relevan dari otoritas administratif atau China Huadian Group Corporation;</w:t>
      </w:r>
    </w:p>
    <w:p w14:paraId="6A7BF465">
      <w:pPr>
        <w:widowControl w:val="0"/>
        <w:ind w:firstLine="480"/>
        <w:rPr>
          <w:szCs w:val="24"/>
          <w:lang w:eastAsia="zh-CN"/>
        </w:rPr>
      </w:pPr>
      <w:r>
        <w:rPr>
          <w:rFonts w:hint="eastAsia"/>
          <w:lang w:eastAsia="zh-CN" w:bidi="ar"/>
        </w:rPr>
        <w:t>3.1.</w:t>
      </w:r>
      <w:r>
        <w:rPr>
          <w:rFonts w:hint="eastAsia"/>
          <w:szCs w:val="24"/>
          <w:lang w:eastAsia="zh-CN"/>
        </w:rPr>
        <w:t>4与招标人存在利害关系可能影响招标公正性的法人、其他组织或者个人，不得参加投标。单位负责人为同一人或者存在控股、管理关系的不同单位，不得参加同一标段投标或者未划分标段的同一招标项目投标；</w:t>
      </w:r>
    </w:p>
    <w:p w14:paraId="7B900BF3">
      <w:pPr>
        <w:widowControl w:val="0"/>
        <w:ind w:firstLine="480"/>
        <w:rPr>
          <w:szCs w:val="24"/>
          <w:lang w:eastAsia="zh-CN"/>
        </w:rPr>
      </w:pPr>
      <w:r>
        <w:rPr>
          <w:rFonts w:hint="eastAsia"/>
          <w:szCs w:val="24"/>
          <w:lang w:eastAsia="zh-CN"/>
        </w:rPr>
        <w:t>3.1.4 Badan hukum, organisasi atau individu lain yang memiliki kepentingan dengan peserta Penawaran yang dapat memengaruhi kewajaran Penawaran tidak boleh berpartisipasi dalam Penawaran. Unit yang berbeda dengan penanggung jawab unit yang sama atau memiliki hubungan pengendalian atau manajemen tidak boleh berpartisipasi dalam penawaran untuk bagian yang sama atau proyek penawaran yang sama tanpa pembagian menjadi beberapa bagian;</w:t>
      </w:r>
    </w:p>
    <w:p w14:paraId="12990D3B">
      <w:pPr>
        <w:ind w:firstLine="480"/>
        <w:rPr>
          <w:lang w:eastAsia="zh-CN"/>
        </w:rPr>
      </w:pPr>
      <w:r>
        <w:rPr>
          <w:rFonts w:hint="eastAsia"/>
          <w:lang w:eastAsia="zh-CN"/>
        </w:rPr>
        <w:t>3.2专用资格条件：</w:t>
      </w:r>
    </w:p>
    <w:p w14:paraId="0C82A85E">
      <w:pPr>
        <w:ind w:firstLine="480"/>
        <w:rPr>
          <w:lang w:eastAsia="zh-CN"/>
        </w:rPr>
      </w:pPr>
      <w:r>
        <w:rPr>
          <w:rFonts w:hint="eastAsia"/>
          <w:lang w:eastAsia="zh-CN"/>
        </w:rPr>
        <w:t>3.2 Ketentuan kelayakan khusus:</w:t>
      </w:r>
    </w:p>
    <w:p w14:paraId="38BD57F2">
      <w:pPr>
        <w:widowControl w:val="0"/>
        <w:snapToGrid/>
        <w:ind w:firstLine="480"/>
        <w:rPr>
          <w:szCs w:val="24"/>
          <w:lang w:eastAsia="zh-CN"/>
        </w:rPr>
      </w:pPr>
      <w:bookmarkStart w:id="21" w:name="_Toc523264298"/>
      <w:bookmarkStart w:id="22" w:name="_Toc523264512"/>
      <w:bookmarkStart w:id="23" w:name="_Toc522694162"/>
      <w:bookmarkStart w:id="24" w:name="_Toc522693217"/>
      <w:r>
        <w:rPr>
          <w:rFonts w:hint="eastAsia"/>
          <w:lang w:eastAsia="zh-CN"/>
        </w:rPr>
        <w:t>3.2.</w:t>
      </w:r>
      <w:r>
        <w:rPr>
          <w:rFonts w:hint="eastAsia"/>
          <w:szCs w:val="24"/>
          <w:lang w:eastAsia="zh-CN"/>
        </w:rPr>
        <w:t xml:space="preserve">1资质要求： </w:t>
      </w:r>
      <w:r>
        <w:rPr>
          <w:rFonts w:hint="eastAsia"/>
          <w:szCs w:val="24"/>
          <w:u w:val="single"/>
          <w:lang w:eastAsia="zh-CN"/>
        </w:rPr>
        <w:t>投标人应是符合印度尼西亚法律规定的，有印度尼西亚煤炭废弃物运输许可证的公司，所派出的司机必须持有符合印度尼西亚交通部颁发的运输驾驶执照和废物处理证书。</w:t>
      </w:r>
      <w:r>
        <w:rPr>
          <w:rFonts w:hint="eastAsia"/>
          <w:szCs w:val="24"/>
          <w:lang w:eastAsia="zh-CN"/>
        </w:rPr>
        <w:t xml:space="preserve"> ；</w:t>
      </w:r>
    </w:p>
    <w:p w14:paraId="1FFE2776">
      <w:pPr>
        <w:widowControl w:val="0"/>
        <w:snapToGrid/>
        <w:ind w:firstLine="480"/>
        <w:jc w:val="both"/>
        <w:rPr>
          <w:szCs w:val="24"/>
          <w:lang w:eastAsia="zh-CN"/>
        </w:rPr>
      </w:pPr>
      <w:r>
        <w:rPr>
          <w:rFonts w:hint="eastAsia"/>
          <w:szCs w:val="24"/>
          <w:lang w:eastAsia="zh-CN"/>
        </w:rPr>
        <w:t>3.2.1 Persyaratan Kualifikasi: Peserta Penawaran haruslah perusahaan yang memiliki izin untuk mengangkut limbah batubara di Indonesia sesuai dengan hukum yang berlaku di Indonesia, dan pengemudi yang dikirim haruslah memiliki surat izin mengemudi dan sertifikat pembuangan limbah sesuai dengan yang ditetapkan oleh Kementerian Perhubungan.;</w:t>
      </w:r>
    </w:p>
    <w:p w14:paraId="2EBBB82D">
      <w:pPr>
        <w:widowControl w:val="0"/>
        <w:snapToGrid/>
        <w:ind w:firstLine="480"/>
        <w:rPr>
          <w:bCs/>
          <w:szCs w:val="24"/>
          <w:lang w:eastAsia="zh-CN"/>
        </w:rPr>
      </w:pPr>
      <w:r>
        <w:rPr>
          <w:rFonts w:hint="eastAsia"/>
          <w:lang w:eastAsia="zh-CN"/>
        </w:rPr>
        <w:t>3.2.2</w:t>
      </w:r>
      <w:r>
        <w:rPr>
          <w:rFonts w:hint="eastAsia"/>
          <w:szCs w:val="24"/>
          <w:lang w:eastAsia="zh-CN"/>
        </w:rPr>
        <w:t>本项目不接受联合体投标</w:t>
      </w:r>
      <w:r>
        <w:rPr>
          <w:rFonts w:hint="eastAsia"/>
          <w:bCs/>
          <w:szCs w:val="24"/>
          <w:lang w:eastAsia="zh-CN"/>
        </w:rPr>
        <w:t>。</w:t>
      </w:r>
    </w:p>
    <w:p w14:paraId="2EB12CF7">
      <w:pPr>
        <w:widowControl w:val="0"/>
        <w:snapToGrid/>
        <w:ind w:firstLine="480"/>
        <w:rPr>
          <w:bCs/>
          <w:szCs w:val="24"/>
          <w:lang w:eastAsia="zh-CN"/>
        </w:rPr>
      </w:pPr>
      <w:r>
        <w:rPr>
          <w:rFonts w:hint="eastAsia"/>
          <w:bCs/>
          <w:szCs w:val="24"/>
          <w:lang w:eastAsia="zh-CN"/>
        </w:rPr>
        <w:t>3.2.2 Tidak ada penawaran konsorsium yang akan diterima untuk proyek ini.</w:t>
      </w:r>
    </w:p>
    <w:p w14:paraId="701E602F">
      <w:pPr>
        <w:pStyle w:val="2"/>
        <w:keepNext w:val="0"/>
        <w:keepLines w:val="0"/>
        <w:spacing w:beforeLines="0" w:after="120" w:afterLines="50"/>
        <w:rPr>
          <w:rFonts w:ascii="宋体" w:hAnsi="宋体" w:eastAsia="宋体" w:cs="宋体"/>
          <w:kern w:val="0"/>
          <w:szCs w:val="28"/>
          <w:lang w:eastAsia="zh-CN"/>
        </w:rPr>
      </w:pPr>
      <w:bookmarkStart w:id="25" w:name="_Toc29224"/>
      <w:bookmarkStart w:id="26" w:name="_Toc28096"/>
      <w:bookmarkStart w:id="27" w:name="_Toc2571"/>
      <w:bookmarkStart w:id="28" w:name="_Toc21089"/>
      <w:bookmarkStart w:id="29" w:name="_Toc9418"/>
      <w:r>
        <w:rPr>
          <w:rFonts w:ascii="黑体" w:hAnsi="黑体" w:cs="Microsoft JhengHei"/>
          <w:kern w:val="0"/>
          <w:szCs w:val="28"/>
          <w:lang w:eastAsia="zh-CN"/>
        </w:rPr>
        <w:t>四、招标文件的获取</w:t>
      </w:r>
      <w:bookmarkEnd w:id="21"/>
      <w:bookmarkEnd w:id="22"/>
      <w:bookmarkEnd w:id="23"/>
      <w:bookmarkEnd w:id="24"/>
      <w:bookmarkEnd w:id="25"/>
      <w:bookmarkEnd w:id="26"/>
      <w:bookmarkEnd w:id="27"/>
      <w:bookmarkEnd w:id="28"/>
      <w:bookmarkEnd w:id="29"/>
      <w:r>
        <w:rPr>
          <w:rFonts w:hint="eastAsia" w:ascii="宋体" w:hAnsi="宋体" w:eastAsia="宋体" w:cs="宋体"/>
          <w:kern w:val="0"/>
          <w:szCs w:val="28"/>
          <w:lang w:eastAsia="zh-CN"/>
        </w:rPr>
        <w:t>Akuisisi dokumen Penawaran</w:t>
      </w:r>
    </w:p>
    <w:p w14:paraId="4B7EBFA9">
      <w:pPr>
        <w:widowControl w:val="0"/>
        <w:ind w:firstLine="480"/>
        <w:jc w:val="both"/>
        <w:rPr>
          <w:szCs w:val="24"/>
          <w:lang w:eastAsia="zh-CN"/>
        </w:rPr>
      </w:pPr>
      <w:r>
        <w:rPr>
          <w:szCs w:val="24"/>
          <w:lang w:eastAsia="zh-CN"/>
        </w:rPr>
        <w:t>4.1公告时间：从</w:t>
      </w:r>
      <w:r>
        <w:rPr>
          <w:rFonts w:hint="eastAsia"/>
          <w:szCs w:val="24"/>
          <w:highlight w:val="none"/>
          <w:lang w:eastAsia="zh-CN"/>
        </w:rPr>
        <w:t>2025</w:t>
      </w:r>
      <w:r>
        <w:rPr>
          <w:szCs w:val="24"/>
          <w:highlight w:val="none"/>
          <w:lang w:eastAsia="zh-CN"/>
        </w:rPr>
        <w:t>年5月</w:t>
      </w:r>
      <w:r>
        <w:rPr>
          <w:rFonts w:hint="eastAsia"/>
          <w:szCs w:val="24"/>
          <w:highlight w:val="none"/>
          <w:lang w:val="en-US" w:eastAsia="zh-CN"/>
        </w:rPr>
        <w:t>29</w:t>
      </w:r>
      <w:r>
        <w:rPr>
          <w:szCs w:val="24"/>
          <w:highlight w:val="none"/>
          <w:lang w:eastAsia="zh-CN"/>
        </w:rPr>
        <w:t xml:space="preserve">日 9:00 起至 </w:t>
      </w:r>
      <w:r>
        <w:rPr>
          <w:rFonts w:hint="eastAsia"/>
          <w:szCs w:val="24"/>
          <w:highlight w:val="none"/>
          <w:lang w:eastAsia="zh-CN"/>
        </w:rPr>
        <w:t>2025</w:t>
      </w:r>
      <w:r>
        <w:rPr>
          <w:szCs w:val="24"/>
          <w:highlight w:val="none"/>
          <w:lang w:eastAsia="zh-CN"/>
        </w:rPr>
        <w:t>年</w:t>
      </w:r>
      <w:r>
        <w:rPr>
          <w:rFonts w:hint="eastAsia"/>
          <w:szCs w:val="24"/>
          <w:highlight w:val="none"/>
          <w:lang w:val="en-US" w:eastAsia="zh-CN"/>
        </w:rPr>
        <w:t>6</w:t>
      </w:r>
      <w:r>
        <w:rPr>
          <w:szCs w:val="24"/>
          <w:highlight w:val="none"/>
          <w:lang w:eastAsia="zh-CN"/>
        </w:rPr>
        <w:t>月</w:t>
      </w:r>
      <w:r>
        <w:rPr>
          <w:rFonts w:hint="eastAsia"/>
          <w:szCs w:val="24"/>
          <w:highlight w:val="none"/>
          <w:lang w:val="en-US" w:eastAsia="zh-CN"/>
        </w:rPr>
        <w:t>4</w:t>
      </w:r>
      <w:r>
        <w:rPr>
          <w:szCs w:val="24"/>
          <w:highlight w:val="none"/>
          <w:lang w:eastAsia="zh-CN"/>
        </w:rPr>
        <w:t>日</w:t>
      </w:r>
      <w:r>
        <w:rPr>
          <w:szCs w:val="24"/>
          <w:lang w:eastAsia="zh-CN"/>
        </w:rPr>
        <w:t xml:space="preserve"> 17:00 止。</w:t>
      </w:r>
    </w:p>
    <w:p w14:paraId="57D625ED">
      <w:pPr>
        <w:widowControl w:val="0"/>
        <w:ind w:firstLine="480"/>
        <w:jc w:val="both"/>
        <w:rPr>
          <w:szCs w:val="24"/>
          <w:lang w:eastAsia="zh-CN"/>
        </w:rPr>
      </w:pPr>
      <w:r>
        <w:rPr>
          <w:szCs w:val="24"/>
          <w:lang w:eastAsia="zh-CN"/>
        </w:rPr>
        <w:t xml:space="preserve">4.1 Periode publikasi: </w:t>
      </w:r>
      <w:r>
        <w:rPr>
          <w:rFonts w:hint="eastAsia"/>
          <w:szCs w:val="24"/>
          <w:lang w:val="en-US" w:eastAsia="zh-CN"/>
        </w:rPr>
        <w:t>M</w:t>
      </w:r>
      <w:r>
        <w:rPr>
          <w:szCs w:val="24"/>
          <w:lang w:eastAsia="zh-CN"/>
        </w:rPr>
        <w:t xml:space="preserve">ulai pukul 09:00 tanggal </w:t>
      </w:r>
      <w:r>
        <w:rPr>
          <w:rFonts w:hint="eastAsia"/>
          <w:szCs w:val="24"/>
          <w:lang w:val="en-US" w:eastAsia="zh-CN"/>
        </w:rPr>
        <w:t>29</w:t>
      </w:r>
      <w:r>
        <w:rPr>
          <w:szCs w:val="24"/>
          <w:lang w:eastAsia="zh-CN"/>
        </w:rPr>
        <w:t xml:space="preserve"> Mei 2025 sampai dengan pukul 17:00 tanggal </w:t>
      </w:r>
      <w:r>
        <w:rPr>
          <w:rFonts w:hint="eastAsia"/>
          <w:szCs w:val="24"/>
          <w:lang w:val="en-US" w:eastAsia="zh-CN"/>
        </w:rPr>
        <w:t>4 Juni</w:t>
      </w:r>
      <w:r>
        <w:rPr>
          <w:szCs w:val="24"/>
          <w:lang w:eastAsia="zh-CN"/>
        </w:rPr>
        <w:t xml:space="preserve"> 2025</w:t>
      </w:r>
    </w:p>
    <w:p w14:paraId="149B142C">
      <w:pPr>
        <w:widowControl w:val="0"/>
        <w:ind w:firstLine="480"/>
        <w:rPr>
          <w:szCs w:val="24"/>
          <w:lang w:eastAsia="zh-CN"/>
        </w:rPr>
      </w:pPr>
      <w:r>
        <w:rPr>
          <w:szCs w:val="24"/>
          <w:lang w:eastAsia="zh-CN"/>
        </w:rPr>
        <w:t>购买标书时间：从</w:t>
      </w:r>
      <w:r>
        <w:rPr>
          <w:rFonts w:hint="eastAsia"/>
          <w:szCs w:val="24"/>
          <w:highlight w:val="none"/>
          <w:lang w:eastAsia="zh-CN"/>
        </w:rPr>
        <w:t>2025</w:t>
      </w:r>
      <w:r>
        <w:rPr>
          <w:szCs w:val="24"/>
          <w:highlight w:val="none"/>
          <w:lang w:eastAsia="zh-CN"/>
        </w:rPr>
        <w:t>年5月</w:t>
      </w:r>
      <w:r>
        <w:rPr>
          <w:rFonts w:hint="eastAsia"/>
          <w:szCs w:val="24"/>
          <w:highlight w:val="none"/>
          <w:lang w:val="en-US" w:eastAsia="zh-CN"/>
        </w:rPr>
        <w:t>29</w:t>
      </w:r>
      <w:r>
        <w:rPr>
          <w:szCs w:val="24"/>
          <w:highlight w:val="none"/>
          <w:lang w:eastAsia="zh-CN"/>
        </w:rPr>
        <w:t>日 9:00 起至</w:t>
      </w:r>
      <w:r>
        <w:rPr>
          <w:rFonts w:hint="eastAsia"/>
          <w:szCs w:val="24"/>
          <w:highlight w:val="none"/>
          <w:lang w:eastAsia="zh-CN"/>
        </w:rPr>
        <w:t>2025</w:t>
      </w:r>
      <w:r>
        <w:rPr>
          <w:szCs w:val="24"/>
          <w:highlight w:val="none"/>
          <w:lang w:eastAsia="zh-CN"/>
        </w:rPr>
        <w:t>年</w:t>
      </w:r>
      <w:r>
        <w:rPr>
          <w:rFonts w:hint="eastAsia"/>
          <w:szCs w:val="24"/>
          <w:highlight w:val="none"/>
          <w:lang w:val="en-US" w:eastAsia="zh-CN"/>
        </w:rPr>
        <w:t>6</w:t>
      </w:r>
      <w:r>
        <w:rPr>
          <w:szCs w:val="24"/>
          <w:highlight w:val="none"/>
          <w:lang w:eastAsia="zh-CN"/>
        </w:rPr>
        <w:t>月</w:t>
      </w:r>
      <w:r>
        <w:rPr>
          <w:rFonts w:hint="eastAsia"/>
          <w:szCs w:val="24"/>
          <w:highlight w:val="none"/>
          <w:lang w:val="en-US" w:eastAsia="zh-CN"/>
        </w:rPr>
        <w:t>4</w:t>
      </w:r>
      <w:r>
        <w:rPr>
          <w:szCs w:val="24"/>
          <w:highlight w:val="none"/>
          <w:lang w:eastAsia="zh-CN"/>
        </w:rPr>
        <w:t>日 17:00</w:t>
      </w:r>
      <w:r>
        <w:rPr>
          <w:szCs w:val="24"/>
          <w:lang w:eastAsia="zh-CN"/>
        </w:rPr>
        <w:t xml:space="preserve"> 止。</w:t>
      </w:r>
    </w:p>
    <w:p w14:paraId="045510A4">
      <w:pPr>
        <w:widowControl w:val="0"/>
        <w:ind w:firstLine="480"/>
        <w:rPr>
          <w:szCs w:val="24"/>
          <w:lang w:eastAsia="zh-CN"/>
        </w:rPr>
      </w:pPr>
      <w:r>
        <w:rPr>
          <w:szCs w:val="24"/>
          <w:lang w:eastAsia="zh-CN"/>
        </w:rPr>
        <w:t xml:space="preserve">Pembelian Penawaran: </w:t>
      </w:r>
      <w:r>
        <w:rPr>
          <w:rFonts w:hint="eastAsia"/>
          <w:szCs w:val="24"/>
          <w:lang w:val="en-US" w:eastAsia="zh-CN"/>
        </w:rPr>
        <w:t>M</w:t>
      </w:r>
      <w:r>
        <w:rPr>
          <w:szCs w:val="24"/>
          <w:lang w:eastAsia="zh-CN"/>
        </w:rPr>
        <w:t xml:space="preserve">ulai tanggal </w:t>
      </w:r>
      <w:r>
        <w:rPr>
          <w:rFonts w:hint="eastAsia"/>
          <w:szCs w:val="24"/>
          <w:lang w:val="en-US" w:eastAsia="zh-CN"/>
        </w:rPr>
        <w:t>29</w:t>
      </w:r>
      <w:r>
        <w:rPr>
          <w:szCs w:val="24"/>
          <w:lang w:eastAsia="zh-CN"/>
        </w:rPr>
        <w:t xml:space="preserve"> Mei 2025 pukul 09:00 hingga </w:t>
      </w:r>
      <w:r>
        <w:rPr>
          <w:rFonts w:hint="eastAsia"/>
          <w:szCs w:val="24"/>
          <w:lang w:val="en-US" w:eastAsia="zh-CN"/>
        </w:rPr>
        <w:t>4 Juni</w:t>
      </w:r>
      <w:r>
        <w:rPr>
          <w:szCs w:val="24"/>
          <w:lang w:eastAsia="zh-CN"/>
        </w:rPr>
        <w:t xml:space="preserve"> 2025 pukul 17:00</w:t>
      </w:r>
    </w:p>
    <w:p w14:paraId="09249029">
      <w:pPr>
        <w:widowControl w:val="0"/>
        <w:ind w:left="0" w:leftChars="0" w:firstLine="481" w:firstLineChars="171"/>
        <w:rPr>
          <w:b/>
          <w:bCs/>
          <w:sz w:val="28"/>
          <w:szCs w:val="28"/>
          <w:u w:val="single"/>
          <w:lang w:eastAsia="zh-CN"/>
        </w:rPr>
      </w:pPr>
      <w:r>
        <w:rPr>
          <w:b/>
          <w:bCs/>
          <w:sz w:val="28"/>
          <w:szCs w:val="28"/>
          <w:u w:val="single"/>
          <w:lang w:eastAsia="zh-CN"/>
        </w:rPr>
        <w:t>购买标书账户信息</w:t>
      </w:r>
    </w:p>
    <w:p w14:paraId="3DD567AE">
      <w:pPr>
        <w:widowControl w:val="0"/>
        <w:ind w:left="0" w:leftChars="0" w:firstLine="481" w:firstLineChars="171"/>
        <w:rPr>
          <w:b/>
          <w:bCs/>
          <w:sz w:val="28"/>
          <w:szCs w:val="28"/>
          <w:u w:val="single"/>
          <w:lang w:eastAsia="zh-CN"/>
        </w:rPr>
      </w:pPr>
      <w:r>
        <w:rPr>
          <w:b/>
          <w:bCs/>
          <w:sz w:val="28"/>
          <w:szCs w:val="28"/>
          <w:u w:val="single"/>
          <w:lang w:eastAsia="zh-CN"/>
        </w:rPr>
        <w:t>Beli informasi akun Penawaran</w:t>
      </w:r>
    </w:p>
    <w:p w14:paraId="16F266B5">
      <w:pPr>
        <w:widowControl w:val="0"/>
        <w:ind w:firstLine="480"/>
        <w:rPr>
          <w:szCs w:val="24"/>
          <w:lang w:eastAsia="zh-CN"/>
        </w:rPr>
      </w:pPr>
      <w:r>
        <w:rPr>
          <w:szCs w:val="24"/>
          <w:lang w:eastAsia="zh-CN"/>
        </w:rPr>
        <w:t>Beneficiary：PT.CHD POWER PL ANT OPERATION INDONESIA</w:t>
      </w:r>
    </w:p>
    <w:p w14:paraId="30555407">
      <w:pPr>
        <w:widowControl w:val="0"/>
        <w:ind w:firstLine="480"/>
        <w:rPr>
          <w:szCs w:val="24"/>
          <w:lang w:eastAsia="zh-CN"/>
        </w:rPr>
      </w:pPr>
      <w:r>
        <w:rPr>
          <w:szCs w:val="24"/>
          <w:lang w:eastAsia="zh-CN"/>
        </w:rPr>
        <w:t xml:space="preserve">Account Number : 01 200 202 00000 119148 (IDR) </w:t>
      </w:r>
    </w:p>
    <w:p w14:paraId="693C4EB8">
      <w:pPr>
        <w:widowControl w:val="0"/>
        <w:ind w:firstLine="480"/>
        <w:rPr>
          <w:szCs w:val="24"/>
          <w:lang w:eastAsia="zh-CN"/>
        </w:rPr>
      </w:pPr>
      <w:r>
        <w:rPr>
          <w:szCs w:val="24"/>
          <w:lang w:eastAsia="zh-CN"/>
        </w:rPr>
        <w:t>Bank: PT Bank ICBC INDONESIA</w:t>
      </w:r>
    </w:p>
    <w:p w14:paraId="7CA46C02">
      <w:pPr>
        <w:widowControl w:val="0"/>
        <w:ind w:firstLine="480"/>
        <w:rPr>
          <w:szCs w:val="24"/>
          <w:lang w:eastAsia="zh-CN"/>
        </w:rPr>
      </w:pPr>
      <w:r>
        <w:rPr>
          <w:szCs w:val="24"/>
          <w:lang w:eastAsia="zh-CN"/>
        </w:rPr>
        <w:t>Bank Address : The East Tower 2nd FI, JI. Lingkar Mega Kuningan Kav.E.3.2 No 1 Jakarta Selatan 12950</w:t>
      </w:r>
    </w:p>
    <w:p w14:paraId="418E5456">
      <w:pPr>
        <w:widowControl w:val="0"/>
        <w:ind w:firstLine="480"/>
        <w:rPr>
          <w:szCs w:val="24"/>
          <w:highlight w:val="green"/>
          <w:lang w:eastAsia="zh-CN"/>
        </w:rPr>
      </w:pPr>
      <w:r>
        <w:rPr>
          <w:szCs w:val="24"/>
          <w:lang w:eastAsia="zh-CN"/>
        </w:rPr>
        <w:t>Swift Code: ICBKIDJA</w:t>
      </w:r>
    </w:p>
    <w:p w14:paraId="1D2045AA">
      <w:pPr>
        <w:widowControl w:val="0"/>
        <w:ind w:firstLine="480"/>
        <w:jc w:val="both"/>
        <w:rPr>
          <w:szCs w:val="24"/>
          <w:lang w:eastAsia="zh-CN"/>
        </w:rPr>
      </w:pPr>
      <w:r>
        <w:rPr>
          <w:szCs w:val="24"/>
          <w:lang w:eastAsia="zh-CN"/>
        </w:rPr>
        <w:t>4.2获取方式</w:t>
      </w:r>
      <w:r>
        <w:rPr>
          <w:szCs w:val="24"/>
          <w:highlight w:val="none"/>
          <w:lang w:eastAsia="zh-CN"/>
        </w:rPr>
        <w:t>：</w:t>
      </w:r>
      <w:r>
        <w:rPr>
          <w:rFonts w:hint="eastAsia"/>
          <w:szCs w:val="24"/>
          <w:highlight w:val="none"/>
          <w:lang w:eastAsia="zh-CN"/>
        </w:rPr>
        <w:t>2025</w:t>
      </w:r>
      <w:r>
        <w:rPr>
          <w:szCs w:val="24"/>
          <w:highlight w:val="none"/>
          <w:lang w:eastAsia="zh-CN"/>
        </w:rPr>
        <w:t xml:space="preserve">年5月 </w:t>
      </w:r>
      <w:r>
        <w:rPr>
          <w:rFonts w:hint="eastAsia"/>
          <w:szCs w:val="24"/>
          <w:highlight w:val="none"/>
          <w:lang w:val="en-US" w:eastAsia="zh-CN"/>
        </w:rPr>
        <w:t>29</w:t>
      </w:r>
      <w:r>
        <w:rPr>
          <w:szCs w:val="24"/>
          <w:highlight w:val="none"/>
          <w:lang w:eastAsia="zh-CN"/>
        </w:rPr>
        <w:t>日至</w:t>
      </w:r>
      <w:r>
        <w:rPr>
          <w:rFonts w:hint="eastAsia"/>
          <w:szCs w:val="24"/>
          <w:highlight w:val="none"/>
          <w:lang w:eastAsia="zh-CN"/>
        </w:rPr>
        <w:t>2025</w:t>
      </w:r>
      <w:r>
        <w:rPr>
          <w:szCs w:val="24"/>
          <w:highlight w:val="none"/>
          <w:lang w:eastAsia="zh-CN"/>
        </w:rPr>
        <w:t>年</w:t>
      </w:r>
      <w:r>
        <w:rPr>
          <w:rFonts w:hint="eastAsia"/>
          <w:szCs w:val="24"/>
          <w:highlight w:val="none"/>
          <w:lang w:val="en-US" w:eastAsia="zh-CN"/>
        </w:rPr>
        <w:t>6</w:t>
      </w:r>
      <w:r>
        <w:rPr>
          <w:szCs w:val="24"/>
          <w:highlight w:val="none"/>
          <w:lang w:eastAsia="zh-CN"/>
        </w:rPr>
        <w:t>月</w:t>
      </w:r>
      <w:r>
        <w:rPr>
          <w:rFonts w:hint="eastAsia"/>
          <w:szCs w:val="24"/>
          <w:highlight w:val="none"/>
          <w:lang w:val="en-US" w:eastAsia="zh-CN"/>
        </w:rPr>
        <w:t>4</w:t>
      </w:r>
      <w:r>
        <w:rPr>
          <w:szCs w:val="24"/>
          <w:highlight w:val="none"/>
          <w:lang w:eastAsia="zh-CN"/>
        </w:rPr>
        <w:t>日（</w:t>
      </w:r>
      <w:r>
        <w:rPr>
          <w:szCs w:val="24"/>
          <w:lang w:eastAsia="zh-CN"/>
        </w:rPr>
        <w:t>法定公休日、法定节假日除外），每日上午8：30时至11：30时，下午14：30时至17：30时，在印度尼西亚南苏门答腊省穆拉埃宁（Muara Enim）县以南Darmo镇印尼</w:t>
      </w:r>
      <w:r>
        <w:rPr>
          <w:rFonts w:hint="eastAsia"/>
          <w:szCs w:val="24"/>
          <w:lang w:val="en-US" w:eastAsia="zh-CN"/>
        </w:rPr>
        <w:t>PT Pembangkitan Listrik Pintar Energi</w:t>
      </w:r>
      <w:r>
        <w:rPr>
          <w:szCs w:val="24"/>
          <w:lang w:eastAsia="zh-CN"/>
        </w:rPr>
        <w:t>持法定代表人授权书等文件领取招标文件。</w:t>
      </w:r>
    </w:p>
    <w:p w14:paraId="362940C5">
      <w:pPr>
        <w:widowControl w:val="0"/>
        <w:ind w:firstLine="480"/>
        <w:jc w:val="both"/>
        <w:rPr>
          <w:szCs w:val="24"/>
          <w:lang w:eastAsia="zh-CN"/>
        </w:rPr>
      </w:pPr>
      <w:r>
        <w:rPr>
          <w:szCs w:val="24"/>
          <w:lang w:eastAsia="zh-CN"/>
        </w:rPr>
        <w:t xml:space="preserve">4.2 Metode Pengambilan Dokumen Penawaran: Dari tanggal </w:t>
      </w:r>
      <w:r>
        <w:rPr>
          <w:rFonts w:hint="eastAsia"/>
          <w:szCs w:val="24"/>
          <w:lang w:val="en-US" w:eastAsia="zh-CN"/>
        </w:rPr>
        <w:t>29</w:t>
      </w:r>
      <w:r>
        <w:rPr>
          <w:szCs w:val="24"/>
          <w:lang w:eastAsia="zh-CN"/>
        </w:rPr>
        <w:t xml:space="preserve"> Mei 2025 sampai dengan </w:t>
      </w:r>
      <w:r>
        <w:rPr>
          <w:rFonts w:hint="eastAsia"/>
          <w:szCs w:val="24"/>
          <w:lang w:val="en-US" w:eastAsia="zh-CN"/>
        </w:rPr>
        <w:t>4 Juni</w:t>
      </w:r>
      <w:r>
        <w:rPr>
          <w:szCs w:val="24"/>
          <w:lang w:eastAsia="zh-CN"/>
        </w:rPr>
        <w:t xml:space="preserve"> 2025 (kecuali hari libur nasional dan hari libur resmi), pukul 08.30 WIB sampai dengan 11.30 WIB dan 14.30 WIB sampai dengan 17.30 WIB setiap hari, bertempat di Kantor Cabang </w:t>
      </w:r>
      <w:r>
        <w:rPr>
          <w:rFonts w:hint="eastAsia"/>
          <w:szCs w:val="24"/>
          <w:lang w:val="en-US" w:eastAsia="zh-CN"/>
        </w:rPr>
        <w:t>PT Pembangkitan Listrik Pintar Energi</w:t>
      </w:r>
      <w:r>
        <w:rPr>
          <w:szCs w:val="24"/>
          <w:lang w:eastAsia="zh-CN"/>
        </w:rPr>
        <w:t>, Kota Darmo, sebelah selatan Kabupaten Muara Enim, Propinsi Sumatera Selatan, Indonesia, dengan membawa surat kuasa dari kuasa hukum. dan dokumen lainnya untuk menerima dokumen Penawaran.</w:t>
      </w:r>
    </w:p>
    <w:p w14:paraId="506D0E2F">
      <w:pPr>
        <w:widowControl w:val="0"/>
        <w:ind w:firstLine="480"/>
        <w:jc w:val="both"/>
        <w:rPr>
          <w:szCs w:val="24"/>
          <w:lang w:eastAsia="zh-CN"/>
        </w:rPr>
      </w:pPr>
      <w:r>
        <w:rPr>
          <w:szCs w:val="24"/>
          <w:lang w:eastAsia="zh-CN"/>
        </w:rPr>
        <w:t>须持证件、资料：法定代表人授权书原件，被授权人身份证（出示原件，留加盖单位公章的复印件），购买标书款的凭证。</w:t>
      </w:r>
    </w:p>
    <w:p w14:paraId="50D953F2">
      <w:pPr>
        <w:widowControl w:val="0"/>
        <w:ind w:firstLine="480"/>
        <w:jc w:val="both"/>
        <w:rPr>
          <w:szCs w:val="24"/>
          <w:lang w:eastAsia="zh-CN"/>
        </w:rPr>
      </w:pPr>
      <w:r>
        <w:rPr>
          <w:szCs w:val="24"/>
          <w:lang w:eastAsia="zh-CN"/>
        </w:rPr>
        <w:t>Dokumen dan informasi yang diperlukan: surat kuasa asli dari perwakilan hukum, kartu identitas orang yang diberi kuasa (tunjukkan yang asli, simpan salinannya dengan stempel resmi unit), voucher pembelian Penawaran.</w:t>
      </w:r>
    </w:p>
    <w:p w14:paraId="2FB7EBB5">
      <w:pPr>
        <w:pStyle w:val="9"/>
        <w:adjustRightInd/>
        <w:snapToGrid/>
        <w:spacing w:after="120" w:afterLines="50" w:line="360" w:lineRule="auto"/>
        <w:ind w:firstLine="0" w:firstLineChars="0"/>
        <w:jc w:val="both"/>
        <w:rPr>
          <w:bCs/>
          <w:sz w:val="28"/>
          <w:szCs w:val="28"/>
          <w:highlight w:val="none"/>
          <w:lang w:eastAsia="zh-CN"/>
        </w:rPr>
      </w:pPr>
      <w:bookmarkStart w:id="30" w:name="_Toc28138"/>
      <w:bookmarkStart w:id="31" w:name="_Toc29654"/>
      <w:r>
        <w:rPr>
          <w:rFonts w:ascii="黑体" w:hAnsi="黑体" w:eastAsia="黑体" w:cs="Microsoft JhengHei"/>
          <w:bCs/>
          <w:sz w:val="28"/>
          <w:szCs w:val="28"/>
          <w:lang w:eastAsia="zh-CN"/>
        </w:rPr>
        <w:t>五、投标文件的递交</w:t>
      </w:r>
      <w:bookmarkEnd w:id="30"/>
      <w:bookmarkEnd w:id="31"/>
      <w:r>
        <w:rPr>
          <w:rFonts w:hint="eastAsia"/>
          <w:bCs/>
          <w:sz w:val="28"/>
          <w:szCs w:val="28"/>
          <w:lang w:eastAsia="zh-CN"/>
        </w:rPr>
        <w:t>Presentasi dokumen Penaw</w:t>
      </w:r>
      <w:r>
        <w:rPr>
          <w:rFonts w:hint="eastAsia"/>
          <w:bCs/>
          <w:sz w:val="28"/>
          <w:szCs w:val="28"/>
          <w:highlight w:val="none"/>
          <w:lang w:eastAsia="zh-CN"/>
        </w:rPr>
        <w:t>aran</w:t>
      </w:r>
    </w:p>
    <w:p w14:paraId="0F18EAF7">
      <w:pPr>
        <w:widowControl w:val="0"/>
        <w:ind w:firstLine="480"/>
        <w:jc w:val="both"/>
        <w:rPr>
          <w:szCs w:val="24"/>
          <w:lang w:eastAsia="zh-CN"/>
        </w:rPr>
      </w:pPr>
      <w:r>
        <w:rPr>
          <w:szCs w:val="24"/>
          <w:highlight w:val="none"/>
          <w:lang w:eastAsia="zh-CN"/>
        </w:rPr>
        <w:t xml:space="preserve">5.1 </w:t>
      </w:r>
      <w:r>
        <w:rPr>
          <w:rFonts w:ascii="Times New Roman" w:hAnsi="Times New Roman" w:cs="Times New Roman"/>
          <w:bCs/>
          <w:szCs w:val="24"/>
          <w:highlight w:val="none"/>
          <w:lang w:eastAsia="zh-CN" w:bidi="ar"/>
        </w:rPr>
        <w:t>投标文件递交的截止时间(投标截止时间，下同)为</w:t>
      </w:r>
      <w:r>
        <w:rPr>
          <w:rFonts w:hint="eastAsia" w:ascii="Times New Roman" w:hAnsi="Times New Roman" w:cs="Times New Roman"/>
          <w:bCs/>
          <w:szCs w:val="24"/>
          <w:highlight w:val="none"/>
          <w:lang w:eastAsia="zh-CN" w:bidi="ar"/>
        </w:rPr>
        <w:t>2025</w:t>
      </w:r>
      <w:r>
        <w:rPr>
          <w:rFonts w:ascii="Times New Roman" w:hAnsi="Times New Roman" w:cs="Times New Roman"/>
          <w:bCs/>
          <w:szCs w:val="24"/>
          <w:highlight w:val="none"/>
          <w:lang w:eastAsia="zh-CN" w:bidi="ar"/>
        </w:rPr>
        <w:t>年</w:t>
      </w:r>
      <w:r>
        <w:rPr>
          <w:rFonts w:hint="eastAsia" w:ascii="Times New Roman" w:hAnsi="Times New Roman" w:cs="Times New Roman"/>
          <w:bCs/>
          <w:szCs w:val="24"/>
          <w:highlight w:val="none"/>
          <w:lang w:eastAsia="zh-CN" w:bidi="ar"/>
        </w:rPr>
        <w:t>6</w:t>
      </w:r>
      <w:r>
        <w:rPr>
          <w:rFonts w:ascii="Times New Roman" w:hAnsi="Times New Roman" w:cs="Times New Roman"/>
          <w:bCs/>
          <w:szCs w:val="24"/>
          <w:highlight w:val="none"/>
          <w:lang w:eastAsia="zh-CN" w:bidi="ar"/>
        </w:rPr>
        <w:t>月</w:t>
      </w:r>
      <w:r>
        <w:rPr>
          <w:rFonts w:hint="eastAsia" w:cs="Times New Roman"/>
          <w:bCs/>
          <w:szCs w:val="24"/>
          <w:highlight w:val="none"/>
          <w:lang w:val="en-US" w:eastAsia="zh-CN" w:bidi="ar"/>
        </w:rPr>
        <w:t>19</w:t>
      </w:r>
      <w:r>
        <w:rPr>
          <w:rFonts w:ascii="Times New Roman" w:hAnsi="Times New Roman" w:cs="Times New Roman"/>
          <w:bCs/>
          <w:szCs w:val="24"/>
          <w:highlight w:val="none"/>
          <w:lang w:eastAsia="zh-CN" w:bidi="ar"/>
        </w:rPr>
        <w:t>日9</w:t>
      </w:r>
      <w:r>
        <w:rPr>
          <w:rFonts w:ascii="Times New Roman" w:hAnsi="Times New Roman" w:cs="Times New Roman"/>
          <w:bCs/>
          <w:szCs w:val="24"/>
          <w:lang w:eastAsia="zh-CN" w:bidi="ar"/>
        </w:rPr>
        <w:t>时00分，地点为印度尼西亚南苏门答腊省穆拉埃宁（Muara Enim）县以南Darmo镇印尼</w:t>
      </w:r>
      <w:r>
        <w:rPr>
          <w:rFonts w:hint="eastAsia"/>
          <w:szCs w:val="24"/>
          <w:lang w:val="en-US" w:eastAsia="zh-CN"/>
        </w:rPr>
        <w:t>PT Pembangkitan Listrik Pintar Energi</w:t>
      </w:r>
      <w:r>
        <w:rPr>
          <w:szCs w:val="24"/>
          <w:lang w:eastAsia="zh-CN"/>
        </w:rPr>
        <w:t xml:space="preserve"> 。</w:t>
      </w:r>
    </w:p>
    <w:p w14:paraId="56A2B84B">
      <w:pPr>
        <w:widowControl w:val="0"/>
        <w:ind w:firstLine="480"/>
        <w:jc w:val="both"/>
        <w:rPr>
          <w:szCs w:val="24"/>
          <w:lang w:eastAsia="zh-CN"/>
        </w:rPr>
      </w:pPr>
      <w:r>
        <w:rPr>
          <w:szCs w:val="24"/>
          <w:lang w:eastAsia="zh-CN"/>
        </w:rPr>
        <w:t xml:space="preserve">5.1 Batas akhir pemasukan dokumen penawaran (Batas Akhir Pemasukan Dokumen Penawaran, selanjutnya disebut Batas Akhir Pemasukan Dokumen Penawaran) adalah tanggal </w:t>
      </w:r>
      <w:r>
        <w:rPr>
          <w:rFonts w:hint="eastAsia"/>
          <w:szCs w:val="24"/>
          <w:lang w:val="en-US" w:eastAsia="zh-CN"/>
        </w:rPr>
        <w:t>19</w:t>
      </w:r>
      <w:r>
        <w:rPr>
          <w:szCs w:val="24"/>
          <w:lang w:eastAsia="zh-CN"/>
        </w:rPr>
        <w:t xml:space="preserve"> Juni 2025 pukul </w:t>
      </w:r>
      <w:r>
        <w:rPr>
          <w:rFonts w:hint="eastAsia"/>
          <w:szCs w:val="24"/>
          <w:lang w:val="en-US" w:eastAsia="zh-CN"/>
        </w:rPr>
        <w:t>09</w:t>
      </w:r>
      <w:r>
        <w:rPr>
          <w:szCs w:val="24"/>
          <w:lang w:eastAsia="zh-CN"/>
        </w:rPr>
        <w:t xml:space="preserve">.00 WIB di Cabang </w:t>
      </w:r>
      <w:r>
        <w:rPr>
          <w:rFonts w:hint="eastAsia"/>
          <w:szCs w:val="24"/>
          <w:lang w:val="en-US" w:eastAsia="zh-CN"/>
        </w:rPr>
        <w:t>PT Pembangkitan Listrik Pintar Energi</w:t>
      </w:r>
      <w:r>
        <w:rPr>
          <w:szCs w:val="24"/>
          <w:lang w:eastAsia="zh-CN"/>
        </w:rPr>
        <w:t>, Kota Darmo, Kabupaten Muara Enim, Sumatera Selatan, Indonesia.</w:t>
      </w:r>
    </w:p>
    <w:p w14:paraId="2CAE376C">
      <w:pPr>
        <w:spacing w:line="360" w:lineRule="auto"/>
        <w:ind w:firstLine="480"/>
        <w:jc w:val="both"/>
        <w:rPr>
          <w:bCs/>
          <w:szCs w:val="24"/>
          <w:lang w:eastAsia="zh-CN" w:bidi="ar"/>
        </w:rPr>
      </w:pPr>
      <w:bookmarkStart w:id="32" w:name="_Toc28458"/>
      <w:bookmarkStart w:id="33" w:name="_Toc5200"/>
      <w:r>
        <w:rPr>
          <w:rFonts w:hint="eastAsia"/>
          <w:bCs/>
          <w:szCs w:val="24"/>
          <w:lang w:eastAsia="zh-CN" w:bidi="ar"/>
        </w:rPr>
        <w:t>5.2 逾期送达的、未送达指定地点的或者未按照招标文件要求密封的投标文件， 招标人将予以拒收。</w:t>
      </w:r>
    </w:p>
    <w:p w14:paraId="400915C3">
      <w:pPr>
        <w:spacing w:line="360" w:lineRule="auto"/>
        <w:ind w:firstLine="480"/>
        <w:jc w:val="both"/>
        <w:rPr>
          <w:bCs/>
          <w:szCs w:val="24"/>
          <w:lang w:eastAsia="zh-CN" w:bidi="ar"/>
        </w:rPr>
      </w:pPr>
      <w:r>
        <w:rPr>
          <w:rFonts w:hint="eastAsia"/>
          <w:bCs/>
          <w:szCs w:val="24"/>
          <w:lang w:eastAsia="zh-CN" w:bidi="ar"/>
        </w:rPr>
        <w:t>5.2 Dokumen Penawaran yang terlambat, tidak diantarkan ke tempat yang ditentukan atau tidak disegel sesuai dengan persyaratan dokumen Penawaran akan ditolak oleh peserta Penawaran.</w:t>
      </w:r>
    </w:p>
    <w:p w14:paraId="03F23E69">
      <w:pPr>
        <w:pStyle w:val="2"/>
        <w:spacing w:beforeLines="0" w:after="120" w:afterLines="50"/>
        <w:rPr>
          <w:rFonts w:ascii="宋体" w:hAnsi="宋体" w:eastAsia="宋体" w:cs="宋体"/>
          <w:kern w:val="0"/>
          <w:szCs w:val="28"/>
          <w:lang w:eastAsia="zh-CN"/>
        </w:rPr>
      </w:pPr>
      <w:bookmarkStart w:id="34" w:name="_Toc2554"/>
      <w:bookmarkStart w:id="35" w:name="_Toc28607"/>
      <w:r>
        <w:rPr>
          <w:rFonts w:hint="eastAsia" w:ascii="黑体" w:hAnsi="黑体" w:cs="Microsoft JhengHei"/>
          <w:kern w:val="0"/>
          <w:szCs w:val="28"/>
          <w:lang w:eastAsia="zh-CN"/>
        </w:rPr>
        <w:t>六、开标时间及地点</w:t>
      </w:r>
      <w:bookmarkEnd w:id="32"/>
      <w:bookmarkEnd w:id="33"/>
      <w:bookmarkEnd w:id="34"/>
      <w:bookmarkEnd w:id="35"/>
      <w:r>
        <w:rPr>
          <w:rFonts w:hint="eastAsia" w:ascii="宋体" w:hAnsi="宋体" w:eastAsia="宋体" w:cs="宋体"/>
          <w:kern w:val="0"/>
          <w:szCs w:val="28"/>
          <w:lang w:eastAsia="zh-CN"/>
        </w:rPr>
        <w:t>Waktu dan tempat pembukaan Penawaran</w:t>
      </w:r>
    </w:p>
    <w:p w14:paraId="2E4157E2">
      <w:pPr>
        <w:widowControl w:val="0"/>
        <w:ind w:firstLine="480"/>
        <w:jc w:val="both"/>
        <w:rPr>
          <w:szCs w:val="24"/>
          <w:lang w:eastAsia="zh-CN"/>
        </w:rPr>
      </w:pPr>
      <w:r>
        <w:rPr>
          <w:rFonts w:hint="eastAsia"/>
          <w:szCs w:val="24"/>
          <w:lang w:eastAsia="zh-CN"/>
        </w:rPr>
        <w:t>开标时间</w:t>
      </w:r>
      <w:r>
        <w:rPr>
          <w:rFonts w:hint="eastAsia"/>
          <w:szCs w:val="24"/>
          <w:highlight w:val="none"/>
          <w:lang w:eastAsia="zh-CN"/>
        </w:rPr>
        <w:t>：  2025 年6月</w:t>
      </w:r>
      <w:r>
        <w:rPr>
          <w:rFonts w:hint="eastAsia"/>
          <w:szCs w:val="24"/>
          <w:highlight w:val="none"/>
          <w:lang w:val="en-US" w:eastAsia="zh-CN"/>
        </w:rPr>
        <w:t>19</w:t>
      </w:r>
      <w:r>
        <w:rPr>
          <w:rFonts w:hint="eastAsia"/>
          <w:szCs w:val="24"/>
          <w:highlight w:val="none"/>
          <w:lang w:eastAsia="zh-CN"/>
        </w:rPr>
        <w:t xml:space="preserve">日  </w:t>
      </w:r>
      <w:r>
        <w:rPr>
          <w:rFonts w:hint="eastAsia"/>
          <w:szCs w:val="24"/>
          <w:lang w:eastAsia="zh-CN"/>
        </w:rPr>
        <w:t>9 时00分</w:t>
      </w:r>
    </w:p>
    <w:p w14:paraId="6EA4946A">
      <w:pPr>
        <w:widowControl w:val="0"/>
        <w:ind w:firstLine="480"/>
        <w:jc w:val="both"/>
        <w:rPr>
          <w:szCs w:val="24"/>
          <w:lang w:eastAsia="zh-CN"/>
        </w:rPr>
      </w:pPr>
      <w:r>
        <w:rPr>
          <w:rFonts w:hint="eastAsia"/>
          <w:szCs w:val="24"/>
          <w:lang w:eastAsia="zh-CN"/>
        </w:rPr>
        <w:t>开标地点：印度尼西亚南苏门答腊省穆拉埃宁（Muara Enim）县以南Darmo镇印尼</w:t>
      </w:r>
      <w:r>
        <w:rPr>
          <w:rFonts w:hint="eastAsia"/>
          <w:szCs w:val="24"/>
          <w:lang w:val="en-US" w:eastAsia="zh-CN"/>
        </w:rPr>
        <w:t>PT Pembangkitan Listrik Pintar Energi</w:t>
      </w:r>
      <w:r>
        <w:rPr>
          <w:rFonts w:hint="eastAsia"/>
          <w:szCs w:val="24"/>
          <w:lang w:eastAsia="zh-CN"/>
        </w:rPr>
        <w:t>。投标人应派法定代表人或授权代理人（随身携带证明文件及身份证）出席。</w:t>
      </w:r>
    </w:p>
    <w:p w14:paraId="00D115AC">
      <w:pPr>
        <w:widowControl w:val="0"/>
        <w:ind w:firstLine="480"/>
        <w:jc w:val="both"/>
        <w:rPr>
          <w:szCs w:val="24"/>
          <w:lang w:eastAsia="zh-CN"/>
        </w:rPr>
      </w:pPr>
      <w:r>
        <w:rPr>
          <w:rFonts w:hint="eastAsia"/>
          <w:szCs w:val="24"/>
          <w:lang w:eastAsia="zh-CN"/>
        </w:rPr>
        <w:t>Waktu pembukaan penawaran: 1</w:t>
      </w:r>
      <w:r>
        <w:rPr>
          <w:rFonts w:hint="eastAsia"/>
          <w:szCs w:val="24"/>
          <w:lang w:val="en-US" w:eastAsia="zh-CN"/>
        </w:rPr>
        <w:t>9</w:t>
      </w:r>
      <w:r>
        <w:rPr>
          <w:rFonts w:hint="eastAsia"/>
          <w:szCs w:val="24"/>
          <w:lang w:eastAsia="zh-CN"/>
        </w:rPr>
        <w:t xml:space="preserve"> Juni 2025 pukul 09.00 WIB</w:t>
      </w:r>
    </w:p>
    <w:p w14:paraId="278A7FD9">
      <w:pPr>
        <w:widowControl w:val="0"/>
        <w:ind w:firstLine="480"/>
        <w:jc w:val="both"/>
        <w:rPr>
          <w:szCs w:val="24"/>
          <w:lang w:val="id-ID" w:eastAsia="zh-CN"/>
        </w:rPr>
      </w:pPr>
      <w:r>
        <w:rPr>
          <w:rFonts w:hint="eastAsia"/>
          <w:szCs w:val="24"/>
          <w:lang w:eastAsia="zh-CN"/>
        </w:rPr>
        <w:t xml:space="preserve">Tempat Pembukaan Penawaran: </w:t>
      </w:r>
      <w:r>
        <w:rPr>
          <w:rFonts w:hint="eastAsia"/>
          <w:szCs w:val="24"/>
          <w:lang w:val="en-US" w:eastAsia="zh-CN"/>
        </w:rPr>
        <w:t>PT Pembangkitan Listrik Pintar Energi</w:t>
      </w:r>
      <w:r>
        <w:rPr>
          <w:rFonts w:hint="eastAsia"/>
          <w:szCs w:val="24"/>
          <w:lang w:eastAsia="zh-CN"/>
        </w:rPr>
        <w:t>, Darmo Township, South of Muara Enim Regency, South Sumatra Province, Indonesia. Peserta Penawaran harus mengirimkan perwakilan hukum atau agen resmi mereka (dengan dokumen pendukung dan kartu identitas) untuk hadir.</w:t>
      </w:r>
    </w:p>
    <w:p w14:paraId="0C774EC6">
      <w:pPr>
        <w:pStyle w:val="2"/>
        <w:spacing w:beforeLines="0" w:after="120" w:afterLines="50"/>
        <w:jc w:val="both"/>
        <w:rPr>
          <w:rFonts w:ascii="宋体" w:hAnsi="宋体" w:eastAsia="宋体" w:cs="宋体"/>
          <w:kern w:val="0"/>
          <w:szCs w:val="28"/>
          <w:lang w:val="id-ID" w:eastAsia="zh-CN"/>
        </w:rPr>
      </w:pPr>
      <w:bookmarkStart w:id="36" w:name="_Toc16088"/>
      <w:bookmarkStart w:id="37" w:name="_Toc21378"/>
      <w:bookmarkStart w:id="38" w:name="_Toc10864"/>
      <w:bookmarkStart w:id="39" w:name="_Toc11717"/>
      <w:r>
        <w:rPr>
          <w:rFonts w:ascii="黑体" w:hAnsi="黑体" w:cs="Microsoft JhengHei"/>
          <w:kern w:val="0"/>
          <w:szCs w:val="28"/>
          <w:lang w:eastAsia="zh-CN"/>
        </w:rPr>
        <w:t>七、其他</w:t>
      </w:r>
      <w:bookmarkEnd w:id="36"/>
      <w:bookmarkEnd w:id="37"/>
      <w:bookmarkEnd w:id="38"/>
      <w:bookmarkEnd w:id="39"/>
      <w:r>
        <w:rPr>
          <w:rFonts w:ascii="黑体" w:hAnsi="黑体" w:cs="Microsoft JhengHei"/>
          <w:kern w:val="0"/>
          <w:szCs w:val="28"/>
          <w:lang w:val="id-ID" w:eastAsia="zh-CN"/>
        </w:rPr>
        <w:t xml:space="preserve"> </w:t>
      </w:r>
      <w:r>
        <w:rPr>
          <w:rFonts w:hint="eastAsia" w:ascii="宋体" w:hAnsi="宋体" w:eastAsia="宋体" w:cs="宋体"/>
          <w:kern w:val="0"/>
          <w:szCs w:val="28"/>
          <w:lang w:val="id-ID" w:eastAsia="zh-CN"/>
        </w:rPr>
        <w:t>Lain-lain</w:t>
      </w:r>
    </w:p>
    <w:p w14:paraId="7BEF7486">
      <w:pPr>
        <w:widowControl w:val="0"/>
        <w:ind w:firstLine="480"/>
        <w:jc w:val="both"/>
        <w:rPr>
          <w:szCs w:val="24"/>
          <w:lang w:eastAsia="zh-CN"/>
        </w:rPr>
      </w:pPr>
      <w:r>
        <w:rPr>
          <w:szCs w:val="24"/>
          <w:lang w:eastAsia="zh-CN"/>
        </w:rPr>
        <w:t>本次招标公告在 https://www.hbap.co.id/ 上发布。</w:t>
      </w:r>
    </w:p>
    <w:p w14:paraId="18C6BC91">
      <w:pPr>
        <w:widowControl w:val="0"/>
        <w:ind w:firstLine="480"/>
        <w:jc w:val="both"/>
        <w:rPr>
          <w:szCs w:val="24"/>
          <w:lang w:eastAsia="zh-CN"/>
        </w:rPr>
      </w:pPr>
      <w:r>
        <w:rPr>
          <w:szCs w:val="24"/>
          <w:lang w:eastAsia="zh-CN"/>
        </w:rPr>
        <w:t xml:space="preserve">Pengumuman Penawaran ini dipublikasikan di </w:t>
      </w:r>
      <w:r>
        <w:fldChar w:fldCharType="begin"/>
      </w:r>
      <w:r>
        <w:instrText xml:space="preserve"> HYPERLINK "https://www.hbap.co.id/." </w:instrText>
      </w:r>
      <w:r>
        <w:fldChar w:fldCharType="separate"/>
      </w:r>
      <w:r>
        <w:rPr>
          <w:rStyle w:val="8"/>
          <w:color w:val="auto"/>
          <w:szCs w:val="24"/>
          <w:lang w:eastAsia="zh-CN"/>
        </w:rPr>
        <w:t>https://www.hbap.co.id/.</w:t>
      </w:r>
      <w:r>
        <w:rPr>
          <w:rStyle w:val="8"/>
          <w:color w:val="auto"/>
          <w:szCs w:val="24"/>
          <w:lang w:eastAsia="zh-CN"/>
        </w:rPr>
        <w:fldChar w:fldCharType="end"/>
      </w:r>
    </w:p>
    <w:p w14:paraId="22727D43">
      <w:pPr>
        <w:pStyle w:val="5"/>
        <w:ind w:firstLine="480"/>
        <w:rPr>
          <w:lang w:eastAsia="zh-CN"/>
        </w:rPr>
      </w:pPr>
    </w:p>
    <w:p w14:paraId="7667BC45">
      <w:pPr>
        <w:pStyle w:val="2"/>
        <w:spacing w:beforeLines="0" w:after="120" w:afterLines="50"/>
        <w:jc w:val="both"/>
        <w:rPr>
          <w:rFonts w:ascii="宋体" w:hAnsi="宋体" w:eastAsia="宋体" w:cs="宋体"/>
          <w:kern w:val="0"/>
          <w:szCs w:val="28"/>
          <w:lang w:val="id-ID" w:eastAsia="zh-CN"/>
        </w:rPr>
      </w:pPr>
      <w:bookmarkStart w:id="40" w:name="_Toc28267"/>
      <w:bookmarkStart w:id="41" w:name="_Toc15839"/>
      <w:bookmarkStart w:id="42" w:name="_Toc26019"/>
      <w:bookmarkStart w:id="43" w:name="_Toc21548"/>
      <w:r>
        <w:rPr>
          <w:rFonts w:ascii="黑体" w:hAnsi="黑体" w:cs="Microsoft JhengHei"/>
          <w:kern w:val="0"/>
          <w:szCs w:val="28"/>
          <w:lang w:eastAsia="zh-CN"/>
        </w:rPr>
        <w:t>八、异议提出渠道和方式</w:t>
      </w:r>
      <w:bookmarkEnd w:id="40"/>
      <w:bookmarkEnd w:id="41"/>
      <w:bookmarkEnd w:id="42"/>
      <w:bookmarkEnd w:id="43"/>
      <w:r>
        <w:rPr>
          <w:rFonts w:ascii="黑体" w:hAnsi="黑体" w:cs="Microsoft JhengHei"/>
          <w:kern w:val="0"/>
          <w:szCs w:val="28"/>
          <w:lang w:val="id-ID" w:eastAsia="zh-CN"/>
        </w:rPr>
        <w:t xml:space="preserve"> </w:t>
      </w:r>
      <w:r>
        <w:rPr>
          <w:rFonts w:hint="eastAsia" w:ascii="宋体" w:hAnsi="宋体" w:eastAsia="宋体" w:cs="宋体"/>
          <w:kern w:val="0"/>
          <w:szCs w:val="28"/>
          <w:lang w:val="id-ID" w:eastAsia="zh-CN"/>
        </w:rPr>
        <w:t>Saluran dan sarana untuk mengajukan keberatan</w:t>
      </w:r>
    </w:p>
    <w:p w14:paraId="58EDC3ED">
      <w:pPr>
        <w:widowControl w:val="0"/>
        <w:ind w:firstLine="480"/>
        <w:jc w:val="both"/>
        <w:rPr>
          <w:szCs w:val="24"/>
          <w:lang w:eastAsia="zh-CN"/>
        </w:rPr>
      </w:pPr>
      <w:r>
        <w:rPr>
          <w:szCs w:val="24"/>
          <w:lang w:eastAsia="zh-CN"/>
        </w:rPr>
        <w:t>投标人或者其他利害关系人对本招标项目的公告内容有异议的，请在公告期间提出。本招标项目仅接受</w:t>
      </w:r>
      <w:r>
        <w:rPr>
          <w:lang w:eastAsia="zh-CN" w:bidi="ar"/>
        </w:rPr>
        <w:t>通过</w:t>
      </w:r>
      <w:r>
        <w:rPr>
          <w:rFonts w:hint="eastAsia"/>
          <w:lang w:eastAsia="zh-CN" w:bidi="ar"/>
        </w:rPr>
        <w:t>监督投诉受理邮箱</w:t>
      </w:r>
      <w:r>
        <w:rPr>
          <w:lang w:eastAsia="zh-CN" w:bidi="ar"/>
        </w:rPr>
        <w:t>系统提的异议</w:t>
      </w:r>
      <w:r>
        <w:rPr>
          <w:szCs w:val="24"/>
          <w:lang w:eastAsia="zh-CN"/>
        </w:rPr>
        <w:t>。</w:t>
      </w:r>
    </w:p>
    <w:p w14:paraId="24654380">
      <w:pPr>
        <w:widowControl w:val="0"/>
        <w:ind w:firstLine="480"/>
        <w:jc w:val="both"/>
        <w:rPr>
          <w:szCs w:val="24"/>
          <w:lang w:eastAsia="zh-CN"/>
        </w:rPr>
      </w:pPr>
      <w:r>
        <w:rPr>
          <w:szCs w:val="24"/>
          <w:lang w:eastAsia="zh-CN"/>
        </w:rPr>
        <w:t>Peserta Penawaran atau pihak-pihak yang berkepentingan yang memiliki keberatan atas isi pengumuman proyek Penawaran ini diminta untuk mengajukan keberatan selama periode pengumuman. Hanya keberatan yang diajukan melalui sistem kotak surat pengawasan dan penerimaan pengaduan yang akan diterima untuk Penawaran ini.</w:t>
      </w:r>
    </w:p>
    <w:p w14:paraId="7078D0DE">
      <w:pPr>
        <w:pStyle w:val="2"/>
        <w:spacing w:beforeLines="0" w:after="120" w:afterLines="50"/>
        <w:jc w:val="both"/>
        <w:rPr>
          <w:rFonts w:ascii="宋体" w:hAnsi="宋体" w:eastAsia="宋体" w:cs="宋体"/>
          <w:kern w:val="0"/>
          <w:szCs w:val="28"/>
          <w:lang w:val="id-ID" w:eastAsia="zh-CN"/>
        </w:rPr>
      </w:pPr>
      <w:bookmarkStart w:id="44" w:name="_Toc19312"/>
      <w:bookmarkStart w:id="45" w:name="_Toc17050"/>
      <w:bookmarkStart w:id="46" w:name="_Toc19547"/>
      <w:bookmarkStart w:id="47" w:name="_Toc13950"/>
      <w:r>
        <w:rPr>
          <w:rFonts w:ascii="黑体" w:hAnsi="黑体" w:cs="Microsoft JhengHei"/>
          <w:kern w:val="0"/>
          <w:szCs w:val="28"/>
          <w:lang w:eastAsia="zh-CN"/>
        </w:rPr>
        <w:t>九、监督部门</w:t>
      </w:r>
      <w:bookmarkEnd w:id="44"/>
      <w:bookmarkEnd w:id="45"/>
      <w:bookmarkEnd w:id="46"/>
      <w:bookmarkEnd w:id="47"/>
      <w:r>
        <w:rPr>
          <w:rFonts w:ascii="黑体" w:hAnsi="黑体" w:cs="Microsoft JhengHei"/>
          <w:kern w:val="0"/>
          <w:szCs w:val="28"/>
          <w:lang w:val="id-ID" w:eastAsia="zh-CN"/>
        </w:rPr>
        <w:t xml:space="preserve"> </w:t>
      </w:r>
      <w:r>
        <w:rPr>
          <w:rFonts w:hint="eastAsia" w:ascii="宋体" w:hAnsi="宋体" w:eastAsia="宋体" w:cs="宋体"/>
          <w:kern w:val="0"/>
          <w:szCs w:val="28"/>
          <w:lang w:val="id-ID" w:eastAsia="zh-CN"/>
        </w:rPr>
        <w:t>Departemen Pengawas</w:t>
      </w:r>
    </w:p>
    <w:p w14:paraId="4402A3C7">
      <w:pPr>
        <w:widowControl w:val="0"/>
        <w:ind w:firstLine="480"/>
        <w:jc w:val="both"/>
        <w:rPr>
          <w:szCs w:val="24"/>
          <w:lang w:eastAsia="zh-CN"/>
        </w:rPr>
      </w:pPr>
      <w:r>
        <w:rPr>
          <w:szCs w:val="24"/>
          <w:lang w:eastAsia="zh-CN"/>
        </w:rPr>
        <w:t>本招标项目的监督部门为华电海外投资有限公司。</w:t>
      </w:r>
    </w:p>
    <w:p w14:paraId="0C6C7D9A">
      <w:pPr>
        <w:widowControl w:val="0"/>
        <w:ind w:firstLine="480"/>
        <w:jc w:val="both"/>
        <w:rPr>
          <w:szCs w:val="24"/>
          <w:lang w:eastAsia="zh-CN"/>
        </w:rPr>
      </w:pPr>
      <w:r>
        <w:rPr>
          <w:szCs w:val="24"/>
          <w:lang w:eastAsia="zh-CN"/>
        </w:rPr>
        <w:t>本采购监督投诉受理邮箱：caigoujiandu@chdhk. Com</w:t>
      </w:r>
    </w:p>
    <w:p w14:paraId="74B207FC">
      <w:pPr>
        <w:widowControl w:val="0"/>
        <w:ind w:firstLine="480"/>
        <w:jc w:val="both"/>
        <w:rPr>
          <w:szCs w:val="24"/>
          <w:lang w:eastAsia="zh-CN"/>
        </w:rPr>
      </w:pPr>
      <w:r>
        <w:rPr>
          <w:szCs w:val="24"/>
          <w:lang w:eastAsia="zh-CN"/>
        </w:rPr>
        <w:t>Otoritas pengawas proyek Penawaran ini adalah Huadian Overseas Investment Co.</w:t>
      </w:r>
    </w:p>
    <w:p w14:paraId="721B11B9">
      <w:pPr>
        <w:widowControl w:val="0"/>
        <w:ind w:firstLine="480"/>
        <w:jc w:val="both"/>
        <w:rPr>
          <w:szCs w:val="24"/>
          <w:lang w:eastAsia="zh-CN"/>
        </w:rPr>
      </w:pPr>
      <w:r>
        <w:rPr>
          <w:szCs w:val="24"/>
          <w:lang w:eastAsia="zh-CN"/>
        </w:rPr>
        <w:t>Email penerimaan pengaduan pengawasan pengadaan ini: caigoujiandu@chdhk. Com</w:t>
      </w:r>
    </w:p>
    <w:p w14:paraId="0E8F6A6D">
      <w:pPr>
        <w:pStyle w:val="2"/>
        <w:spacing w:beforeLines="0" w:after="120" w:afterLines="50"/>
        <w:rPr>
          <w:rFonts w:ascii="宋体" w:hAnsi="宋体" w:eastAsia="宋体" w:cs="宋体"/>
          <w:kern w:val="0"/>
          <w:szCs w:val="28"/>
          <w:lang w:val="id-ID" w:eastAsia="zh-CN"/>
        </w:rPr>
      </w:pPr>
      <w:bookmarkStart w:id="48" w:name="_Toc30825"/>
      <w:bookmarkStart w:id="49" w:name="_Toc19844"/>
      <w:bookmarkStart w:id="50" w:name="_Toc31623"/>
      <w:bookmarkStart w:id="51" w:name="_Toc15895"/>
      <w:r>
        <w:rPr>
          <w:rFonts w:ascii="黑体" w:hAnsi="黑体" w:cs="Microsoft JhengHei"/>
          <w:kern w:val="0"/>
          <w:szCs w:val="28"/>
          <w:lang w:eastAsia="zh-CN"/>
        </w:rPr>
        <w:t>十、联系方式</w:t>
      </w:r>
      <w:bookmarkEnd w:id="48"/>
      <w:bookmarkEnd w:id="49"/>
      <w:bookmarkEnd w:id="50"/>
      <w:bookmarkEnd w:id="51"/>
      <w:r>
        <w:rPr>
          <w:rFonts w:ascii="黑体" w:hAnsi="黑体" w:cs="Microsoft JhengHei"/>
          <w:kern w:val="0"/>
          <w:szCs w:val="28"/>
          <w:lang w:val="id-ID" w:eastAsia="zh-CN"/>
        </w:rPr>
        <w:t xml:space="preserve"> </w:t>
      </w:r>
      <w:r>
        <w:rPr>
          <w:rFonts w:hint="eastAsia" w:ascii="宋体" w:hAnsi="宋体" w:eastAsia="宋体" w:cs="宋体"/>
          <w:kern w:val="0"/>
          <w:szCs w:val="28"/>
          <w:lang w:val="id-ID" w:eastAsia="zh-CN"/>
        </w:rPr>
        <w:t>Informasi Kontak</w:t>
      </w:r>
    </w:p>
    <w:p w14:paraId="068985E7">
      <w:pPr>
        <w:widowControl w:val="0"/>
        <w:ind w:firstLine="480"/>
        <w:rPr>
          <w:szCs w:val="24"/>
          <w:lang w:eastAsia="zh-CN"/>
        </w:rPr>
      </w:pPr>
      <w:r>
        <w:rPr>
          <w:szCs w:val="24"/>
          <w:lang w:eastAsia="zh-CN"/>
        </w:rPr>
        <w:t>招 标 人</w:t>
      </w:r>
      <w:r>
        <w:rPr>
          <w:szCs w:val="24"/>
          <w:lang w:val="id-ID" w:eastAsia="zh-CN"/>
        </w:rPr>
        <w:t xml:space="preserve"> Pihak Penawar</w:t>
      </w:r>
      <w:r>
        <w:rPr>
          <w:szCs w:val="24"/>
          <w:lang w:eastAsia="zh-CN"/>
        </w:rPr>
        <w:t xml:space="preserve">：PT PEMBANGKITAN LISTRIK PINTAR ENERGI </w:t>
      </w:r>
    </w:p>
    <w:p w14:paraId="2F774078">
      <w:pPr>
        <w:widowControl w:val="0"/>
        <w:ind w:firstLine="480"/>
        <w:rPr>
          <w:szCs w:val="24"/>
          <w:lang w:eastAsia="zh-CN"/>
        </w:rPr>
      </w:pPr>
      <w:r>
        <w:rPr>
          <w:szCs w:val="24"/>
          <w:lang w:eastAsia="zh-CN"/>
        </w:rPr>
        <w:t>地    址：印度尼西亚南苏门答腊省穆拉埃宁（Muara Enim）县以南Darmo镇华电（印尼）玻雅发电公司。</w:t>
      </w:r>
    </w:p>
    <w:p w14:paraId="3701D096">
      <w:pPr>
        <w:widowControl w:val="0"/>
        <w:ind w:firstLine="480"/>
        <w:rPr>
          <w:szCs w:val="24"/>
          <w:lang w:eastAsia="zh-CN"/>
        </w:rPr>
      </w:pPr>
      <w:r>
        <w:rPr>
          <w:szCs w:val="24"/>
          <w:lang w:eastAsia="zh-CN"/>
        </w:rPr>
        <w:t>联 系 人</w:t>
      </w:r>
      <w:r>
        <w:rPr>
          <w:szCs w:val="24"/>
          <w:lang w:val="id-ID" w:eastAsia="zh-CN"/>
        </w:rPr>
        <w:t xml:space="preserve"> </w:t>
      </w:r>
      <w:r>
        <w:rPr>
          <w:szCs w:val="24"/>
          <w:lang w:eastAsia="zh-CN"/>
        </w:rPr>
        <w:t xml:space="preserve">： 于再军        Benita               </w:t>
      </w:r>
    </w:p>
    <w:p w14:paraId="0C8D7F00">
      <w:pPr>
        <w:widowControl w:val="0"/>
        <w:ind w:firstLine="480"/>
        <w:rPr>
          <w:szCs w:val="24"/>
          <w:lang w:eastAsia="zh-CN"/>
        </w:rPr>
      </w:pPr>
      <w:r>
        <w:rPr>
          <w:szCs w:val="24"/>
          <w:lang w:eastAsia="zh-CN"/>
        </w:rPr>
        <w:t>电话</w:t>
      </w:r>
      <w:r>
        <w:rPr>
          <w:szCs w:val="24"/>
          <w:lang w:val="id-ID" w:eastAsia="zh-CN"/>
        </w:rPr>
        <w:t xml:space="preserve"> </w:t>
      </w:r>
      <w:r>
        <w:rPr>
          <w:szCs w:val="24"/>
          <w:lang w:eastAsia="zh-CN"/>
        </w:rPr>
        <w:t>：082177928042     085607179214</w:t>
      </w:r>
    </w:p>
    <w:p w14:paraId="6197541E">
      <w:pPr>
        <w:widowControl w:val="0"/>
        <w:ind w:firstLine="480"/>
        <w:rPr>
          <w:szCs w:val="24"/>
          <w:lang w:eastAsia="zh-CN"/>
        </w:rPr>
      </w:pPr>
      <w:r>
        <w:rPr>
          <w:szCs w:val="24"/>
          <w:lang w:eastAsia="zh-CN"/>
        </w:rPr>
        <w:t xml:space="preserve">      邮箱</w:t>
      </w:r>
      <w:r>
        <w:rPr>
          <w:szCs w:val="24"/>
          <w:lang w:val="id-ID" w:eastAsia="zh-CN"/>
        </w:rPr>
        <w:t xml:space="preserve"> Email</w:t>
      </w:r>
      <w:r>
        <w:rPr>
          <w:szCs w:val="24"/>
          <w:lang w:eastAsia="zh-CN"/>
        </w:rPr>
        <w:t>：731465071@qq.com</w:t>
      </w:r>
      <w:r>
        <w:rPr>
          <w:szCs w:val="24"/>
          <w:lang w:eastAsia="zh-CN"/>
        </w:rPr>
        <w:tab/>
      </w:r>
    </w:p>
    <w:p w14:paraId="6614F94A">
      <w:pPr>
        <w:widowControl w:val="0"/>
        <w:ind w:firstLine="480"/>
        <w:rPr>
          <w:szCs w:val="24"/>
          <w:lang w:eastAsia="zh-CN"/>
        </w:rPr>
      </w:pPr>
      <w:r>
        <w:rPr>
          <w:szCs w:val="24"/>
          <w:lang w:eastAsia="zh-CN"/>
        </w:rPr>
        <w:t>Peserta Penawaran: PT PEMBANGKITAN LISTRIK PINTAR ENERGI</w:t>
      </w:r>
    </w:p>
    <w:p w14:paraId="48321D28">
      <w:pPr>
        <w:widowControl w:val="0"/>
        <w:ind w:firstLine="480"/>
        <w:rPr>
          <w:szCs w:val="24"/>
          <w:lang w:eastAsia="zh-CN"/>
        </w:rPr>
      </w:pPr>
      <w:r>
        <w:rPr>
          <w:szCs w:val="24"/>
          <w:lang w:eastAsia="zh-CN"/>
        </w:rPr>
        <w:t>Alamat: Kota Darmo, Selatan Kabupaten Muara Enim, Sumatera Selatan, Indonesia.</w:t>
      </w:r>
    </w:p>
    <w:p w14:paraId="51E809B0">
      <w:pPr>
        <w:widowControl w:val="0"/>
        <w:ind w:firstLine="480"/>
        <w:rPr>
          <w:szCs w:val="24"/>
          <w:lang w:eastAsia="zh-CN"/>
        </w:rPr>
      </w:pPr>
      <w:r>
        <w:rPr>
          <w:szCs w:val="24"/>
          <w:lang w:val="id-ID" w:eastAsia="zh-CN"/>
        </w:rPr>
        <w:t>Informasi Kontak</w:t>
      </w:r>
      <w:r>
        <w:rPr>
          <w:szCs w:val="24"/>
          <w:lang w:eastAsia="zh-CN"/>
        </w:rPr>
        <w:t>: Yu Zaijun</w:t>
      </w:r>
      <w:r>
        <w:rPr>
          <w:szCs w:val="24"/>
          <w:lang w:eastAsia="zh-CN"/>
        </w:rPr>
        <w:tab/>
      </w:r>
      <w:r>
        <w:rPr>
          <w:szCs w:val="24"/>
          <w:lang w:eastAsia="zh-CN"/>
        </w:rPr>
        <w:t xml:space="preserve">   Benita</w:t>
      </w:r>
    </w:p>
    <w:p w14:paraId="27CE9C91">
      <w:pPr>
        <w:widowControl w:val="0"/>
        <w:ind w:firstLine="480"/>
        <w:rPr>
          <w:szCs w:val="24"/>
          <w:lang w:eastAsia="zh-CN"/>
        </w:rPr>
      </w:pPr>
      <w:r>
        <w:rPr>
          <w:szCs w:val="24"/>
          <w:lang w:eastAsia="zh-CN"/>
        </w:rPr>
        <w:t>Tel: 082177928042</w:t>
      </w:r>
      <w:r>
        <w:rPr>
          <w:szCs w:val="24"/>
          <w:lang w:eastAsia="zh-CN"/>
        </w:rPr>
        <w:tab/>
      </w:r>
      <w:r>
        <w:rPr>
          <w:szCs w:val="24"/>
          <w:lang w:eastAsia="zh-CN"/>
        </w:rPr>
        <w:t xml:space="preserve">         085607179214</w:t>
      </w:r>
    </w:p>
    <w:p w14:paraId="0484F313">
      <w:pPr>
        <w:widowControl w:val="0"/>
        <w:ind w:firstLine="480"/>
        <w:rPr>
          <w:szCs w:val="24"/>
          <w:lang w:eastAsia="zh-CN"/>
        </w:rPr>
      </w:pPr>
      <w:r>
        <w:rPr>
          <w:szCs w:val="24"/>
          <w:lang w:eastAsia="zh-CN"/>
        </w:rPr>
        <w:t xml:space="preserve">Email: 731465071@qq.com                                                   </w:t>
      </w:r>
    </w:p>
    <w:p w14:paraId="261C242B">
      <w:pPr>
        <w:widowControl w:val="0"/>
        <w:ind w:firstLine="480"/>
        <w:rPr>
          <w:szCs w:val="24"/>
          <w:lang w:eastAsia="zh-CN"/>
        </w:rPr>
      </w:pPr>
    </w:p>
    <w:p w14:paraId="2F0D78BC">
      <w:pPr>
        <w:pStyle w:val="2"/>
        <w:spacing w:before="120"/>
        <w:jc w:val="both"/>
        <w:rPr>
          <w:rFonts w:ascii="宋体" w:hAnsi="宋体"/>
          <w:kern w:val="0"/>
          <w:lang w:eastAsia="zh-CN"/>
        </w:rPr>
      </w:pPr>
      <w:bookmarkStart w:id="52" w:name="_Toc17884"/>
      <w:r>
        <w:rPr>
          <w:rFonts w:hint="eastAsia" w:ascii="宋体" w:hAnsi="宋体"/>
          <w:kern w:val="0"/>
          <w:lang w:eastAsia="zh-CN"/>
        </w:rPr>
        <w:t>十一、 投标保证金的汇款地址 Alamat untuk pengiriman deposit Penawaran</w:t>
      </w:r>
      <w:bookmarkEnd w:id="52"/>
    </w:p>
    <w:p w14:paraId="23A663AC">
      <w:pPr>
        <w:widowControl w:val="0"/>
        <w:ind w:firstLine="480"/>
        <w:rPr>
          <w:szCs w:val="24"/>
          <w:lang w:eastAsia="zh-CN"/>
        </w:rPr>
      </w:pPr>
      <w:r>
        <w:rPr>
          <w:rFonts w:hint="eastAsia"/>
          <w:szCs w:val="24"/>
          <w:lang w:eastAsia="zh-CN"/>
        </w:rPr>
        <w:t xml:space="preserve">收款单位名称 (Nama penerima) ：PT CHD POWER PLANT OPERATION INDONESIA  </w:t>
      </w:r>
    </w:p>
    <w:p w14:paraId="6F9065B8">
      <w:pPr>
        <w:widowControl w:val="0"/>
        <w:ind w:firstLine="480"/>
        <w:rPr>
          <w:szCs w:val="24"/>
          <w:lang w:eastAsia="zh-CN"/>
        </w:rPr>
      </w:pPr>
      <w:r>
        <w:rPr>
          <w:rFonts w:hint="eastAsia"/>
          <w:szCs w:val="24"/>
          <w:lang w:eastAsia="zh-CN"/>
        </w:rPr>
        <w:t xml:space="preserve">开户行 (Nama Bank) ：PT Bank Mandiri (Persero) Tbk Kantor Cabang Tanjung Enim  </w:t>
      </w:r>
    </w:p>
    <w:p w14:paraId="44DA895D">
      <w:pPr>
        <w:widowControl w:val="0"/>
        <w:ind w:firstLine="480"/>
        <w:rPr>
          <w:szCs w:val="24"/>
          <w:lang w:eastAsia="zh-CN"/>
        </w:rPr>
      </w:pPr>
      <w:r>
        <w:rPr>
          <w:rFonts w:hint="eastAsia"/>
          <w:szCs w:val="24"/>
          <w:lang w:eastAsia="zh-CN"/>
        </w:rPr>
        <w:t>银 行 帐 号 (Nomor Rekening Bank) ：1120017082178（IDR）</w:t>
      </w:r>
    </w:p>
    <w:p w14:paraId="24DED5E1">
      <w:pPr>
        <w:widowControl w:val="0"/>
        <w:ind w:firstLine="480"/>
        <w:rPr>
          <w:szCs w:val="24"/>
          <w:lang w:eastAsia="zh-CN"/>
        </w:rPr>
      </w:pPr>
      <w:r>
        <w:rPr>
          <w:rFonts w:hint="eastAsia"/>
          <w:szCs w:val="24"/>
          <w:lang w:eastAsia="zh-CN"/>
        </w:rPr>
        <w:t>银行汇款代码（SWIFT Code）：BMRIIDJAXXX</w:t>
      </w:r>
    </w:p>
    <w:p w14:paraId="6A08B7C5">
      <w:pPr>
        <w:pStyle w:val="2"/>
        <w:spacing w:before="120"/>
        <w:ind w:firstLine="480" w:firstLineChars="200"/>
        <w:jc w:val="both"/>
        <w:rPr>
          <w:rFonts w:asciiTheme="minorEastAsia" w:hAnsiTheme="minorEastAsia" w:eastAsiaTheme="minorEastAsia" w:cstheme="minorEastAsia"/>
          <w:sz w:val="24"/>
          <w:szCs w:val="24"/>
          <w:lang w:eastAsia="zh-CN"/>
        </w:rPr>
      </w:pPr>
      <w:bookmarkStart w:id="53" w:name="_Toc2222"/>
      <w:bookmarkStart w:id="54" w:name="_Toc32383"/>
      <w:r>
        <w:rPr>
          <w:rFonts w:hint="eastAsia" w:asciiTheme="minorEastAsia" w:hAnsiTheme="minorEastAsia" w:eastAsiaTheme="minorEastAsia" w:cstheme="minorEastAsia"/>
          <w:sz w:val="24"/>
          <w:szCs w:val="24"/>
          <w:lang w:eastAsia="zh-CN"/>
        </w:rPr>
        <w:t>银行地址 (Alamat bank) ：Jl Ahmad Yani No 8 kelurahan Pasar Tanjung Enim Kecamatan Lawang Kidul Kabupaten Muara Enim。</w:t>
      </w:r>
      <w:bookmarkEnd w:id="53"/>
      <w:bookmarkEnd w:id="54"/>
      <w:bookmarkStart w:id="55" w:name="_Toc29796"/>
    </w:p>
    <w:p w14:paraId="36FEC9C6">
      <w:pPr>
        <w:ind w:firstLine="480"/>
        <w:rPr>
          <w:color w:val="auto"/>
          <w:szCs w:val="24"/>
          <w:highlight w:val="none"/>
          <w:lang w:eastAsia="zh-CN" w:bidi="ar"/>
        </w:rPr>
      </w:pPr>
    </w:p>
    <w:p w14:paraId="6B4C7637">
      <w:pPr>
        <w:ind w:firstLine="480"/>
        <w:rPr>
          <w:color w:val="auto"/>
          <w:szCs w:val="24"/>
          <w:highlight w:val="none"/>
          <w:lang w:eastAsia="zh-CN" w:bidi="ar"/>
        </w:rPr>
      </w:pPr>
    </w:p>
    <w:p w14:paraId="1ABCDDED">
      <w:pPr>
        <w:ind w:firstLine="480"/>
        <w:rPr>
          <w:color w:val="auto"/>
          <w:szCs w:val="24"/>
          <w:highlight w:val="none"/>
          <w:lang w:eastAsia="zh-CN" w:bidi="ar"/>
        </w:rPr>
      </w:pPr>
      <w:r>
        <w:rPr>
          <w:color w:val="auto"/>
          <w:szCs w:val="24"/>
          <w:highlight w:val="none"/>
          <w:lang w:eastAsia="zh-CN" w:bidi="ar"/>
        </w:rPr>
        <w:t>招标人或其招标代理机构主要负责人（项目负责人）</w:t>
      </w:r>
    </w:p>
    <w:p w14:paraId="24C71253">
      <w:pPr>
        <w:ind w:firstLine="480"/>
        <w:rPr>
          <w:color w:val="auto"/>
          <w:szCs w:val="24"/>
          <w:highlight w:val="none"/>
          <w:u w:val="single"/>
          <w:lang w:eastAsia="zh-CN" w:bidi="ar"/>
        </w:rPr>
      </w:pPr>
      <w:r>
        <w:rPr>
          <w:color w:val="auto"/>
          <w:szCs w:val="24"/>
          <w:highlight w:val="none"/>
          <w:lang w:eastAsia="zh-CN" w:bidi="ar"/>
        </w:rPr>
        <w:t xml:space="preserve">Penanggung jawab utama penawar atau agen penawar (pemimpin proyek)： </w:t>
      </w:r>
    </w:p>
    <w:p w14:paraId="03AEB56D">
      <w:pPr>
        <w:ind w:firstLine="480"/>
        <w:rPr>
          <w:color w:val="auto"/>
          <w:szCs w:val="24"/>
          <w:highlight w:val="none"/>
          <w:u w:val="single"/>
          <w:lang w:eastAsia="zh-CN" w:bidi="ar"/>
        </w:rPr>
      </w:pPr>
    </w:p>
    <w:p w14:paraId="19D70D7C">
      <w:pPr>
        <w:ind w:firstLine="480"/>
        <w:rPr>
          <w:color w:val="auto"/>
          <w:highlight w:val="none"/>
          <w:lang w:eastAsia="zh-CN"/>
        </w:rPr>
      </w:pPr>
      <w:r>
        <w:rPr>
          <w:rFonts w:hint="eastAsia"/>
          <w:color w:val="auto"/>
          <w:szCs w:val="24"/>
          <w:highlight w:val="none"/>
          <w:lang w:eastAsia="zh-CN" w:bidi="ar"/>
        </w:rPr>
        <w:t xml:space="preserve">                           </w:t>
      </w:r>
      <w:r>
        <w:rPr>
          <w:color w:val="auto"/>
          <w:szCs w:val="24"/>
          <w:highlight w:val="none"/>
          <w:lang w:eastAsia="zh-CN" w:bidi="ar"/>
        </w:rPr>
        <w:t>招标人或其招标代理机构：(盖章)</w:t>
      </w:r>
    </w:p>
    <w:p w14:paraId="3293E00D">
      <w:pPr>
        <w:pStyle w:val="5"/>
        <w:spacing w:before="120" w:beforeLines="50" w:after="0" w:line="360" w:lineRule="auto"/>
        <w:ind w:left="480" w:firstLine="0" w:firstLineChars="0"/>
        <w:jc w:val="center"/>
        <w:rPr>
          <w:rFonts w:ascii="宋体" w:hAnsi="宋体" w:cs="宋体"/>
          <w:color w:val="auto"/>
          <w:highlight w:val="none"/>
          <w:lang w:eastAsia="zh-CN"/>
        </w:rPr>
      </w:pPr>
      <w:r>
        <w:rPr>
          <w:rFonts w:hint="eastAsia"/>
          <w:color w:val="auto"/>
          <w:highlight w:val="none"/>
          <w:lang w:val="en-US" w:eastAsia="zh-CN"/>
        </w:rPr>
        <w:t xml:space="preserve">              </w:t>
      </w:r>
      <w:r>
        <w:rPr>
          <w:rFonts w:hint="eastAsia" w:ascii="宋体" w:hAnsi="宋体" w:cs="宋体"/>
          <w:color w:val="auto"/>
          <w:highlight w:val="none"/>
          <w:lang w:eastAsia="zh-CN"/>
        </w:rPr>
        <w:t>Penawar atau agen penawarnya: (stempel)</w:t>
      </w:r>
    </w:p>
    <w:p w14:paraId="64812DD8">
      <w:pPr>
        <w:rPr>
          <w:lang w:eastAsia="zh-CN"/>
        </w:rPr>
      </w:pPr>
      <w:r>
        <w:rPr>
          <w:rFonts w:asciiTheme="minorEastAsia" w:hAnsiTheme="minorEastAsia" w:eastAsiaTheme="minorEastAsia" w:cstheme="minorEastAsia"/>
          <w:szCs w:val="24"/>
          <w:lang w:eastAsia="zh-CN"/>
        </w:rPr>
        <w:br w:type="page"/>
      </w:r>
    </w:p>
    <w:p w14:paraId="72C2E5C4">
      <w:pPr>
        <w:pStyle w:val="5"/>
        <w:ind w:firstLine="480"/>
        <w:rPr>
          <w:lang w:eastAsia="zh-CN"/>
        </w:rPr>
      </w:pPr>
    </w:p>
    <w:p w14:paraId="4DE729E2">
      <w:pPr>
        <w:pStyle w:val="2"/>
        <w:spacing w:before="120"/>
        <w:ind w:firstLine="0" w:firstLineChars="0"/>
        <w:jc w:val="left"/>
        <w:rPr>
          <w:rFonts w:ascii="Times New Roman" w:hAnsi="Times New Roman" w:eastAsia="宋体" w:cs="Times New Roman"/>
          <w:b/>
          <w:szCs w:val="24"/>
        </w:rPr>
      </w:pPr>
      <w:bookmarkStart w:id="56" w:name="_Toc20905"/>
      <w:bookmarkStart w:id="57" w:name="_Toc26817"/>
      <w:r>
        <w:rPr>
          <w:rFonts w:hint="eastAsia" w:ascii="宋体" w:hAnsi="宋体"/>
          <w:kern w:val="0"/>
          <w:lang w:eastAsia="zh-CN"/>
        </w:rPr>
        <w:t>十二、确认参与报价函</w:t>
      </w:r>
      <w:bookmarkEnd w:id="55"/>
      <w:bookmarkEnd w:id="56"/>
      <w:bookmarkStart w:id="58" w:name="_Toc21971"/>
      <w:r>
        <w:rPr>
          <w:rFonts w:ascii="Times New Roman" w:hAnsi="Times New Roman" w:eastAsia="宋体"/>
          <w:b/>
          <w:sz w:val="24"/>
          <w:szCs w:val="24"/>
        </w:rPr>
        <w:t>Confirmation Letter of Quotation participation</w:t>
      </w:r>
      <w:bookmarkEnd w:id="57"/>
      <w:bookmarkEnd w:id="58"/>
    </w:p>
    <w:tbl>
      <w:tblPr>
        <w:tblStyle w:val="6"/>
        <w:tblW w:w="8540" w:type="dxa"/>
        <w:tblInd w:w="-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9"/>
        <w:gridCol w:w="5451"/>
      </w:tblGrid>
      <w:tr w14:paraId="29060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0" w:hRule="atLeast"/>
        </w:trPr>
        <w:tc>
          <w:tcPr>
            <w:tcW w:w="8540" w:type="dxa"/>
            <w:gridSpan w:val="2"/>
            <w:tcBorders>
              <w:top w:val="single" w:color="auto" w:sz="4" w:space="0"/>
              <w:left w:val="single" w:color="auto" w:sz="4" w:space="0"/>
              <w:bottom w:val="single" w:color="auto" w:sz="4" w:space="0"/>
              <w:right w:val="single" w:color="auto" w:sz="4" w:space="0"/>
            </w:tcBorders>
          </w:tcPr>
          <w:p w14:paraId="6F2638ED">
            <w:pPr>
              <w:ind w:firstLine="560"/>
              <w:jc w:val="center"/>
              <w:rPr>
                <w:rFonts w:ascii="Times New Roman" w:hAnsi="Times New Roman" w:eastAsia="黑体" w:cs="Times New Roman"/>
                <w:sz w:val="28"/>
                <w:szCs w:val="28"/>
                <w:lang w:eastAsia="zh-CN"/>
              </w:rPr>
            </w:pPr>
            <w:r>
              <w:rPr>
                <w:rFonts w:hint="eastAsia" w:ascii="Times New Roman" w:hAnsi="Times New Roman" w:eastAsia="黑体" w:cs="Times New Roman"/>
                <w:sz w:val="28"/>
                <w:szCs w:val="28"/>
                <w:lang w:eastAsia="zh-CN"/>
              </w:rPr>
              <w:t>PT PEMBANGKITAN LISTRIK PINTAR ENERGI</w:t>
            </w:r>
          </w:p>
          <w:p w14:paraId="04802AA2">
            <w:pPr>
              <w:ind w:firstLine="560"/>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 xml:space="preserve"> </w:t>
            </w:r>
            <w:r>
              <w:rPr>
                <w:rFonts w:hint="eastAsia" w:ascii="Times New Roman" w:hAnsi="Times New Roman" w:eastAsia="黑体" w:cs="Times New Roman"/>
                <w:sz w:val="28"/>
                <w:szCs w:val="28"/>
                <w:lang w:eastAsia="zh-CN"/>
              </w:rPr>
              <w:t>2025-2027</w:t>
            </w:r>
            <w:r>
              <w:rPr>
                <w:rFonts w:hint="eastAsia" w:ascii="Times New Roman" w:hAnsi="Times New Roman" w:eastAsia="黑体" w:cs="Times New Roman"/>
                <w:sz w:val="28"/>
                <w:szCs w:val="28"/>
              </w:rPr>
              <w:t>年度灰场管理、灰渣、石膏、石子煤</w:t>
            </w:r>
          </w:p>
          <w:p w14:paraId="389F7650">
            <w:pPr>
              <w:ind w:firstLine="560"/>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装卸转运服务</w:t>
            </w:r>
          </w:p>
          <w:p w14:paraId="16C8A504">
            <w:pPr>
              <w:ind w:firstLine="560"/>
              <w:jc w:val="center"/>
              <w:rPr>
                <w:rFonts w:ascii="Times New Roman" w:hAnsi="Times New Roman" w:eastAsia="黑体" w:cs="Times New Roman"/>
                <w:sz w:val="28"/>
                <w:szCs w:val="28"/>
                <w:lang w:eastAsia="zh-CN"/>
              </w:rPr>
            </w:pPr>
            <w:r>
              <w:rPr>
                <w:rFonts w:hint="eastAsia" w:ascii="Times New Roman" w:hAnsi="Times New Roman" w:eastAsia="黑体" w:cs="Times New Roman"/>
                <w:sz w:val="28"/>
                <w:szCs w:val="28"/>
              </w:rPr>
              <w:t xml:space="preserve">Layanan Manajemen Pengelolaan Ash Yard dan Transportasi FABA, Gypsum, Pyrite Tahun </w:t>
            </w:r>
            <w:r>
              <w:rPr>
                <w:rFonts w:hint="eastAsia" w:ascii="Times New Roman" w:hAnsi="Times New Roman" w:eastAsia="黑体" w:cs="Times New Roman"/>
                <w:sz w:val="28"/>
                <w:szCs w:val="28"/>
                <w:lang w:eastAsia="zh-CN"/>
              </w:rPr>
              <w:t>2025-2027</w:t>
            </w:r>
          </w:p>
          <w:p w14:paraId="60DA0FB7">
            <w:pPr>
              <w:ind w:firstLine="560"/>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报价参与函</w:t>
            </w:r>
          </w:p>
          <w:p w14:paraId="675EFE0E">
            <w:pPr>
              <w:ind w:firstLine="560"/>
              <w:jc w:val="center"/>
              <w:rPr>
                <w:rFonts w:ascii="Times New Roman" w:hAnsi="Times New Roman" w:eastAsia="黑体" w:cs="Times New Roman"/>
                <w:sz w:val="32"/>
                <w:szCs w:val="32"/>
              </w:rPr>
            </w:pPr>
            <w:r>
              <w:rPr>
                <w:rFonts w:ascii="Times New Roman" w:hAnsi="Times New Roman" w:cs="Times New Roman"/>
                <w:snapToGrid w:val="0"/>
                <w:sz w:val="28"/>
                <w:szCs w:val="28"/>
              </w:rPr>
              <w:t>Letter of Quotation Participation</w:t>
            </w:r>
          </w:p>
        </w:tc>
      </w:tr>
      <w:tr w14:paraId="2685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14:paraId="19D15D00">
            <w:pPr>
              <w:ind w:firstLine="0" w:firstLineChars="0"/>
              <w:rPr>
                <w:rFonts w:ascii="Times New Roman" w:hAnsi="Times New Roman" w:cs="Times New Roman"/>
                <w:lang w:val="zh-CN" w:bidi="en-US"/>
              </w:rPr>
            </w:pPr>
            <w:r>
              <w:rPr>
                <w:rFonts w:ascii="Times New Roman" w:hAnsi="Times New Roman" w:cs="Times New Roman"/>
                <w:lang w:val="zh-CN" w:bidi="en-US"/>
              </w:rPr>
              <w:t>Bidder</w:t>
            </w:r>
          </w:p>
          <w:p w14:paraId="1E8C131E">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w:t>
            </w:r>
          </w:p>
        </w:tc>
        <w:tc>
          <w:tcPr>
            <w:tcW w:w="5451" w:type="dxa"/>
            <w:tcBorders>
              <w:top w:val="single" w:color="auto" w:sz="4" w:space="0"/>
              <w:left w:val="nil"/>
              <w:bottom w:val="single" w:color="auto" w:sz="4" w:space="0"/>
              <w:right w:val="single" w:color="auto" w:sz="4" w:space="0"/>
            </w:tcBorders>
          </w:tcPr>
          <w:p w14:paraId="59E492AE">
            <w:pPr>
              <w:spacing w:after="120"/>
              <w:ind w:firstLine="480"/>
              <w:rPr>
                <w:rFonts w:ascii="Times New Roman" w:hAnsi="Times New Roman" w:cs="Times New Roman"/>
                <w:lang w:val="zh-CN" w:bidi="en-US"/>
              </w:rPr>
            </w:pPr>
          </w:p>
        </w:tc>
      </w:tr>
      <w:tr w14:paraId="6AF98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14:paraId="77577C42">
            <w:pPr>
              <w:ind w:firstLine="0" w:firstLineChars="0"/>
              <w:rPr>
                <w:rFonts w:ascii="Times New Roman" w:hAnsi="Times New Roman" w:cs="Times New Roman"/>
                <w:lang w:val="zh-CN" w:bidi="en-US"/>
              </w:rPr>
            </w:pPr>
            <w:r>
              <w:rPr>
                <w:rFonts w:ascii="Times New Roman" w:hAnsi="Times New Roman" w:cs="Times New Roman"/>
                <w:lang w:val="zh-CN" w:bidi="en-US"/>
              </w:rPr>
              <w:t>Contact person of the Bidder</w:t>
            </w:r>
          </w:p>
          <w:p w14:paraId="031EE9C6">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投标单位联系人</w:t>
            </w:r>
          </w:p>
        </w:tc>
        <w:tc>
          <w:tcPr>
            <w:tcW w:w="5451" w:type="dxa"/>
            <w:tcBorders>
              <w:top w:val="single" w:color="auto" w:sz="4" w:space="0"/>
              <w:left w:val="nil"/>
              <w:bottom w:val="single" w:color="auto" w:sz="4" w:space="0"/>
              <w:right w:val="single" w:color="auto" w:sz="4" w:space="0"/>
            </w:tcBorders>
          </w:tcPr>
          <w:p w14:paraId="1E9AEEDE">
            <w:pPr>
              <w:spacing w:after="120"/>
              <w:ind w:firstLine="480"/>
              <w:rPr>
                <w:rFonts w:ascii="Times New Roman" w:hAnsi="Times New Roman" w:cs="Times New Roman"/>
                <w:lang w:val="zh-CN" w:bidi="en-US"/>
              </w:rPr>
            </w:pPr>
          </w:p>
        </w:tc>
      </w:tr>
      <w:tr w14:paraId="29B43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14:paraId="1A5E4BC1">
            <w:pPr>
              <w:ind w:firstLine="0" w:firstLineChars="0"/>
              <w:rPr>
                <w:rFonts w:ascii="Times New Roman" w:hAnsi="Times New Roman" w:cs="Times New Roman"/>
                <w:lang w:bidi="en-US"/>
              </w:rPr>
            </w:pPr>
            <w:r>
              <w:rPr>
                <w:rFonts w:ascii="Times New Roman" w:hAnsi="Times New Roman" w:cs="Times New Roman"/>
                <w:lang w:bidi="en-US"/>
              </w:rPr>
              <w:t>Contact person’s telephone number of the Bidder</w:t>
            </w:r>
          </w:p>
          <w:p w14:paraId="64899494">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投标单位联系人电话</w:t>
            </w:r>
          </w:p>
        </w:tc>
        <w:tc>
          <w:tcPr>
            <w:tcW w:w="5451" w:type="dxa"/>
            <w:tcBorders>
              <w:top w:val="single" w:color="auto" w:sz="4" w:space="0"/>
              <w:left w:val="nil"/>
              <w:bottom w:val="single" w:color="auto" w:sz="4" w:space="0"/>
              <w:right w:val="single" w:color="auto" w:sz="4" w:space="0"/>
            </w:tcBorders>
          </w:tcPr>
          <w:p w14:paraId="7BFD6BDB">
            <w:pPr>
              <w:spacing w:after="120"/>
              <w:ind w:firstLine="480"/>
              <w:rPr>
                <w:rFonts w:ascii="Times New Roman" w:hAnsi="Times New Roman" w:cs="Times New Roman"/>
                <w:lang w:val="zh-CN" w:bidi="en-US"/>
              </w:rPr>
            </w:pPr>
          </w:p>
        </w:tc>
      </w:tr>
      <w:tr w14:paraId="1293B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14:paraId="33DED789">
            <w:pPr>
              <w:ind w:firstLine="0" w:firstLineChars="0"/>
              <w:rPr>
                <w:rFonts w:ascii="Times New Roman" w:hAnsi="Times New Roman" w:cs="Times New Roman"/>
                <w:lang w:val="zh-CN" w:bidi="en-US"/>
              </w:rPr>
            </w:pPr>
            <w:r>
              <w:rPr>
                <w:rFonts w:ascii="Times New Roman" w:hAnsi="Times New Roman" w:cs="Times New Roman"/>
                <w:lang w:val="zh-CN" w:bidi="en-US"/>
              </w:rPr>
              <w:t>Email of the Bidder</w:t>
            </w:r>
          </w:p>
          <w:p w14:paraId="0C71FBB4">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投标单位邮箱</w:t>
            </w:r>
          </w:p>
        </w:tc>
        <w:tc>
          <w:tcPr>
            <w:tcW w:w="5451" w:type="dxa"/>
            <w:tcBorders>
              <w:top w:val="single" w:color="auto" w:sz="4" w:space="0"/>
              <w:left w:val="nil"/>
              <w:bottom w:val="single" w:color="auto" w:sz="4" w:space="0"/>
              <w:right w:val="single" w:color="auto" w:sz="4" w:space="0"/>
            </w:tcBorders>
          </w:tcPr>
          <w:p w14:paraId="7E5FD9D2">
            <w:pPr>
              <w:spacing w:after="120"/>
              <w:ind w:firstLine="480"/>
              <w:rPr>
                <w:rFonts w:ascii="Times New Roman" w:hAnsi="Times New Roman" w:cs="Times New Roman"/>
                <w:lang w:val="zh-CN" w:bidi="en-US"/>
              </w:rPr>
            </w:pPr>
          </w:p>
        </w:tc>
      </w:tr>
      <w:tr w14:paraId="017B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14:paraId="68A5F393">
            <w:pPr>
              <w:ind w:firstLine="0" w:firstLineChars="0"/>
              <w:rPr>
                <w:rFonts w:ascii="Times New Roman" w:hAnsi="Times New Roman" w:cs="Times New Roman"/>
                <w:lang w:val="zh-CN" w:bidi="en-US"/>
              </w:rPr>
            </w:pPr>
            <w:r>
              <w:rPr>
                <w:rFonts w:ascii="Times New Roman" w:hAnsi="Times New Roman" w:cs="Times New Roman"/>
                <w:lang w:val="zh-CN" w:bidi="en-US"/>
              </w:rPr>
              <w:t>Bank of the Bidder</w:t>
            </w:r>
          </w:p>
          <w:p w14:paraId="48CD0727">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投标单位开户行</w:t>
            </w:r>
          </w:p>
        </w:tc>
        <w:tc>
          <w:tcPr>
            <w:tcW w:w="5451" w:type="dxa"/>
            <w:tcBorders>
              <w:top w:val="single" w:color="auto" w:sz="4" w:space="0"/>
              <w:left w:val="nil"/>
              <w:bottom w:val="single" w:color="auto" w:sz="4" w:space="0"/>
              <w:right w:val="single" w:color="auto" w:sz="4" w:space="0"/>
            </w:tcBorders>
          </w:tcPr>
          <w:p w14:paraId="6F422074">
            <w:pPr>
              <w:spacing w:after="120"/>
              <w:ind w:firstLine="480"/>
              <w:rPr>
                <w:rFonts w:ascii="Times New Roman" w:hAnsi="Times New Roman" w:cs="Times New Roman"/>
                <w:lang w:val="zh-CN" w:bidi="en-US"/>
              </w:rPr>
            </w:pPr>
          </w:p>
        </w:tc>
      </w:tr>
      <w:tr w14:paraId="7A09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14:paraId="5C37E073">
            <w:pPr>
              <w:ind w:firstLine="0" w:firstLineChars="0"/>
              <w:rPr>
                <w:rFonts w:ascii="Times New Roman" w:hAnsi="Times New Roman" w:cs="Times New Roman"/>
                <w:lang w:val="zh-CN" w:bidi="en-US"/>
              </w:rPr>
            </w:pPr>
            <w:r>
              <w:rPr>
                <w:rFonts w:ascii="Times New Roman" w:hAnsi="Times New Roman" w:cs="Times New Roman"/>
                <w:lang w:val="zh-CN" w:bidi="en-US"/>
              </w:rPr>
              <w:t>Swift Code of the Bidder</w:t>
            </w:r>
          </w:p>
          <w:p w14:paraId="06F5633E">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投标单位银行代码</w:t>
            </w:r>
          </w:p>
        </w:tc>
        <w:tc>
          <w:tcPr>
            <w:tcW w:w="5451" w:type="dxa"/>
            <w:tcBorders>
              <w:top w:val="single" w:color="auto" w:sz="4" w:space="0"/>
              <w:left w:val="nil"/>
              <w:bottom w:val="single" w:color="auto" w:sz="4" w:space="0"/>
              <w:right w:val="single" w:color="auto" w:sz="4" w:space="0"/>
            </w:tcBorders>
          </w:tcPr>
          <w:p w14:paraId="142C6171">
            <w:pPr>
              <w:spacing w:after="120"/>
              <w:ind w:firstLine="480"/>
              <w:rPr>
                <w:rFonts w:ascii="Times New Roman" w:hAnsi="Times New Roman" w:cs="Times New Roman"/>
                <w:lang w:val="zh-CN" w:bidi="en-US"/>
              </w:rPr>
            </w:pPr>
          </w:p>
        </w:tc>
      </w:tr>
      <w:tr w14:paraId="11E3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089" w:type="dxa"/>
            <w:tcBorders>
              <w:top w:val="single" w:color="auto" w:sz="4" w:space="0"/>
              <w:left w:val="single" w:color="auto" w:sz="4" w:space="0"/>
              <w:bottom w:val="single" w:color="auto" w:sz="4" w:space="0"/>
              <w:right w:val="single" w:color="auto" w:sz="4" w:space="0"/>
            </w:tcBorders>
            <w:vAlign w:val="center"/>
          </w:tcPr>
          <w:p w14:paraId="1E7426B0">
            <w:pPr>
              <w:ind w:firstLine="0" w:firstLineChars="0"/>
              <w:rPr>
                <w:rFonts w:ascii="Times New Roman" w:hAnsi="Times New Roman" w:cs="Times New Roman"/>
                <w:lang w:val="zh-CN" w:bidi="en-US"/>
              </w:rPr>
            </w:pPr>
            <w:r>
              <w:rPr>
                <w:rFonts w:ascii="Times New Roman" w:hAnsi="Times New Roman" w:cs="Times New Roman"/>
                <w:lang w:val="zh-CN" w:bidi="en-US"/>
              </w:rPr>
              <w:t>Account Name of the Bidder</w:t>
            </w:r>
          </w:p>
          <w:p w14:paraId="3AAD2FE2">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投标单位开户名</w:t>
            </w:r>
          </w:p>
        </w:tc>
        <w:tc>
          <w:tcPr>
            <w:tcW w:w="5451" w:type="dxa"/>
            <w:tcBorders>
              <w:top w:val="single" w:color="auto" w:sz="4" w:space="0"/>
              <w:left w:val="nil"/>
              <w:bottom w:val="single" w:color="auto" w:sz="4" w:space="0"/>
              <w:right w:val="single" w:color="auto" w:sz="4" w:space="0"/>
            </w:tcBorders>
          </w:tcPr>
          <w:p w14:paraId="12361489">
            <w:pPr>
              <w:spacing w:after="120"/>
              <w:ind w:firstLine="480"/>
              <w:rPr>
                <w:rFonts w:ascii="Times New Roman" w:hAnsi="Times New Roman" w:cs="Times New Roman"/>
                <w:lang w:val="zh-CN" w:bidi="en-US"/>
              </w:rPr>
            </w:pPr>
          </w:p>
        </w:tc>
      </w:tr>
      <w:tr w14:paraId="4980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3089" w:type="dxa"/>
            <w:tcBorders>
              <w:top w:val="single" w:color="auto" w:sz="4" w:space="0"/>
              <w:left w:val="single" w:color="auto" w:sz="4" w:space="0"/>
              <w:bottom w:val="single" w:color="auto" w:sz="4" w:space="0"/>
              <w:right w:val="single" w:color="auto" w:sz="4" w:space="0"/>
            </w:tcBorders>
            <w:vAlign w:val="center"/>
          </w:tcPr>
          <w:p w14:paraId="5E75DD6A">
            <w:pPr>
              <w:ind w:firstLine="0" w:firstLineChars="0"/>
              <w:rPr>
                <w:rFonts w:ascii="Times New Roman" w:hAnsi="Times New Roman" w:cs="Times New Roman"/>
                <w:lang w:val="zh-CN" w:bidi="en-US"/>
              </w:rPr>
            </w:pPr>
            <w:r>
              <w:rPr>
                <w:rFonts w:ascii="Times New Roman" w:hAnsi="Times New Roman" w:cs="Times New Roman"/>
                <w:lang w:val="zh-CN" w:bidi="en-US"/>
              </w:rPr>
              <w:t>Account No. of the Bidder</w:t>
            </w:r>
          </w:p>
          <w:p w14:paraId="74E3FF52">
            <w:pPr>
              <w:ind w:firstLine="0" w:firstLineChars="0"/>
              <w:rPr>
                <w:rFonts w:ascii="Times New Roman" w:hAnsi="Times New Roman" w:cs="Times New Roman"/>
                <w:lang w:val="zh-CN" w:bidi="en-US"/>
              </w:rPr>
            </w:pPr>
            <w:r>
              <w:rPr>
                <w:rFonts w:hint="eastAsia" w:ascii="Times New Roman" w:hAnsi="Times New Roman" w:cs="Times New Roman"/>
                <w:lang w:val="zh-CN" w:bidi="en-US"/>
              </w:rPr>
              <w:t>投标单位银行账号</w:t>
            </w:r>
          </w:p>
        </w:tc>
        <w:tc>
          <w:tcPr>
            <w:tcW w:w="5451" w:type="dxa"/>
            <w:tcBorders>
              <w:top w:val="single" w:color="auto" w:sz="4" w:space="0"/>
              <w:left w:val="nil"/>
              <w:bottom w:val="single" w:color="auto" w:sz="4" w:space="0"/>
              <w:right w:val="single" w:color="auto" w:sz="4" w:space="0"/>
            </w:tcBorders>
          </w:tcPr>
          <w:p w14:paraId="31D62266">
            <w:pPr>
              <w:spacing w:after="120"/>
              <w:ind w:firstLine="480"/>
              <w:rPr>
                <w:rFonts w:ascii="Times New Roman" w:hAnsi="Times New Roman" w:cs="Times New Roman"/>
                <w:lang w:val="zh-CN" w:bidi="en-US"/>
              </w:rPr>
            </w:pPr>
          </w:p>
        </w:tc>
      </w:tr>
      <w:tr w14:paraId="1C350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8540" w:type="dxa"/>
            <w:gridSpan w:val="2"/>
            <w:tcBorders>
              <w:top w:val="single" w:color="auto" w:sz="4" w:space="0"/>
              <w:left w:val="single" w:color="auto" w:sz="4" w:space="0"/>
              <w:bottom w:val="single" w:color="auto" w:sz="4" w:space="0"/>
              <w:right w:val="single" w:color="auto" w:sz="4" w:space="0"/>
            </w:tcBorders>
          </w:tcPr>
          <w:p w14:paraId="3D7A09DA">
            <w:pPr>
              <w:spacing w:after="120"/>
              <w:ind w:firstLine="482"/>
              <w:rPr>
                <w:rFonts w:ascii="Times New Roman" w:hAnsi="Times New Roman" w:cs="Times New Roman"/>
                <w:b/>
                <w:bCs/>
                <w:lang w:val="zh-CN" w:bidi="en-US"/>
              </w:rPr>
            </w:pPr>
          </w:p>
          <w:p w14:paraId="4869BB81">
            <w:pPr>
              <w:spacing w:after="120"/>
              <w:ind w:firstLine="482"/>
              <w:jc w:val="center"/>
              <w:rPr>
                <w:rFonts w:ascii="Times New Roman" w:hAnsi="Times New Roman" w:cs="Times New Roman"/>
                <w:szCs w:val="24"/>
                <w:lang w:val="zh-CN" w:bidi="en-US"/>
              </w:rPr>
            </w:pPr>
            <w:r>
              <w:rPr>
                <w:rFonts w:ascii="Times New Roman" w:hAnsi="Times New Roman" w:cs="Times New Roman"/>
                <w:b/>
                <w:bCs/>
                <w:lang w:val="zh-CN" w:bidi="en-US"/>
              </w:rPr>
              <w:t xml:space="preserve">              </w:t>
            </w:r>
            <w:r>
              <w:rPr>
                <w:rFonts w:hint="eastAsia" w:ascii="Times New Roman" w:hAnsi="Times New Roman" w:cs="Times New Roman"/>
                <w:szCs w:val="24"/>
                <w:lang w:val="zh-CN" w:bidi="en-US"/>
              </w:rPr>
              <w:t>投标单位</w:t>
            </w:r>
            <w:r>
              <w:rPr>
                <w:rFonts w:ascii="Times New Roman" w:hAnsi="Times New Roman" w:cs="Times New Roman"/>
                <w:szCs w:val="24"/>
                <w:lang w:bidi="en-US"/>
              </w:rPr>
              <w:t>:</w:t>
            </w:r>
            <w:r>
              <w:rPr>
                <w:rFonts w:hint="eastAsia" w:ascii="Times New Roman" w:hAnsi="Times New Roman" w:cs="Times New Roman"/>
                <w:szCs w:val="24"/>
                <w:lang w:val="zh-CN" w:bidi="en-US"/>
              </w:rPr>
              <w:t>（盖章）</w:t>
            </w:r>
            <w:r>
              <w:rPr>
                <w:rFonts w:ascii="Times New Roman" w:hAnsi="Times New Roman" w:cs="Times New Roman"/>
                <w:b/>
                <w:bCs/>
                <w:lang w:val="zh-CN" w:bidi="en-US"/>
              </w:rPr>
              <w:t xml:space="preserve"> </w:t>
            </w:r>
            <w:r>
              <w:rPr>
                <w:rFonts w:ascii="Times New Roman" w:hAnsi="Times New Roman" w:cs="Times New Roman"/>
                <w:szCs w:val="24"/>
                <w:lang w:val="zh-CN" w:bidi="en-US"/>
              </w:rPr>
              <w:t>Bidder: (seal):</w:t>
            </w:r>
          </w:p>
          <w:p w14:paraId="2646360B">
            <w:pPr>
              <w:spacing w:after="120"/>
              <w:ind w:left="420" w:leftChars="175" w:firstLine="5040" w:firstLineChars="2100"/>
              <w:rPr>
                <w:rFonts w:ascii="Times New Roman" w:hAnsi="Times New Roman" w:cs="Times New Roman"/>
                <w:szCs w:val="24"/>
                <w:lang w:val="zh-CN" w:bidi="en-US"/>
              </w:rPr>
            </w:pPr>
          </w:p>
          <w:p w14:paraId="3F5A1AF1">
            <w:pPr>
              <w:spacing w:after="120"/>
              <w:ind w:firstLine="5520" w:firstLineChars="2300"/>
              <w:rPr>
                <w:rFonts w:ascii="Times New Roman" w:hAnsi="Times New Roman" w:cs="Times New Roman"/>
                <w:b/>
                <w:bCs/>
                <w:sz w:val="32"/>
                <w:szCs w:val="32"/>
                <w:lang w:val="zh-CN" w:bidi="en-US"/>
              </w:rPr>
            </w:pPr>
            <w:r>
              <w:rPr>
                <w:rFonts w:hint="eastAsia" w:ascii="Times New Roman" w:hAnsi="Times New Roman" w:cs="Times New Roman"/>
                <w:szCs w:val="24"/>
                <w:lang w:eastAsia="zh-CN" w:bidi="en-US"/>
              </w:rPr>
              <w:t xml:space="preserve">       </w:t>
            </w:r>
            <w:r>
              <w:rPr>
                <w:rFonts w:hint="eastAsia" w:ascii="Times New Roman" w:hAnsi="Times New Roman" w:cs="Times New Roman"/>
                <w:szCs w:val="24"/>
                <w:lang w:val="zh-CN" w:bidi="en-US"/>
              </w:rPr>
              <w:t>日</w:t>
            </w:r>
            <w:r>
              <w:rPr>
                <w:rFonts w:ascii="Times New Roman" w:hAnsi="Times New Roman" w:cs="Times New Roman"/>
                <w:szCs w:val="24"/>
                <w:lang w:val="zh-CN" w:bidi="en-US"/>
              </w:rPr>
              <w:t xml:space="preserve"> </w:t>
            </w:r>
            <w:r>
              <w:rPr>
                <w:rFonts w:hint="eastAsia" w:ascii="Times New Roman" w:hAnsi="Times New Roman" w:cs="Times New Roman"/>
                <w:szCs w:val="24"/>
                <w:lang w:val="zh-CN" w:bidi="en-US"/>
              </w:rPr>
              <w:t>期</w:t>
            </w:r>
            <w:r>
              <w:rPr>
                <w:rFonts w:ascii="Times New Roman" w:hAnsi="Times New Roman" w:cs="Times New Roman"/>
                <w:szCs w:val="24"/>
                <w:lang w:val="zh-CN" w:bidi="en-US"/>
              </w:rPr>
              <w:t>Date:</w:t>
            </w:r>
          </w:p>
        </w:tc>
      </w:tr>
    </w:tbl>
    <w:p w14:paraId="3E20AD4E">
      <w:pPr>
        <w:ind w:firstLine="0" w:firstLineChars="0"/>
        <w:rPr>
          <w:rFonts w:ascii="Times New Roman" w:hAnsi="Times New Roman" w:cs="Times New Roman"/>
          <w:szCs w:val="21"/>
        </w:rPr>
      </w:pPr>
      <w:r>
        <w:rPr>
          <w:rFonts w:hint="eastAsia" w:ascii="Times New Roman" w:hAnsi="Times New Roman" w:cs="Times New Roman"/>
          <w:szCs w:val="21"/>
        </w:rPr>
        <w:t>Remark：The</w:t>
      </w:r>
      <w:r>
        <w:rPr>
          <w:rFonts w:ascii="Times New Roman" w:hAnsi="Times New Roman" w:cs="Times New Roman"/>
          <w:szCs w:val="21"/>
        </w:rPr>
        <w:t xml:space="preserve"> bank information provided by the</w:t>
      </w:r>
      <w:r>
        <w:rPr>
          <w:rFonts w:ascii="Times New Roman" w:hAnsi="Times New Roman" w:cs="Times New Roman"/>
          <w:szCs w:val="21"/>
          <w:lang w:eastAsia="zh-CN"/>
        </w:rPr>
        <w:t xml:space="preserve"> B</w:t>
      </w:r>
      <w:r>
        <w:rPr>
          <w:rFonts w:ascii="Times New Roman" w:hAnsi="Times New Roman" w:cs="Times New Roman"/>
          <w:szCs w:val="21"/>
        </w:rPr>
        <w:t xml:space="preserve">idder shall be the designated account for refunding the bid security of the </w:t>
      </w:r>
      <w:r>
        <w:rPr>
          <w:rFonts w:ascii="Times New Roman" w:hAnsi="Times New Roman" w:cs="Times New Roman"/>
          <w:szCs w:val="21"/>
          <w:lang w:eastAsia="zh-CN"/>
        </w:rPr>
        <w:t>B</w:t>
      </w:r>
      <w:r>
        <w:rPr>
          <w:rFonts w:ascii="Times New Roman" w:hAnsi="Times New Roman" w:cs="Times New Roman"/>
          <w:szCs w:val="21"/>
        </w:rPr>
        <w:t xml:space="preserve">idder. If the bid security cannot be returned due to incorrect bank information of the </w:t>
      </w:r>
      <w:r>
        <w:rPr>
          <w:rFonts w:ascii="Times New Roman" w:hAnsi="Times New Roman" w:cs="Times New Roman"/>
          <w:szCs w:val="21"/>
          <w:lang w:eastAsia="zh-CN"/>
        </w:rPr>
        <w:t>B</w:t>
      </w:r>
      <w:r>
        <w:rPr>
          <w:rFonts w:ascii="Times New Roman" w:hAnsi="Times New Roman" w:cs="Times New Roman"/>
          <w:szCs w:val="21"/>
        </w:rPr>
        <w:t>idder, the bidder shall be responsible for the relevant responsibilities.</w:t>
      </w:r>
    </w:p>
    <w:p w14:paraId="77182E7D">
      <w:pPr>
        <w:ind w:firstLine="0" w:firstLineChars="0"/>
        <w:rPr>
          <w:lang w:eastAsia="zh-CN"/>
        </w:rPr>
      </w:pPr>
      <w:r>
        <w:rPr>
          <w:rFonts w:hint="eastAsia" w:ascii="Times New Roman" w:hAnsi="Times New Roman" w:cs="Times New Roman"/>
          <w:szCs w:val="21"/>
          <w:lang w:eastAsia="zh-CN"/>
        </w:rPr>
        <w:t>备注：投标单位提供的银行信息为投标单位单位投标保证金退还指定账号。因投标单位银行信息填写错误造成投标保证金无法退还时，相关责任由投标单位负责。</w:t>
      </w:r>
    </w:p>
    <w:p w14:paraId="1697EE9A">
      <w:pPr>
        <w:ind w:firstLine="0" w:firstLineChars="0"/>
        <w:rPr>
          <w:lang w:eastAsia="zh-CN"/>
        </w:rPr>
      </w:pPr>
    </w:p>
    <w:p w14:paraId="63F2EE94">
      <w:pPr>
        <w:widowControl w:val="0"/>
        <w:ind w:firstLine="480"/>
        <w:rPr>
          <w:szCs w:val="24"/>
          <w:lang w:eastAsia="zh-CN"/>
        </w:rPr>
      </w:pPr>
    </w:p>
    <w:p w14:paraId="1BD09933">
      <w:pPr>
        <w:pStyle w:val="5"/>
        <w:ind w:firstLine="0" w:firstLineChars="0"/>
        <w:rPr>
          <w:szCs w:val="24"/>
          <w:lang w:eastAsia="zh-CN"/>
        </w:rPr>
      </w:pPr>
    </w:p>
    <w:p w14:paraId="60F18F4F">
      <w:pPr>
        <w:spacing w:before="120"/>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ind w:firstLine="480"/>
      </w:pPr>
      <w:r>
        <w:separator/>
      </w:r>
    </w:p>
  </w:footnote>
  <w:footnote w:type="continuationSeparator" w:id="1">
    <w:p>
      <w:pPr>
        <w:spacing w:before="0" w:after="0"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1410F"/>
    <w:multiLevelType w:val="multilevel"/>
    <w:tmpl w:val="3D81410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45155"/>
    <w:rsid w:val="2B8451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adjustRightInd w:val="0"/>
      <w:snapToGrid w:val="0"/>
      <w:spacing w:after="160" w:line="440" w:lineRule="exact"/>
      <w:ind w:firstLine="200" w:firstLineChars="200"/>
    </w:pPr>
    <w:rPr>
      <w:rFonts w:ascii="宋体" w:hAnsi="宋体" w:eastAsia="宋体" w:cs="宋体"/>
      <w:sz w:val="24"/>
      <w:szCs w:val="22"/>
      <w:lang w:val="en-US" w:eastAsia="en-US" w:bidi="ar-SA"/>
    </w:rPr>
  </w:style>
  <w:style w:type="paragraph" w:styleId="2">
    <w:name w:val="heading 2"/>
    <w:basedOn w:val="1"/>
    <w:next w:val="3"/>
    <w:qFormat/>
    <w:uiPriority w:val="0"/>
    <w:pPr>
      <w:keepNext/>
      <w:keepLines/>
      <w:spacing w:beforeLines="50" w:line="360" w:lineRule="auto"/>
      <w:ind w:firstLine="0" w:firstLineChars="0"/>
      <w:outlineLvl w:val="1"/>
    </w:pPr>
    <w:rPr>
      <w:rFonts w:ascii="Arial" w:hAnsi="Arial" w:eastAsia="黑体" w:cs="Times New Roman"/>
      <w:bCs/>
      <w:kern w:val="2"/>
      <w:sz w:val="28"/>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spacing w:line="312" w:lineRule="atLeast"/>
      <w:ind w:firstLine="420"/>
      <w:jc w:val="both"/>
      <w:textAlignment w:val="baseline"/>
    </w:pPr>
    <w:rPr>
      <w:rFonts w:asciiTheme="minorHAnsi" w:hAnsiTheme="minorHAnsi" w:eastAsiaTheme="minorEastAsia" w:cstheme="minorBidi"/>
      <w:sz w:val="21"/>
    </w:rPr>
  </w:style>
  <w:style w:type="paragraph" w:styleId="4">
    <w:name w:val="Body Text Indent"/>
    <w:basedOn w:val="1"/>
    <w:next w:val="1"/>
    <w:qFormat/>
    <w:uiPriority w:val="0"/>
    <w:pPr>
      <w:tabs>
        <w:tab w:val="left" w:pos="0"/>
      </w:tabs>
      <w:ind w:firstLine="420"/>
      <w:jc w:val="both"/>
    </w:pPr>
    <w:rPr>
      <w:rFonts w:hAnsiTheme="minorHAnsi" w:eastAsiaTheme="minorEastAsia" w:cstheme="minorBidi"/>
      <w:kern w:val="2"/>
      <w:sz w:val="21"/>
    </w:rPr>
  </w:style>
  <w:style w:type="paragraph" w:styleId="5">
    <w:name w:val="Body Text First Indent 2"/>
    <w:basedOn w:val="4"/>
    <w:next w:val="1"/>
    <w:qFormat/>
    <w:uiPriority w:val="0"/>
    <w:pPr>
      <w:spacing w:after="120" w:line="520" w:lineRule="exact"/>
      <w:ind w:firstLine="210"/>
      <w:textAlignment w:val="baseline"/>
    </w:pPr>
    <w:rPr>
      <w:rFonts w:ascii="黑体" w:hAnsi="Arial" w:eastAsia="黑体" w:cs="Arial"/>
      <w:sz w:val="24"/>
      <w:szCs w:val="30"/>
    </w:rPr>
  </w:style>
  <w:style w:type="character" w:styleId="8">
    <w:name w:val="Hyperlink"/>
    <w:qFormat/>
    <w:uiPriority w:val="99"/>
    <w:rPr>
      <w:rFonts w:cs="Times New Roman"/>
      <w:color w:val="0000FF"/>
      <w:u w:val="single"/>
    </w:rPr>
  </w:style>
  <w:style w:type="paragraph" w:customStyle="1" w:styleId="9">
    <w:name w:val="List Paragraph1"/>
    <w:basedOn w:val="1"/>
    <w:qFormat/>
    <w:uiPriority w:val="34"/>
  </w:style>
  <w:style w:type="character" w:customStyle="1" w:styleId="10">
    <w:name w:val="15"/>
    <w:qFormat/>
    <w:uiPriority w:val="0"/>
    <w:rPr>
      <w:rFonts w:hint="eastAsia" w:ascii="宋体" w:hAnsi="宋体" w:eastAsia="宋体"/>
      <w:color w:val="000000"/>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2025-05-28T02:43:00Z</dcterms:created>
  <dc:creator>张楚豪</dc:creator>
  <cp:lastModifiedBy>张楚豪</cp:lastModifiedBy>
  <dcterms:modified xsi:type="dcterms:W3CDTF">2025-05-28T02:44:20Z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8A93EA5EDE5A477897859068232BDAF3_11</vt:lpwstr>
  </property>
  <property fmtid="{D5CDD505-2E9C-101B-9397-08002B2CF9AE}" pid="4" name="KSOTemplateDocerSaveRecord">
    <vt:lpwstr>eyJoZGlkIjoiODkzZTgwNzQ0NzRhMTk1OTg1N2NjZjlmYzdmNTQyYzgiLCJ1c2VySWQiOiI3MDk0NTE2MjAifQ==</vt:lpwstr>
  </property>
</Properties>
</file>