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tabs>
          <w:tab w:val="left" w:pos="2560"/>
        </w:tabs>
        <w:jc w:val="center"/>
        <w:rPr>
          <w:rFonts w:ascii="Times New Roman" w:eastAsia="仿宋"/>
          <w:b/>
          <w:sz w:val="28"/>
          <w:szCs w:val="28"/>
        </w:rPr>
      </w:pPr>
      <w:bookmarkStart w:id="0" w:name="OLE_LINK1"/>
      <w:r>
        <w:rPr>
          <w:rFonts w:hint="eastAsia" w:ascii="Times New Roman" w:eastAsia="仿宋"/>
          <w:b/>
          <w:sz w:val="28"/>
          <w:szCs w:val="28"/>
        </w:rPr>
        <w:t>印尼玻雅分公司使用HBAP备件补充采购询比文件</w:t>
      </w:r>
    </w:p>
    <w:bookmarkEnd w:id="0"/>
    <w:p>
      <w:pPr>
        <w:tabs>
          <w:tab w:val="left" w:pos="2560"/>
        </w:tabs>
        <w:jc w:val="center"/>
        <w:rPr>
          <w:rFonts w:ascii="Times New Roman" w:eastAsia="仿宋"/>
          <w:b/>
          <w:sz w:val="28"/>
          <w:szCs w:val="28"/>
        </w:rPr>
      </w:pPr>
      <w:r>
        <w:rPr>
          <w:rFonts w:hint="eastAsia" w:ascii="Times New Roman" w:eastAsia="仿宋"/>
          <w:b/>
          <w:sz w:val="28"/>
          <w:szCs w:val="28"/>
        </w:rPr>
        <w:t xml:space="preserve">Dokumen permintaan </w:t>
      </w:r>
      <w:r>
        <w:rPr>
          <w:rFonts w:ascii="Times New Roman" w:eastAsia="仿宋"/>
          <w:b/>
          <w:sz w:val="28"/>
          <w:szCs w:val="28"/>
        </w:rPr>
        <w:t xml:space="preserve">penawaran tambahan </w:t>
      </w:r>
      <w:r>
        <w:rPr>
          <w:rFonts w:hint="eastAsia" w:ascii="Times New Roman" w:eastAsia="仿宋"/>
          <w:b/>
          <w:sz w:val="28"/>
          <w:szCs w:val="28"/>
        </w:rPr>
        <w:t xml:space="preserve">pengadaan suku cadang </w:t>
      </w:r>
      <w:r>
        <w:rPr>
          <w:rFonts w:ascii="Times New Roman" w:eastAsia="仿宋"/>
          <w:b/>
          <w:sz w:val="28"/>
          <w:szCs w:val="28"/>
        </w:rPr>
        <w:t xml:space="preserve">HBAP </w:t>
      </w:r>
    </w:p>
    <w:p>
      <w:pPr>
        <w:tabs>
          <w:tab w:val="left" w:pos="2560"/>
        </w:tabs>
        <w:jc w:val="center"/>
        <w:rPr>
          <w:rFonts w:ascii="Times New Roman" w:eastAsia="仿宋"/>
          <w:b/>
          <w:sz w:val="28"/>
          <w:szCs w:val="28"/>
        </w:rPr>
      </w:pPr>
      <w:r>
        <w:rPr>
          <w:rFonts w:ascii="Times New Roman" w:eastAsia="仿宋"/>
          <w:b/>
          <w:sz w:val="28"/>
          <w:szCs w:val="28"/>
        </w:rPr>
        <w:t xml:space="preserve">PT CHD POWER PLANT OPERATION INDONESIA MUARA ENIM BRANCH </w:t>
      </w:r>
    </w:p>
    <w:p>
      <w:pPr>
        <w:rPr>
          <w:rFonts w:ascii="Times New Roman" w:eastAsia="仿宋"/>
          <w:bCs/>
          <w:sz w:val="24"/>
          <w:szCs w:val="24"/>
        </w:rPr>
      </w:pPr>
    </w:p>
    <w:p>
      <w:pPr>
        <w:spacing w:line="360" w:lineRule="auto"/>
        <w:rPr>
          <w:rFonts w:ascii="Times New Roman" w:eastAsia="仿宋"/>
          <w:bCs/>
          <w:sz w:val="24"/>
          <w:szCs w:val="24"/>
        </w:rPr>
      </w:pPr>
      <w:r>
        <w:rPr>
          <w:rFonts w:ascii="Times New Roman" w:eastAsia="仿宋"/>
          <w:bCs/>
          <w:sz w:val="24"/>
          <w:szCs w:val="24"/>
        </w:rPr>
        <w:t>一、资格条件</w:t>
      </w:r>
      <w:r>
        <w:rPr>
          <w:rFonts w:ascii="Times New Roman" w:eastAsia="仿宋"/>
          <w:sz w:val="24"/>
          <w:szCs w:val="24"/>
        </w:rPr>
        <w:t>Kualifikasi</w:t>
      </w:r>
      <w:r>
        <w:rPr>
          <w:rFonts w:ascii="Times New Roman" w:eastAsia="仿宋"/>
          <w:bCs/>
          <w:sz w:val="24"/>
          <w:szCs w:val="24"/>
        </w:rPr>
        <w:t>：</w:t>
      </w:r>
    </w:p>
    <w:p>
      <w:pPr>
        <w:widowControl/>
        <w:tabs>
          <w:tab w:val="left" w:pos="567"/>
        </w:tabs>
        <w:spacing w:line="360" w:lineRule="auto"/>
        <w:ind w:left="426" w:firstLine="52" w:firstLineChars="22"/>
        <w:rPr>
          <w:rFonts w:ascii="Times New Roman" w:eastAsia="仿宋"/>
          <w:bCs/>
          <w:sz w:val="24"/>
          <w:szCs w:val="24"/>
        </w:rPr>
      </w:pPr>
      <w:r>
        <w:rPr>
          <w:rFonts w:hint="eastAsia" w:ascii="Times New Roman" w:eastAsia="仿宋"/>
          <w:bCs/>
          <w:sz w:val="24"/>
          <w:szCs w:val="24"/>
        </w:rPr>
        <w:t>1、</w:t>
      </w:r>
      <w:r>
        <w:rPr>
          <w:rFonts w:ascii="Times New Roman" w:eastAsia="仿宋"/>
          <w:bCs/>
          <w:sz w:val="24"/>
          <w:szCs w:val="24"/>
        </w:rPr>
        <w:t>供应商是印度尼西亚注册公司, 具有独立的法人资格，持有有效营业执照，能够独立承担民事责任。</w:t>
      </w:r>
    </w:p>
    <w:p>
      <w:pPr>
        <w:pStyle w:val="6"/>
        <w:tabs>
          <w:tab w:val="left" w:pos="567"/>
        </w:tabs>
        <w:spacing w:line="360" w:lineRule="auto"/>
        <w:ind w:left="426" w:firstLine="52" w:firstLineChars="22"/>
        <w:rPr>
          <w:rFonts w:ascii="Times New Roman" w:eastAsia="仿宋"/>
          <w:sz w:val="24"/>
          <w:szCs w:val="24"/>
        </w:rPr>
      </w:pPr>
      <w:r>
        <w:rPr>
          <w:rFonts w:ascii="Times New Roman" w:eastAsia="仿宋"/>
          <w:sz w:val="24"/>
          <w:szCs w:val="24"/>
        </w:rPr>
        <w:t>Penawar adalah perusahaan terdaftar di Indonesia, memiliki badan hukum independen, memiliki izin usaha yang sah, dapat menanggung tanggung jawab perdata secara mandiri, dan dapat menandatangani kontrak secara mandiri</w:t>
      </w:r>
    </w:p>
    <w:p>
      <w:pPr>
        <w:numPr>
          <w:ilvl w:val="0"/>
          <w:numId w:val="2"/>
        </w:numPr>
        <w:spacing w:line="360" w:lineRule="auto"/>
        <w:rPr>
          <w:rFonts w:ascii="Times New Roman" w:eastAsia="仿宋"/>
          <w:bCs/>
          <w:sz w:val="24"/>
          <w:szCs w:val="24"/>
        </w:rPr>
      </w:pPr>
      <w:r>
        <w:rPr>
          <w:rFonts w:ascii="Times New Roman" w:eastAsia="仿宋"/>
          <w:bCs/>
          <w:sz w:val="24"/>
          <w:szCs w:val="24"/>
        </w:rPr>
        <w:t xml:space="preserve">技术要求 </w:t>
      </w:r>
    </w:p>
    <w:p>
      <w:pPr>
        <w:spacing w:line="360" w:lineRule="auto"/>
        <w:rPr>
          <w:rFonts w:ascii="Times New Roman" w:eastAsia="仿宋"/>
          <w:bCs/>
          <w:sz w:val="24"/>
          <w:szCs w:val="24"/>
        </w:rPr>
      </w:pPr>
      <w:r>
        <w:rPr>
          <w:rFonts w:ascii="Times New Roman" w:eastAsia="仿宋"/>
          <w:bCs/>
          <w:sz w:val="24"/>
          <w:szCs w:val="24"/>
        </w:rPr>
        <w:t>二、Persyaratan Teknis：</w:t>
      </w:r>
    </w:p>
    <w:p>
      <w:pPr>
        <w:pStyle w:val="2"/>
        <w:spacing w:line="360" w:lineRule="auto"/>
        <w:ind w:left="426" w:leftChars="0" w:firstLine="0" w:firstLineChars="0"/>
        <w:rPr>
          <w:rFonts w:ascii="Times New Roman" w:hAnsi="Times New Roman" w:eastAsia="仿宋"/>
          <w:sz w:val="24"/>
          <w:szCs w:val="24"/>
        </w:rPr>
      </w:pPr>
      <w:bookmarkStart w:id="1" w:name="OLE_LINK2"/>
      <w:r>
        <w:rPr>
          <w:rFonts w:ascii="Times New Roman" w:hAnsi="Times New Roman" w:eastAsia="仿宋"/>
          <w:sz w:val="24"/>
          <w:szCs w:val="24"/>
        </w:rPr>
        <w:t>供应商</w:t>
      </w:r>
      <w:bookmarkEnd w:id="1"/>
      <w:r>
        <w:rPr>
          <w:rFonts w:hint="eastAsia" w:ascii="Times New Roman" w:hAnsi="Times New Roman" w:eastAsia="仿宋"/>
          <w:sz w:val="24"/>
          <w:szCs w:val="24"/>
        </w:rPr>
        <w:t>所供物资要满足采购清单的要求且是全新的正品</w:t>
      </w:r>
      <w:r>
        <w:rPr>
          <w:rFonts w:ascii="Times New Roman" w:hAnsi="Times New Roman" w:eastAsia="仿宋"/>
          <w:sz w:val="24"/>
          <w:szCs w:val="24"/>
        </w:rPr>
        <w:t>。不满足要求不予验收。</w:t>
      </w:r>
      <w:r>
        <w:rPr>
          <w:rFonts w:hint="eastAsia" w:ascii="Times New Roman" w:hAnsi="Times New Roman" w:eastAsia="仿宋"/>
          <w:sz w:val="24"/>
          <w:szCs w:val="24"/>
        </w:rPr>
        <w:t>备注供货周期。</w:t>
      </w:r>
    </w:p>
    <w:p>
      <w:pPr>
        <w:pStyle w:val="2"/>
        <w:spacing w:line="360" w:lineRule="auto"/>
        <w:ind w:left="426" w:leftChars="0" w:hanging="142" w:firstLineChars="0"/>
        <w:rPr>
          <w:rFonts w:ascii="Times New Roman" w:hAnsi="Times New Roman" w:eastAsia="仿宋"/>
          <w:bCs/>
          <w:iCs/>
          <w:sz w:val="24"/>
          <w:szCs w:val="24"/>
          <w:lang w:val="id-ID"/>
        </w:rPr>
      </w:pPr>
      <w:r>
        <w:rPr>
          <w:rFonts w:ascii="Times New Roman" w:hAnsi="Times New Roman" w:eastAsia="仿宋"/>
          <w:bCs/>
          <w:iCs/>
          <w:sz w:val="24"/>
          <w:szCs w:val="24"/>
        </w:rPr>
        <w:t xml:space="preserve"> </w:t>
      </w:r>
      <w:r>
        <w:rPr>
          <w:rFonts w:hint="eastAsia" w:ascii="Times New Roman" w:hAnsi="Times New Roman" w:eastAsia="仿宋"/>
          <w:bCs/>
          <w:iCs/>
          <w:sz w:val="24"/>
          <w:szCs w:val="24"/>
        </w:rPr>
        <w:t>Bahan yang disediakan oleh pemasok harus memenuhi persyaratan daftar pembelian dan merupakan bahan baru dan asli. Kegagalan untuk memenuhi persyaratan tidak akan diterima. Perhatikan jangka waktu pengiriman.</w:t>
      </w:r>
    </w:p>
    <w:p>
      <w:pPr>
        <w:numPr>
          <w:ilvl w:val="0"/>
          <w:numId w:val="2"/>
        </w:numPr>
        <w:spacing w:line="360" w:lineRule="auto"/>
        <w:rPr>
          <w:rFonts w:ascii="Times New Roman" w:eastAsia="仿宋"/>
          <w:bCs/>
          <w:sz w:val="24"/>
          <w:szCs w:val="24"/>
        </w:rPr>
      </w:pPr>
      <w:r>
        <w:rPr>
          <w:rFonts w:ascii="Times New Roman" w:eastAsia="仿宋"/>
          <w:bCs/>
          <w:sz w:val="24"/>
          <w:szCs w:val="24"/>
        </w:rPr>
        <w:t xml:space="preserve">其他要求 </w:t>
      </w:r>
    </w:p>
    <w:p>
      <w:pPr>
        <w:spacing w:line="360" w:lineRule="auto"/>
        <w:rPr>
          <w:rFonts w:ascii="Times New Roman" w:eastAsia="仿宋"/>
          <w:bCs/>
          <w:sz w:val="24"/>
          <w:szCs w:val="24"/>
        </w:rPr>
      </w:pPr>
      <w:r>
        <w:rPr>
          <w:rFonts w:ascii="Times New Roman" w:eastAsia="仿宋"/>
          <w:bCs/>
          <w:sz w:val="24"/>
          <w:szCs w:val="24"/>
        </w:rPr>
        <w:t>三、Persyaratan Lain：</w:t>
      </w:r>
    </w:p>
    <w:p>
      <w:pPr>
        <w:tabs>
          <w:tab w:val="left" w:pos="851"/>
        </w:tabs>
        <w:spacing w:line="360" w:lineRule="auto"/>
        <w:ind w:left="851" w:hanging="425"/>
        <w:rPr>
          <w:rFonts w:ascii="Times New Roman" w:eastAsia="仿宋"/>
          <w:bCs/>
          <w:sz w:val="24"/>
          <w:szCs w:val="24"/>
        </w:rPr>
      </w:pPr>
      <w:r>
        <w:rPr>
          <w:rFonts w:ascii="Times New Roman" w:eastAsia="仿宋"/>
          <w:bCs/>
          <w:sz w:val="24"/>
          <w:szCs w:val="24"/>
        </w:rPr>
        <w:t>1、报价要求：分别报出单价，以及总价格，总价包括但不限于与执行本合同有关的所有费用，如产品价格、运输费用、装卸费、退货运费、增值税、利润等。</w:t>
      </w:r>
    </w:p>
    <w:p>
      <w:pPr>
        <w:pStyle w:val="6"/>
        <w:tabs>
          <w:tab w:val="left" w:pos="851"/>
        </w:tabs>
        <w:spacing w:line="360" w:lineRule="auto"/>
        <w:ind w:left="851" w:hanging="425" w:firstLineChars="0"/>
        <w:rPr>
          <w:rFonts w:ascii="Times New Roman"/>
          <w:sz w:val="24"/>
          <w:szCs w:val="24"/>
        </w:rPr>
      </w:pPr>
      <w:r>
        <w:rPr>
          <w:rFonts w:ascii="Times New Roman" w:eastAsia="仿宋"/>
          <w:sz w:val="24"/>
          <w:szCs w:val="24"/>
        </w:rPr>
        <w:t xml:space="preserve">1、Persyaratan Penawaran: Kutipan didasarkan pada daftar persediaan dan harga satuan dikutip secara terpisah, termasuk namun tidak terbatas pada semua biaya yang terkait dengan pelaksanaan kontrak ini, seperti harga produk, biaya transportasi, biaya bongkar muat, biaya pengiriman kembali , pajak pertambahan nilai, bea cukai, dan lain-lain. </w:t>
      </w:r>
    </w:p>
    <w:p>
      <w:pPr>
        <w:spacing w:line="360" w:lineRule="auto"/>
        <w:rPr>
          <w:rFonts w:ascii="Times New Roman" w:eastAsia="仿宋"/>
          <w:bCs/>
          <w:sz w:val="24"/>
          <w:szCs w:val="24"/>
        </w:rPr>
      </w:pPr>
      <w:r>
        <w:rPr>
          <w:rFonts w:ascii="Times New Roman" w:eastAsia="仿宋"/>
          <w:b/>
          <w:sz w:val="24"/>
          <w:szCs w:val="24"/>
        </w:rPr>
        <w:t xml:space="preserve"> </w:t>
      </w:r>
      <w:r>
        <w:rPr>
          <w:rFonts w:ascii="Times New Roman" w:eastAsia="仿宋"/>
          <w:bCs/>
          <w:sz w:val="24"/>
          <w:szCs w:val="24"/>
        </w:rPr>
        <w:t>2. 本合同为固定总价合同。</w:t>
      </w:r>
      <w:r>
        <w:rPr>
          <w:rFonts w:hint="eastAsia" w:ascii="Times New Roman" w:eastAsia="仿宋"/>
          <w:bCs/>
          <w:sz w:val="24"/>
          <w:szCs w:val="24"/>
        </w:rPr>
        <w:t>所有税率按适用税率执行，如遇国家税率调整，不含税总价不变，税率、税费按新的规定执行。</w:t>
      </w:r>
    </w:p>
    <w:p>
      <w:pPr>
        <w:pStyle w:val="6"/>
        <w:spacing w:line="360" w:lineRule="auto"/>
        <w:ind w:firstLine="0" w:firstLineChars="0"/>
        <w:rPr>
          <w:rFonts w:ascii="Times New Roman" w:eastAsia="仿宋"/>
          <w:sz w:val="24"/>
          <w:szCs w:val="24"/>
        </w:rPr>
      </w:pPr>
      <w:r>
        <w:rPr>
          <w:rFonts w:ascii="Times New Roman" w:eastAsia="仿宋"/>
          <w:sz w:val="24"/>
          <w:szCs w:val="24"/>
        </w:rPr>
        <w:t xml:space="preserve"> 2、Kontrak ini merupakan kontrak harga total tetap.</w:t>
      </w:r>
      <w:r>
        <w:rPr>
          <w:rFonts w:hint="eastAsia" w:ascii="Times New Roman" w:eastAsia="仿宋"/>
          <w:sz w:val="24"/>
          <w:szCs w:val="24"/>
        </w:rPr>
        <w:t>Jika tarif pajak nasional disesuaikan, total harga tidak termasuk pajak tidak akan berubah, dan tarif pajak serta pajak akan diterapkan sesuai dengan peraturan baru.</w:t>
      </w:r>
    </w:p>
    <w:p>
      <w:pPr>
        <w:spacing w:line="360" w:lineRule="auto"/>
        <w:ind w:left="426" w:hanging="426"/>
        <w:rPr>
          <w:rFonts w:ascii="Times New Roman" w:eastAsia="仿宋"/>
          <w:bCs/>
          <w:sz w:val="24"/>
          <w:szCs w:val="24"/>
        </w:rPr>
      </w:pPr>
      <w:r>
        <w:rPr>
          <w:rFonts w:ascii="Times New Roman" w:eastAsia="仿宋"/>
          <w:bCs/>
          <w:sz w:val="24"/>
          <w:szCs w:val="24"/>
        </w:rPr>
        <w:t xml:space="preserve"> 3. 付款方式：</w:t>
      </w:r>
      <w:r>
        <w:rPr>
          <w:rFonts w:hint="eastAsia" w:ascii="Times New Roman" w:eastAsia="仿宋"/>
          <w:bCs/>
          <w:sz w:val="24"/>
          <w:szCs w:val="24"/>
        </w:rPr>
        <w:t>按批次付款，每批次到货后服务方开具本批次合法合规正确的发票和税票，收货方收到发票税票后30天内支付本批次发票金额的100%</w:t>
      </w:r>
      <w:r>
        <w:rPr>
          <w:rFonts w:ascii="Times New Roman" w:eastAsia="仿宋"/>
          <w:bCs/>
          <w:sz w:val="24"/>
          <w:szCs w:val="24"/>
        </w:rPr>
        <w:t>。</w:t>
      </w:r>
    </w:p>
    <w:p>
      <w:pPr>
        <w:pStyle w:val="6"/>
        <w:spacing w:line="360" w:lineRule="auto"/>
        <w:ind w:left="426" w:hanging="426" w:firstLineChars="0"/>
        <w:rPr>
          <w:rFonts w:ascii="Times New Roman" w:eastAsia="仿宋"/>
          <w:sz w:val="24"/>
          <w:szCs w:val="24"/>
        </w:rPr>
      </w:pPr>
      <w:r>
        <w:rPr>
          <w:rFonts w:ascii="Times New Roman" w:eastAsia="仿宋"/>
          <w:sz w:val="24"/>
          <w:szCs w:val="24"/>
        </w:rPr>
        <w:t xml:space="preserve"> 3、Metode pembayaran: </w:t>
      </w:r>
      <w:r>
        <w:rPr>
          <w:rFonts w:hint="eastAsia" w:ascii="Times New Roman" w:eastAsia="仿宋"/>
          <w:sz w:val="24"/>
          <w:szCs w:val="24"/>
        </w:rPr>
        <w:t>Pembayaran dilakukan secara batch. Setelah setiap batch tiba, penyedia layanan menerbitkan faktur dan stempel pajak yang sah, sesuai dan benar untuk batch tersebut. Penerima barang membayar 100% dari jumlah faktur batch ini dalam waktu 30 hari setelah menerima faktur dan stempel pajak.</w:t>
      </w:r>
    </w:p>
    <w:p>
      <w:pPr>
        <w:spacing w:line="360" w:lineRule="auto"/>
        <w:ind w:left="426" w:hanging="426"/>
        <w:rPr>
          <w:rFonts w:ascii="Times New Roman" w:eastAsia="仿宋"/>
          <w:sz w:val="24"/>
          <w:szCs w:val="24"/>
        </w:rPr>
      </w:pPr>
      <w:r>
        <w:rPr>
          <w:rFonts w:ascii="Times New Roman" w:eastAsia="仿宋"/>
          <w:sz w:val="24"/>
          <w:szCs w:val="24"/>
        </w:rPr>
        <w:t xml:space="preserve"> 4.评审方式：经评审的最低价法。</w:t>
      </w:r>
    </w:p>
    <w:p>
      <w:pPr>
        <w:spacing w:line="360" w:lineRule="auto"/>
        <w:ind w:left="426" w:hanging="426"/>
        <w:rPr>
          <w:rFonts w:ascii="Times New Roman"/>
          <w:sz w:val="24"/>
          <w:szCs w:val="24"/>
        </w:rPr>
      </w:pPr>
      <w:r>
        <w:rPr>
          <w:rFonts w:ascii="Times New Roman"/>
          <w:sz w:val="24"/>
          <w:szCs w:val="24"/>
        </w:rPr>
        <w:t xml:space="preserve"> 4、</w:t>
      </w:r>
      <w:r>
        <w:rPr>
          <w:rFonts w:ascii="Times New Roman" w:eastAsia="仿宋"/>
          <w:sz w:val="24"/>
          <w:szCs w:val="24"/>
        </w:rPr>
        <w:t>Metode evaluasi: metode harga terendah setelah evaluasi.</w:t>
      </w:r>
    </w:p>
    <w:p>
      <w:pPr>
        <w:spacing w:line="360" w:lineRule="auto"/>
        <w:ind w:left="426" w:hanging="426"/>
        <w:rPr>
          <w:rFonts w:ascii="Times New Roman" w:eastAsia="仿宋"/>
          <w:bCs/>
          <w:sz w:val="24"/>
          <w:szCs w:val="24"/>
        </w:rPr>
      </w:pPr>
      <w:r>
        <w:rPr>
          <w:rFonts w:ascii="Times New Roman" w:eastAsia="仿宋"/>
          <w:bCs/>
          <w:sz w:val="24"/>
          <w:szCs w:val="24"/>
        </w:rPr>
        <w:t xml:space="preserve"> 5. 报价截止时间202</w:t>
      </w:r>
      <w:r>
        <w:rPr>
          <w:rFonts w:hint="eastAsia" w:ascii="Times New Roman" w:eastAsia="仿宋"/>
          <w:bCs/>
          <w:sz w:val="24"/>
          <w:szCs w:val="24"/>
        </w:rPr>
        <w:t>5</w:t>
      </w:r>
      <w:r>
        <w:rPr>
          <w:rFonts w:ascii="Times New Roman" w:eastAsia="仿宋"/>
          <w:bCs/>
          <w:sz w:val="24"/>
          <w:szCs w:val="24"/>
        </w:rPr>
        <w:t>年</w:t>
      </w:r>
      <w:r>
        <w:rPr>
          <w:rFonts w:hint="eastAsia" w:ascii="Times New Roman" w:eastAsia="仿宋"/>
          <w:bCs/>
          <w:sz w:val="24"/>
          <w:szCs w:val="24"/>
        </w:rPr>
        <w:t>8</w:t>
      </w:r>
      <w:r>
        <w:rPr>
          <w:rFonts w:ascii="Times New Roman" w:eastAsia="仿宋"/>
          <w:bCs/>
          <w:sz w:val="24"/>
          <w:szCs w:val="24"/>
        </w:rPr>
        <w:t>月</w:t>
      </w:r>
      <w:r>
        <w:rPr>
          <w:rFonts w:hint="eastAsia" w:ascii="Times New Roman" w:eastAsia="仿宋"/>
          <w:bCs/>
          <w:sz w:val="24"/>
          <w:szCs w:val="24"/>
          <w:lang w:val="en-US" w:eastAsia="zh-CN"/>
        </w:rPr>
        <w:t>20</w:t>
      </w:r>
      <w:r>
        <w:rPr>
          <w:rFonts w:ascii="Times New Roman" w:eastAsia="仿宋"/>
          <w:bCs/>
          <w:sz w:val="24"/>
          <w:szCs w:val="24"/>
        </w:rPr>
        <w:t>日雅加达时间1</w:t>
      </w:r>
      <w:r>
        <w:rPr>
          <w:rFonts w:hint="eastAsia" w:ascii="Times New Roman" w:eastAsia="仿宋"/>
          <w:bCs/>
          <w:sz w:val="24"/>
          <w:szCs w:val="24"/>
        </w:rPr>
        <w:t>7</w:t>
      </w:r>
      <w:r>
        <w:rPr>
          <w:rFonts w:ascii="Times New Roman" w:eastAsia="仿宋"/>
          <w:bCs/>
          <w:sz w:val="24"/>
          <w:szCs w:val="24"/>
        </w:rPr>
        <w:t>:00前。</w:t>
      </w:r>
    </w:p>
    <w:p>
      <w:pPr>
        <w:pStyle w:val="6"/>
        <w:spacing w:line="360" w:lineRule="auto"/>
        <w:ind w:left="1802" w:hanging="1802" w:hangingChars="751"/>
        <w:rPr>
          <w:rFonts w:ascii="Times New Roman" w:eastAsia="仿宋"/>
          <w:sz w:val="24"/>
          <w:szCs w:val="24"/>
        </w:rPr>
      </w:pPr>
      <w:r>
        <w:rPr>
          <w:rFonts w:ascii="Times New Roman" w:eastAsia="仿宋"/>
          <w:sz w:val="24"/>
          <w:szCs w:val="24"/>
        </w:rPr>
        <w:t xml:space="preserve"> 5、Penawaran jatuh tempo pada tanggal </w:t>
      </w:r>
      <w:r>
        <w:rPr>
          <w:rFonts w:hint="eastAsia" w:ascii="Times New Roman" w:eastAsia="仿宋"/>
          <w:sz w:val="24"/>
          <w:szCs w:val="24"/>
          <w:lang w:val="en-US" w:eastAsia="zh-CN"/>
        </w:rPr>
        <w:t>20</w:t>
      </w:r>
      <w:r>
        <w:rPr>
          <w:rFonts w:hint="eastAsia" w:ascii="Times New Roman" w:eastAsia="仿宋"/>
          <w:sz w:val="24"/>
          <w:szCs w:val="24"/>
        </w:rPr>
        <w:t xml:space="preserve"> </w:t>
      </w:r>
      <w:r>
        <w:rPr>
          <w:rFonts w:ascii="Times New Roman" w:eastAsia="仿宋"/>
          <w:sz w:val="24"/>
          <w:szCs w:val="24"/>
        </w:rPr>
        <w:t>Agustus</w:t>
      </w:r>
      <w:r>
        <w:rPr>
          <w:rFonts w:hint="eastAsia" w:ascii="Times New Roman" w:eastAsia="仿宋"/>
          <w:sz w:val="24"/>
          <w:szCs w:val="24"/>
        </w:rPr>
        <w:t xml:space="preserve"> </w:t>
      </w:r>
      <w:r>
        <w:rPr>
          <w:rFonts w:ascii="Times New Roman" w:eastAsia="仿宋"/>
          <w:sz w:val="24"/>
          <w:szCs w:val="24"/>
        </w:rPr>
        <w:t>202</w:t>
      </w:r>
      <w:r>
        <w:rPr>
          <w:rFonts w:hint="eastAsia" w:ascii="Times New Roman" w:eastAsia="仿宋"/>
          <w:sz w:val="24"/>
          <w:szCs w:val="24"/>
        </w:rPr>
        <w:t>5</w:t>
      </w:r>
      <w:r>
        <w:rPr>
          <w:rFonts w:ascii="Times New Roman" w:eastAsia="仿宋"/>
          <w:sz w:val="24"/>
          <w:szCs w:val="24"/>
        </w:rPr>
        <w:t xml:space="preserve"> pukul 1</w:t>
      </w:r>
      <w:r>
        <w:rPr>
          <w:rFonts w:hint="eastAsia" w:ascii="Times New Roman" w:eastAsia="仿宋"/>
          <w:sz w:val="24"/>
          <w:szCs w:val="24"/>
        </w:rPr>
        <w:t>7</w:t>
      </w:r>
      <w:r>
        <w:rPr>
          <w:rFonts w:ascii="Times New Roman" w:eastAsia="仿宋"/>
          <w:sz w:val="24"/>
          <w:szCs w:val="24"/>
        </w:rPr>
        <w:t>:00 waktu Jakarta.</w:t>
      </w:r>
    </w:p>
    <w:p>
      <w:pPr>
        <w:spacing w:line="360" w:lineRule="auto"/>
        <w:ind w:left="426" w:hanging="426"/>
        <w:rPr>
          <w:rFonts w:hint="eastAsia" w:ascii="Times New Roman" w:eastAsia="仿宋"/>
          <w:sz w:val="24"/>
          <w:szCs w:val="24"/>
        </w:rPr>
      </w:pPr>
      <w:r>
        <w:rPr>
          <w:rFonts w:hint="eastAsia" w:ascii="Times New Roman" w:eastAsia="仿宋"/>
          <w:sz w:val="24"/>
          <w:szCs w:val="24"/>
        </w:rPr>
        <w:t xml:space="preserve"> 6.投标文件递交方式：纸版密封或发送到指定邮箱 731465071@qq.com。</w:t>
      </w:r>
    </w:p>
    <w:p>
      <w:pPr>
        <w:spacing w:line="360" w:lineRule="auto"/>
        <w:ind w:left="480" w:hanging="480" w:hangingChars="200"/>
        <w:rPr>
          <w:rFonts w:hint="eastAsia" w:ascii="Times New Roman" w:eastAsia="仿宋"/>
          <w:sz w:val="24"/>
          <w:szCs w:val="24"/>
        </w:rPr>
      </w:pPr>
      <w:r>
        <w:rPr>
          <w:rFonts w:hint="eastAsia" w:ascii="Times New Roman" w:eastAsia="仿宋"/>
          <w:bCs/>
          <w:sz w:val="24"/>
          <w:szCs w:val="24"/>
        </w:rPr>
        <w:t xml:space="preserve"> </w:t>
      </w:r>
      <w:r>
        <w:rPr>
          <w:rFonts w:hint="eastAsia" w:ascii="Times New Roman" w:eastAsia="仿宋"/>
          <w:sz w:val="24"/>
          <w:szCs w:val="24"/>
        </w:rPr>
        <w:t>6</w:t>
      </w:r>
      <w:r>
        <w:rPr>
          <w:rFonts w:ascii="Times New Roman" w:eastAsia="仿宋"/>
          <w:sz w:val="24"/>
          <w:szCs w:val="24"/>
        </w:rPr>
        <w:t>、</w:t>
      </w:r>
      <w:r>
        <w:rPr>
          <w:rFonts w:hint="eastAsia" w:ascii="Times New Roman" w:eastAsia="仿宋"/>
          <w:sz w:val="24"/>
          <w:szCs w:val="24"/>
        </w:rPr>
        <w:t>Cara penyerahan dokumen penawaran: Versi kertas harus disegel atau dikirim ke alamat email yang ditunjuk 731465071@qq.com.</w:t>
      </w:r>
    </w:p>
    <w:p>
      <w:pPr>
        <w:spacing w:line="360" w:lineRule="auto"/>
        <w:ind w:left="426" w:hanging="426"/>
        <w:rPr>
          <w:rFonts w:hint="eastAsia" w:ascii="Times New Roman" w:eastAsia="仿宋"/>
          <w:bCs/>
          <w:sz w:val="24"/>
          <w:szCs w:val="24"/>
        </w:rPr>
      </w:pPr>
      <w:r>
        <w:rPr>
          <w:rFonts w:hint="eastAsia" w:ascii="Times New Roman" w:eastAsia="仿宋"/>
          <w:bCs/>
          <w:sz w:val="24"/>
          <w:szCs w:val="24"/>
        </w:rPr>
        <w:t xml:space="preserve"> 7.投标文件递交地点：玻雅（印尼）发电公司行政办公楼二楼物资部 </w:t>
      </w:r>
    </w:p>
    <w:p>
      <w:pPr>
        <w:spacing w:line="360" w:lineRule="auto"/>
        <w:ind w:left="426" w:hanging="426"/>
        <w:rPr>
          <w:rFonts w:hint="eastAsia" w:ascii="Times New Roman" w:eastAsia="仿宋"/>
          <w:bCs/>
          <w:sz w:val="24"/>
          <w:szCs w:val="24"/>
        </w:rPr>
      </w:pPr>
      <w:r>
        <w:rPr>
          <w:rFonts w:hint="eastAsia" w:ascii="Times New Roman" w:eastAsia="仿宋"/>
          <w:sz w:val="24"/>
          <w:szCs w:val="24"/>
        </w:rPr>
        <w:t xml:space="preserve"> 7、</w:t>
      </w:r>
      <w:r>
        <w:rPr>
          <w:rFonts w:hint="eastAsia" w:ascii="Times New Roman" w:eastAsia="仿宋"/>
          <w:bCs/>
          <w:sz w:val="24"/>
          <w:szCs w:val="24"/>
        </w:rPr>
        <w:t>Lokasi penyerahan dokumen penawaran: Bagian Material di lantai dua gedung kantor administrasi Perusahaan Pembangkit Listrik Boya (Indonesia)</w:t>
      </w:r>
    </w:p>
    <w:p>
      <w:pPr>
        <w:spacing w:line="360" w:lineRule="auto"/>
        <w:rPr>
          <w:rFonts w:ascii="Times New Roman" w:eastAsia="仿宋"/>
          <w:bCs/>
          <w:sz w:val="24"/>
          <w:szCs w:val="24"/>
        </w:rPr>
      </w:pPr>
      <w:r>
        <w:rPr>
          <w:rFonts w:ascii="Times New Roman" w:eastAsia="仿宋"/>
          <w:bCs/>
          <w:sz w:val="24"/>
          <w:szCs w:val="24"/>
        </w:rPr>
        <w:t>四、交货时间</w:t>
      </w:r>
      <w:r>
        <w:rPr>
          <w:rFonts w:ascii="Times New Roman" w:eastAsia="仿宋"/>
          <w:sz w:val="24"/>
          <w:szCs w:val="24"/>
        </w:rPr>
        <w:t>Waktu pengiriman</w:t>
      </w:r>
      <w:r>
        <w:rPr>
          <w:rFonts w:ascii="Times New Roman" w:eastAsia="仿宋"/>
          <w:bCs/>
          <w:sz w:val="24"/>
          <w:szCs w:val="24"/>
        </w:rPr>
        <w:t>：</w:t>
      </w:r>
    </w:p>
    <w:p>
      <w:pPr>
        <w:widowControl/>
        <w:spacing w:line="360" w:lineRule="auto"/>
        <w:ind w:left="426"/>
        <w:rPr>
          <w:rFonts w:ascii="Times New Roman" w:eastAsia="仿宋"/>
          <w:kern w:val="2"/>
          <w:sz w:val="24"/>
          <w:szCs w:val="24"/>
        </w:rPr>
      </w:pPr>
      <w:r>
        <w:rPr>
          <w:rFonts w:hint="eastAsia" w:ascii="Times New Roman" w:eastAsia="仿宋"/>
          <w:kern w:val="2"/>
          <w:sz w:val="24"/>
          <w:szCs w:val="24"/>
        </w:rPr>
        <w:t>2025年11月30日之前。如供货周期晚于该时间，经确认后可适当延长。</w:t>
      </w:r>
    </w:p>
    <w:p>
      <w:pPr>
        <w:widowControl/>
        <w:spacing w:line="360" w:lineRule="auto"/>
        <w:ind w:left="426"/>
        <w:rPr>
          <w:rFonts w:ascii="Times New Roman" w:eastAsia="仿宋"/>
          <w:kern w:val="2"/>
          <w:sz w:val="24"/>
          <w:szCs w:val="24"/>
        </w:rPr>
      </w:pPr>
      <w:r>
        <w:rPr>
          <w:rFonts w:hint="eastAsia" w:ascii="Times New Roman" w:eastAsia="仿宋"/>
          <w:kern w:val="2"/>
          <w:sz w:val="24"/>
          <w:szCs w:val="24"/>
        </w:rPr>
        <w:t xml:space="preserve">Sebelum tanggal 30 </w:t>
      </w:r>
      <w:r>
        <w:rPr>
          <w:rFonts w:ascii="Times New Roman" w:eastAsia="仿宋"/>
          <w:kern w:val="2"/>
          <w:sz w:val="24"/>
          <w:szCs w:val="24"/>
        </w:rPr>
        <w:t>Nov</w:t>
      </w:r>
      <w:r>
        <w:rPr>
          <w:rFonts w:hint="eastAsia" w:ascii="Times New Roman" w:eastAsia="仿宋"/>
          <w:kern w:val="2"/>
          <w:sz w:val="24"/>
          <w:szCs w:val="24"/>
        </w:rPr>
        <w:t>ember 2025. jika siklus pasokan lebih lambat dari waktu tersebut, dapat diperpanjang setelah konfirmasi.</w:t>
      </w:r>
    </w:p>
    <w:p>
      <w:pPr>
        <w:widowControl/>
        <w:spacing w:line="360" w:lineRule="auto"/>
        <w:ind w:left="426" w:hanging="426"/>
        <w:rPr>
          <w:rFonts w:ascii="Times New Roman" w:eastAsia="仿宋"/>
          <w:bCs/>
          <w:sz w:val="24"/>
          <w:szCs w:val="24"/>
        </w:rPr>
      </w:pPr>
      <w:r>
        <w:rPr>
          <w:rFonts w:ascii="Times New Roman" w:eastAsia="仿宋"/>
          <w:bCs/>
          <w:sz w:val="24"/>
          <w:szCs w:val="24"/>
        </w:rPr>
        <w:t>五、交货地点</w:t>
      </w:r>
      <w:r>
        <w:rPr>
          <w:rFonts w:ascii="Times New Roman" w:eastAsia="仿宋"/>
          <w:sz w:val="24"/>
          <w:szCs w:val="24"/>
        </w:rPr>
        <w:t xml:space="preserve">Tempat Penyerahan Barang </w:t>
      </w:r>
      <w:r>
        <w:rPr>
          <w:rFonts w:ascii="Times New Roman" w:eastAsia="仿宋"/>
          <w:bCs/>
          <w:sz w:val="24"/>
          <w:szCs w:val="24"/>
        </w:rPr>
        <w:t>：</w:t>
      </w:r>
    </w:p>
    <w:p>
      <w:pPr>
        <w:spacing w:line="360" w:lineRule="auto"/>
        <w:ind w:left="460" w:leftChars="119" w:hanging="79" w:hangingChars="33"/>
        <w:rPr>
          <w:rFonts w:ascii="Times New Roman" w:eastAsia="仿宋"/>
          <w:bCs/>
          <w:sz w:val="24"/>
          <w:szCs w:val="24"/>
        </w:rPr>
      </w:pPr>
      <w:r>
        <w:rPr>
          <w:rFonts w:ascii="Times New Roman" w:eastAsia="仿宋"/>
          <w:bCs/>
          <w:sz w:val="24"/>
          <w:szCs w:val="24"/>
        </w:rPr>
        <w:t>印度尼西亚MUARA Enim县以南Darmo镇东南约3.5km</w:t>
      </w:r>
    </w:p>
    <w:p>
      <w:pPr>
        <w:spacing w:line="360" w:lineRule="auto"/>
        <w:ind w:left="426" w:hanging="426"/>
        <w:rPr>
          <w:rFonts w:ascii="Times New Roman" w:eastAsia="仿宋"/>
          <w:bCs/>
          <w:sz w:val="24"/>
          <w:szCs w:val="24"/>
        </w:rPr>
      </w:pPr>
      <w:r>
        <w:rPr>
          <w:rFonts w:ascii="Times New Roman" w:eastAsia="仿宋"/>
          <w:bCs/>
          <w:sz w:val="24"/>
          <w:szCs w:val="24"/>
        </w:rPr>
        <w:t xml:space="preserve">   Tempat pengiriman: Sekitar 3,5 km sebelah tenggara kota Darmo, sebelah selatan Kabupaten Muara Enim, Indonesia, di tempat yang ditentukan oleh pembeli untuk bongkar muatan truk. </w:t>
      </w:r>
    </w:p>
    <w:p>
      <w:pPr>
        <w:spacing w:line="360" w:lineRule="auto"/>
        <w:ind w:left="426" w:hanging="426"/>
        <w:rPr>
          <w:rFonts w:ascii="Times New Roman" w:eastAsia="仿宋"/>
          <w:sz w:val="24"/>
          <w:szCs w:val="24"/>
        </w:rPr>
      </w:pPr>
      <w:r>
        <w:rPr>
          <w:rFonts w:ascii="Times New Roman" w:eastAsia="仿宋"/>
          <w:bCs/>
          <w:sz w:val="24"/>
          <w:szCs w:val="24"/>
        </w:rPr>
        <w:t>六、</w:t>
      </w:r>
      <w:r>
        <w:rPr>
          <w:rFonts w:ascii="Times New Roman" w:eastAsia="仿宋"/>
          <w:sz w:val="24"/>
          <w:szCs w:val="24"/>
        </w:rPr>
        <w:t xml:space="preserve">联系人 Narahubung ： </w:t>
      </w:r>
      <w:r>
        <w:rPr>
          <w:rFonts w:hint="eastAsia" w:ascii="Times New Roman" w:eastAsia="仿宋"/>
          <w:sz w:val="24"/>
          <w:szCs w:val="24"/>
          <w:lang w:val="en-US" w:eastAsia="zh-CN"/>
        </w:rPr>
        <w:t>Yu zaiJun</w:t>
      </w:r>
      <w:r>
        <w:rPr>
          <w:rFonts w:ascii="Times New Roman" w:eastAsia="仿宋"/>
          <w:sz w:val="24"/>
          <w:szCs w:val="24"/>
        </w:rPr>
        <w:t xml:space="preserve">、 </w:t>
      </w:r>
      <w:r>
        <w:rPr>
          <w:rFonts w:hint="eastAsia" w:ascii="Times New Roman" w:eastAsia="仿宋"/>
          <w:sz w:val="24"/>
          <w:szCs w:val="24"/>
        </w:rPr>
        <w:t>Benita</w:t>
      </w:r>
    </w:p>
    <w:p>
      <w:pPr>
        <w:rPr>
          <w:rFonts w:ascii="Times New Roman" w:eastAsia="仿宋"/>
          <w:bCs/>
          <w:sz w:val="24"/>
          <w:szCs w:val="24"/>
        </w:rPr>
      </w:pPr>
      <w:r>
        <w:rPr>
          <w:rFonts w:ascii="Times New Roman" w:eastAsia="仿宋"/>
          <w:bCs/>
          <w:sz w:val="24"/>
          <w:szCs w:val="24"/>
        </w:rPr>
        <w:t xml:space="preserve">七、联系电话 Nomor Telepon： </w:t>
      </w:r>
      <w:r>
        <w:rPr>
          <w:rFonts w:hint="eastAsia" w:ascii="Times New Roman" w:eastAsia="仿宋"/>
          <w:bCs/>
          <w:sz w:val="24"/>
          <w:szCs w:val="24"/>
        </w:rPr>
        <w:t>0821</w:t>
      </w:r>
      <w:r>
        <w:rPr>
          <w:rFonts w:hint="eastAsia" w:ascii="Times New Roman" w:eastAsia="仿宋"/>
          <w:bCs/>
          <w:sz w:val="24"/>
          <w:szCs w:val="24"/>
          <w:lang w:val="en-US" w:eastAsia="zh-CN"/>
        </w:rPr>
        <w:t>77928042</w:t>
      </w:r>
      <w:r>
        <w:rPr>
          <w:rFonts w:ascii="Times New Roman" w:eastAsia="仿宋"/>
          <w:bCs/>
          <w:sz w:val="24"/>
          <w:szCs w:val="24"/>
        </w:rPr>
        <w:t xml:space="preserve">  、</w:t>
      </w:r>
      <w:r>
        <w:rPr>
          <w:rFonts w:hint="eastAsia" w:ascii="Times New Roman" w:eastAsia="仿宋"/>
          <w:bCs/>
          <w:sz w:val="24"/>
          <w:szCs w:val="24"/>
        </w:rPr>
        <w:t>085607179214</w:t>
      </w:r>
    </w:p>
    <w:p>
      <w:pPr>
        <w:pStyle w:val="6"/>
        <w:ind w:firstLine="0" w:firstLineChars="0"/>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720" w:num="1"/>
          <w:docGrid w:type="lines" w:linePitch="312" w:charSpace="0"/>
        </w:sectPr>
      </w:pPr>
    </w:p>
    <w:p>
      <w:pPr>
        <w:pStyle w:val="6"/>
        <w:ind w:firstLine="640"/>
        <w:jc w:val="center"/>
        <w:rPr>
          <w:rFonts w:hint="eastAsia" w:ascii="宋体" w:hAnsi="宋体" w:eastAsia="宋体" w:cs="宋体"/>
        </w:rPr>
      </w:pPr>
      <w:r>
        <w:rPr>
          <w:rFonts w:hint="eastAsia" w:ascii="宋体" w:hAnsi="宋体" w:eastAsia="宋体" w:cs="宋体"/>
        </w:rPr>
        <w:t>采购清单</w:t>
      </w:r>
      <w:r>
        <w:rPr>
          <w:rStyle w:val="19"/>
          <w:rFonts w:hint="eastAsia" w:ascii="宋体" w:hAnsi="宋体" w:eastAsia="宋体" w:cs="宋体"/>
          <w:b w:val="0"/>
          <w:bCs w:val="0"/>
          <w:color w:val="000000"/>
        </w:rPr>
        <w:t>Daftar Barang dalam Pengadaan</w:t>
      </w:r>
    </w:p>
    <w:tbl>
      <w:tblPr>
        <w:tblStyle w:val="21"/>
        <w:tblW w:w="14067" w:type="dxa"/>
        <w:tblInd w:w="-2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60"/>
        <w:gridCol w:w="3771"/>
        <w:gridCol w:w="3396"/>
        <w:gridCol w:w="1692"/>
        <w:gridCol w:w="1392"/>
        <w:gridCol w:w="315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00" w:hRule="atLeast"/>
        </w:trPr>
        <w:tc>
          <w:tcPr>
            <w:tcW w:w="660" w:type="dxa"/>
            <w:tcBorders>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22"/>
                <w:lang w:val="id-ID"/>
              </w:rPr>
            </w:pPr>
            <w:r>
              <w:rPr>
                <w:rFonts w:hint="eastAsia" w:ascii="宋体" w:hAnsi="宋体" w:eastAsia="宋体" w:cs="宋体"/>
                <w:color w:val="000000"/>
                <w:sz w:val="22"/>
                <w:lang w:bidi="ar"/>
              </w:rPr>
              <w:t>序号</w:t>
            </w:r>
            <w:r>
              <w:rPr>
                <w:rFonts w:hint="eastAsia" w:ascii="宋体" w:hAnsi="宋体" w:eastAsia="宋体" w:cs="宋体"/>
                <w:color w:val="000000"/>
                <w:sz w:val="22"/>
                <w:lang w:val="id-ID" w:bidi="ar"/>
              </w:rPr>
              <w:t>No</w:t>
            </w:r>
          </w:p>
        </w:tc>
        <w:tc>
          <w:tcPr>
            <w:tcW w:w="3771" w:type="dxa"/>
            <w:tcBorders>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22"/>
                <w:lang w:val="id-ID"/>
              </w:rPr>
            </w:pPr>
            <w:r>
              <w:rPr>
                <w:rFonts w:hint="eastAsia" w:ascii="宋体" w:hAnsi="宋体" w:eastAsia="宋体" w:cs="宋体"/>
                <w:color w:val="000000"/>
                <w:sz w:val="22"/>
                <w:lang w:bidi="ar"/>
              </w:rPr>
              <w:t>名称</w:t>
            </w:r>
            <w:r>
              <w:rPr>
                <w:rFonts w:hint="eastAsia" w:ascii="宋体" w:hAnsi="宋体" w:eastAsia="宋体" w:cs="宋体"/>
                <w:color w:val="000000"/>
                <w:sz w:val="22"/>
                <w:lang w:val="id-ID" w:bidi="ar"/>
              </w:rPr>
              <w:t xml:space="preserve"> Nama barang </w:t>
            </w:r>
          </w:p>
        </w:tc>
        <w:tc>
          <w:tcPr>
            <w:tcW w:w="3396" w:type="dxa"/>
            <w:tcBorders>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22"/>
                <w:lang w:val="id-ID"/>
              </w:rPr>
            </w:pPr>
            <w:r>
              <w:rPr>
                <w:rFonts w:hint="eastAsia" w:ascii="宋体" w:hAnsi="宋体" w:eastAsia="宋体" w:cs="宋体"/>
                <w:color w:val="000000"/>
                <w:sz w:val="22"/>
                <w:lang w:bidi="ar"/>
              </w:rPr>
              <w:t>型号/规格</w:t>
            </w:r>
            <w:r>
              <w:rPr>
                <w:rFonts w:hint="eastAsia" w:ascii="宋体" w:hAnsi="宋体" w:eastAsia="宋体" w:cs="宋体"/>
                <w:color w:val="000000"/>
                <w:sz w:val="22"/>
                <w:lang w:val="id-ID" w:bidi="ar"/>
              </w:rPr>
              <w:t xml:space="preserve"> Model/Spesifikasi</w:t>
            </w:r>
          </w:p>
        </w:tc>
        <w:tc>
          <w:tcPr>
            <w:tcW w:w="1692" w:type="dxa"/>
            <w:tcBorders>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22"/>
                <w:lang w:val="id-ID"/>
              </w:rPr>
            </w:pPr>
            <w:r>
              <w:rPr>
                <w:rFonts w:hint="eastAsia" w:ascii="宋体" w:hAnsi="宋体" w:eastAsia="宋体" w:cs="宋体"/>
                <w:color w:val="000000"/>
                <w:sz w:val="22"/>
                <w:lang w:bidi="ar"/>
              </w:rPr>
              <w:t>单位</w:t>
            </w:r>
            <w:r>
              <w:rPr>
                <w:rFonts w:hint="eastAsia" w:ascii="宋体" w:hAnsi="宋体" w:eastAsia="宋体" w:cs="宋体"/>
                <w:color w:val="000000"/>
                <w:sz w:val="22"/>
                <w:lang w:val="id-ID" w:bidi="ar"/>
              </w:rPr>
              <w:t xml:space="preserve"> Satuan</w:t>
            </w:r>
          </w:p>
        </w:tc>
        <w:tc>
          <w:tcPr>
            <w:tcW w:w="1392" w:type="dxa"/>
            <w:tcBorders>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22"/>
                <w:lang w:val="id-ID"/>
              </w:rPr>
            </w:pPr>
            <w:r>
              <w:rPr>
                <w:rFonts w:hint="eastAsia" w:ascii="宋体" w:hAnsi="宋体" w:eastAsia="宋体" w:cs="宋体"/>
                <w:color w:val="000000"/>
                <w:sz w:val="22"/>
                <w:lang w:bidi="ar"/>
              </w:rPr>
              <w:t>数量</w:t>
            </w:r>
            <w:r>
              <w:rPr>
                <w:rFonts w:hint="eastAsia" w:ascii="宋体" w:hAnsi="宋体" w:eastAsia="宋体" w:cs="宋体"/>
                <w:color w:val="000000"/>
                <w:sz w:val="22"/>
                <w:lang w:val="id-ID" w:bidi="ar"/>
              </w:rPr>
              <w:t xml:space="preserve"> Jumlah</w:t>
            </w:r>
          </w:p>
        </w:tc>
        <w:tc>
          <w:tcPr>
            <w:tcW w:w="3156" w:type="dxa"/>
            <w:tcBorders>
              <w:left w:val="single" w:color="000000" w:sz="4" w:space="0"/>
              <w:bottom w:val="single" w:color="000000" w:sz="4" w:space="0"/>
            </w:tcBorders>
            <w:vAlign w:val="center"/>
          </w:tcPr>
          <w:p>
            <w:pPr>
              <w:widowControl/>
              <w:jc w:val="center"/>
              <w:textAlignment w:val="center"/>
              <w:rPr>
                <w:rFonts w:hint="eastAsia" w:ascii="宋体" w:hAnsi="宋体" w:eastAsia="宋体" w:cs="宋体"/>
                <w:color w:val="000000"/>
                <w:sz w:val="22"/>
                <w:lang w:val="en-US" w:eastAsia="zh-CN" w:bidi="ar"/>
              </w:rPr>
            </w:pPr>
            <w:r>
              <w:rPr>
                <w:rFonts w:hint="eastAsia" w:hAnsi="宋体" w:cs="宋体"/>
                <w:color w:val="000000"/>
                <w:sz w:val="22"/>
                <w:lang w:val="en-US" w:eastAsia="zh-CN" w:bidi="ar"/>
              </w:rPr>
              <w:t>备注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20" w:hRule="atLeast"/>
        </w:trPr>
        <w:tc>
          <w:tcPr>
            <w:tcW w:w="660" w:type="dxa"/>
            <w:tcBorders>
              <w:top w:val="single" w:color="000000" w:sz="4" w:space="0"/>
              <w:bottom w:val="nil"/>
              <w:right w:val="single" w:color="000000" w:sz="4" w:space="0"/>
            </w:tcBorders>
            <w:textDirection w:val="lrTb"/>
            <w:vAlign w:val="center"/>
          </w:tcPr>
          <w:p>
            <w:pPr>
              <w:keepNext w:val="0"/>
              <w:keepLines w:val="0"/>
              <w:widowControl/>
              <w:suppressLineNumbers w:val="0"/>
              <w:jc w:val="center"/>
              <w:textAlignment w:val="center"/>
              <w:rPr>
                <w:rFonts w:hint="eastAsia" w:hAnsi="宋体" w:cs="宋体"/>
                <w:color w:val="000000"/>
                <w:sz w:val="22"/>
              </w:rPr>
            </w:pPr>
            <w:r>
              <w:rPr>
                <w:rFonts w:hint="eastAsia" w:ascii="宋体" w:hAnsi="宋体" w:eastAsia="宋体" w:cs="宋体"/>
                <w:i w:val="0"/>
                <w:color w:val="000000"/>
                <w:kern w:val="0"/>
                <w:position w:val="-6"/>
                <w:sz w:val="22"/>
                <w:szCs w:val="22"/>
                <w:u w:val="none"/>
                <w:lang w:val="en-US" w:eastAsia="zh-CN" w:bidi="ar"/>
              </w:rPr>
              <w:t>1</w:t>
            </w:r>
          </w:p>
        </w:tc>
        <w:tc>
          <w:tcPr>
            <w:tcW w:w="3771"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称重传感器）Load cells</w:t>
            </w:r>
          </w:p>
        </w:tc>
        <w:tc>
          <w:tcPr>
            <w:tcW w:w="3396"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LANC133</w:t>
            </w:r>
          </w:p>
        </w:tc>
        <w:tc>
          <w:tcPr>
            <w:tcW w:w="1692"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套set</w:t>
            </w:r>
          </w:p>
        </w:tc>
        <w:tc>
          <w:tcPr>
            <w:tcW w:w="1392"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1</w:t>
            </w:r>
          </w:p>
        </w:tc>
        <w:tc>
          <w:tcPr>
            <w:tcW w:w="3156" w:type="dxa"/>
            <w:tcBorders>
              <w:top w:val="single" w:color="000000" w:sz="4" w:space="0"/>
              <w:left w:val="single" w:color="000000" w:sz="4" w:space="0"/>
              <w:bottom w:val="single" w:color="000000" w:sz="4" w:space="0"/>
            </w:tcBorders>
            <w:textDirection w:val="lrTb"/>
            <w:vAlign w:val="center"/>
          </w:tcPr>
          <w:p>
            <w:pPr>
              <w:jc w:val="center"/>
              <w:rPr>
                <w:rFonts w:hint="eastAsia" w:ascii="宋体" w:hAnsi="宋体" w:eastAsia="宋体" w:cs="宋体"/>
                <w:i w:val="0"/>
                <w:color w:val="000000"/>
                <w:kern w:val="0"/>
                <w:position w:val="-6"/>
                <w:sz w:val="24"/>
                <w:szCs w:val="24"/>
                <w:u w:val="none"/>
                <w:lang w:val="en-US" w:eastAsia="zh-CN" w:bidi="ar"/>
              </w:rPr>
            </w:pPr>
            <w:bookmarkStart w:id="2" w:name="_GoBack"/>
            <w:bookmarkEnd w:id="2"/>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20" w:hRule="atLeast"/>
        </w:trPr>
        <w:tc>
          <w:tcPr>
            <w:tcW w:w="660" w:type="dxa"/>
            <w:tcBorders>
              <w:top w:val="single" w:color="000000" w:sz="4" w:space="0"/>
              <w:bottom w:val="nil"/>
              <w:right w:val="single" w:color="000000" w:sz="4" w:space="0"/>
            </w:tcBorders>
            <w:textDirection w:val="lrTb"/>
            <w:vAlign w:val="center"/>
          </w:tcPr>
          <w:p>
            <w:pPr>
              <w:keepNext w:val="0"/>
              <w:keepLines w:val="0"/>
              <w:widowControl/>
              <w:suppressLineNumbers w:val="0"/>
              <w:jc w:val="center"/>
              <w:textAlignment w:val="center"/>
              <w:rPr>
                <w:rFonts w:hint="eastAsia" w:hAnsi="宋体" w:cs="宋体"/>
                <w:color w:val="000000"/>
                <w:sz w:val="22"/>
              </w:rPr>
            </w:pPr>
            <w:r>
              <w:rPr>
                <w:rFonts w:hint="eastAsia" w:ascii="宋体" w:hAnsi="宋体" w:eastAsia="宋体" w:cs="宋体"/>
                <w:i w:val="0"/>
                <w:color w:val="000000"/>
                <w:kern w:val="0"/>
                <w:position w:val="-6"/>
                <w:sz w:val="22"/>
                <w:szCs w:val="22"/>
                <w:u w:val="none"/>
                <w:lang w:val="en-US" w:eastAsia="zh-CN" w:bidi="ar"/>
              </w:rPr>
              <w:t>2</w:t>
            </w:r>
          </w:p>
        </w:tc>
        <w:tc>
          <w:tcPr>
            <w:tcW w:w="3771"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称重传感器Load cells</w:t>
            </w:r>
          </w:p>
        </w:tc>
        <w:tc>
          <w:tcPr>
            <w:tcW w:w="3396"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LANC133</w:t>
            </w:r>
          </w:p>
        </w:tc>
        <w:tc>
          <w:tcPr>
            <w:tcW w:w="1692"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套set</w:t>
            </w:r>
          </w:p>
        </w:tc>
        <w:tc>
          <w:tcPr>
            <w:tcW w:w="1392"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1</w:t>
            </w:r>
          </w:p>
        </w:tc>
        <w:tc>
          <w:tcPr>
            <w:tcW w:w="3156" w:type="dxa"/>
            <w:tcBorders>
              <w:top w:val="single" w:color="000000" w:sz="4" w:space="0"/>
              <w:left w:val="single" w:color="000000" w:sz="4" w:space="0"/>
              <w:bottom w:val="single" w:color="000000" w:sz="4" w:space="0"/>
            </w:tcBorders>
            <w:textDirection w:val="lrTb"/>
            <w:vAlign w:val="center"/>
          </w:tcPr>
          <w:p>
            <w:pPr>
              <w:jc w:val="center"/>
              <w:rPr>
                <w:rFonts w:hint="eastAsia" w:ascii="宋体" w:hAnsi="宋体" w:eastAsia="宋体" w:cs="宋体"/>
                <w:i w:val="0"/>
                <w:color w:val="000000"/>
                <w:kern w:val="0"/>
                <w:position w:val="-6"/>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20" w:hRule="atLeast"/>
        </w:trPr>
        <w:tc>
          <w:tcPr>
            <w:tcW w:w="660" w:type="dxa"/>
            <w:tcBorders>
              <w:top w:val="single" w:color="000000" w:sz="4" w:space="0"/>
              <w:bottom w:val="nil"/>
              <w:right w:val="single" w:color="000000" w:sz="4" w:space="0"/>
            </w:tcBorders>
            <w:textDirection w:val="lrTb"/>
            <w:vAlign w:val="center"/>
          </w:tcPr>
          <w:p>
            <w:pPr>
              <w:keepNext w:val="0"/>
              <w:keepLines w:val="0"/>
              <w:widowControl/>
              <w:suppressLineNumbers w:val="0"/>
              <w:jc w:val="center"/>
              <w:textAlignment w:val="center"/>
              <w:rPr>
                <w:rFonts w:hint="eastAsia" w:hAnsi="宋体" w:cs="宋体"/>
                <w:color w:val="000000"/>
                <w:sz w:val="22"/>
              </w:rPr>
            </w:pPr>
            <w:r>
              <w:rPr>
                <w:rFonts w:hint="eastAsia" w:ascii="宋体" w:hAnsi="宋体" w:eastAsia="宋体" w:cs="宋体"/>
                <w:i w:val="0"/>
                <w:color w:val="000000"/>
                <w:kern w:val="0"/>
                <w:position w:val="-6"/>
                <w:sz w:val="22"/>
                <w:szCs w:val="22"/>
                <w:u w:val="none"/>
                <w:lang w:val="en-US" w:eastAsia="zh-CN" w:bidi="ar"/>
              </w:rPr>
              <w:t>3</w:t>
            </w:r>
          </w:p>
        </w:tc>
        <w:tc>
          <w:tcPr>
            <w:tcW w:w="3771"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清扫链条Sweep the chain</w:t>
            </w:r>
          </w:p>
        </w:tc>
        <w:tc>
          <w:tcPr>
            <w:tcW w:w="3396"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HD-BSC26</w:t>
            </w:r>
          </w:p>
        </w:tc>
        <w:tc>
          <w:tcPr>
            <w:tcW w:w="1692"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条strip</w:t>
            </w:r>
          </w:p>
        </w:tc>
        <w:tc>
          <w:tcPr>
            <w:tcW w:w="1392"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1</w:t>
            </w:r>
          </w:p>
        </w:tc>
        <w:tc>
          <w:tcPr>
            <w:tcW w:w="3156" w:type="dxa"/>
            <w:tcBorders>
              <w:top w:val="single" w:color="000000" w:sz="4" w:space="0"/>
              <w:left w:val="single" w:color="000000" w:sz="4" w:space="0"/>
              <w:bottom w:val="single" w:color="000000" w:sz="4" w:space="0"/>
            </w:tcBorders>
            <w:textDirection w:val="lrTb"/>
            <w:vAlign w:val="center"/>
          </w:tcPr>
          <w:p>
            <w:pPr>
              <w:jc w:val="center"/>
              <w:rPr>
                <w:rFonts w:hint="eastAsia" w:ascii="宋体" w:hAnsi="宋体" w:eastAsia="宋体" w:cs="宋体"/>
                <w:i w:val="0"/>
                <w:color w:val="000000"/>
                <w:kern w:val="0"/>
                <w:position w:val="-6"/>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20" w:hRule="atLeast"/>
        </w:trPr>
        <w:tc>
          <w:tcPr>
            <w:tcW w:w="660" w:type="dxa"/>
            <w:tcBorders>
              <w:top w:val="single" w:color="000000" w:sz="4" w:space="0"/>
              <w:bottom w:val="nil"/>
              <w:right w:val="single" w:color="000000" w:sz="4" w:space="0"/>
            </w:tcBorders>
            <w:textDirection w:val="lrTb"/>
            <w:vAlign w:val="center"/>
          </w:tcPr>
          <w:p>
            <w:pPr>
              <w:keepNext w:val="0"/>
              <w:keepLines w:val="0"/>
              <w:widowControl/>
              <w:suppressLineNumbers w:val="0"/>
              <w:jc w:val="center"/>
              <w:textAlignment w:val="center"/>
              <w:rPr>
                <w:rFonts w:hint="eastAsia" w:hAnsi="宋体" w:cs="宋体"/>
                <w:color w:val="000000"/>
                <w:sz w:val="22"/>
              </w:rPr>
            </w:pPr>
            <w:r>
              <w:rPr>
                <w:rFonts w:hint="eastAsia" w:ascii="宋体" w:hAnsi="宋体" w:eastAsia="宋体" w:cs="宋体"/>
                <w:i w:val="0"/>
                <w:color w:val="000000"/>
                <w:kern w:val="0"/>
                <w:position w:val="-6"/>
                <w:sz w:val="22"/>
                <w:szCs w:val="22"/>
                <w:u w:val="none"/>
                <w:lang w:val="en-US" w:eastAsia="zh-CN" w:bidi="ar"/>
              </w:rPr>
              <w:t>4</w:t>
            </w:r>
          </w:p>
        </w:tc>
        <w:tc>
          <w:tcPr>
            <w:tcW w:w="3771"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行程开关和力矩开关Stroke switch and torque switch</w:t>
            </w:r>
          </w:p>
        </w:tc>
        <w:tc>
          <w:tcPr>
            <w:tcW w:w="3396"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HONEYWELL GLAB20C</w:t>
            </w:r>
          </w:p>
        </w:tc>
        <w:tc>
          <w:tcPr>
            <w:tcW w:w="1692"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个piece</w:t>
            </w:r>
          </w:p>
        </w:tc>
        <w:tc>
          <w:tcPr>
            <w:tcW w:w="1392"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2</w:t>
            </w:r>
          </w:p>
        </w:tc>
        <w:tc>
          <w:tcPr>
            <w:tcW w:w="3156" w:type="dxa"/>
            <w:tcBorders>
              <w:top w:val="single" w:color="000000" w:sz="4" w:space="0"/>
              <w:left w:val="single" w:color="000000" w:sz="4" w:space="0"/>
              <w:bottom w:val="single" w:color="000000" w:sz="4" w:space="0"/>
            </w:tcBorders>
            <w:textDirection w:val="lrTb"/>
            <w:vAlign w:val="center"/>
          </w:tcPr>
          <w:p>
            <w:pPr>
              <w:jc w:val="center"/>
              <w:rPr>
                <w:rFonts w:hint="eastAsia" w:ascii="宋体" w:hAnsi="宋体" w:eastAsia="宋体" w:cs="宋体"/>
                <w:i w:val="0"/>
                <w:color w:val="000000"/>
                <w:kern w:val="0"/>
                <w:position w:val="-6"/>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20" w:hRule="atLeast"/>
        </w:trPr>
        <w:tc>
          <w:tcPr>
            <w:tcW w:w="660" w:type="dxa"/>
            <w:tcBorders>
              <w:top w:val="single" w:color="000000" w:sz="4" w:space="0"/>
              <w:bottom w:val="nil"/>
              <w:right w:val="single" w:color="000000" w:sz="4" w:space="0"/>
            </w:tcBorders>
            <w:textDirection w:val="lrTb"/>
            <w:vAlign w:val="center"/>
          </w:tcPr>
          <w:p>
            <w:pPr>
              <w:keepNext w:val="0"/>
              <w:keepLines w:val="0"/>
              <w:widowControl/>
              <w:suppressLineNumbers w:val="0"/>
              <w:jc w:val="center"/>
              <w:textAlignment w:val="center"/>
              <w:rPr>
                <w:rFonts w:hint="eastAsia" w:hAnsi="宋体" w:cs="宋体"/>
                <w:color w:val="000000"/>
                <w:sz w:val="22"/>
              </w:rPr>
            </w:pPr>
            <w:r>
              <w:rPr>
                <w:rFonts w:hint="eastAsia" w:ascii="宋体" w:hAnsi="宋体" w:eastAsia="宋体" w:cs="宋体"/>
                <w:i w:val="0"/>
                <w:color w:val="000000"/>
                <w:kern w:val="0"/>
                <w:position w:val="-6"/>
                <w:sz w:val="22"/>
                <w:szCs w:val="22"/>
                <w:u w:val="none"/>
                <w:lang w:val="en-US" w:eastAsia="zh-CN" w:bidi="ar"/>
              </w:rPr>
              <w:t>5</w:t>
            </w:r>
          </w:p>
        </w:tc>
        <w:tc>
          <w:tcPr>
            <w:tcW w:w="3771"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速度传感器Speed sensor</w:t>
            </w:r>
          </w:p>
        </w:tc>
        <w:tc>
          <w:tcPr>
            <w:tcW w:w="3396"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（ESTE5A）</w:t>
            </w:r>
          </w:p>
        </w:tc>
        <w:tc>
          <w:tcPr>
            <w:tcW w:w="1692"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套set</w:t>
            </w:r>
          </w:p>
        </w:tc>
        <w:tc>
          <w:tcPr>
            <w:tcW w:w="1392"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1</w:t>
            </w:r>
          </w:p>
        </w:tc>
        <w:tc>
          <w:tcPr>
            <w:tcW w:w="3156" w:type="dxa"/>
            <w:tcBorders>
              <w:top w:val="single" w:color="000000" w:sz="4" w:space="0"/>
              <w:left w:val="single" w:color="000000" w:sz="4" w:space="0"/>
              <w:bottom w:val="single" w:color="000000" w:sz="4" w:space="0"/>
            </w:tcBorders>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position w:val="-6"/>
                <w:sz w:val="24"/>
                <w:szCs w:val="24"/>
                <w:u w:val="none"/>
                <w:lang w:val="en-US" w:eastAsia="zh-CN" w:bidi="ar"/>
              </w:rPr>
            </w:pPr>
            <w:r>
              <w:drawing>
                <wp:inline distT="0" distB="0" distL="114300" distR="114300">
                  <wp:extent cx="1257935" cy="542290"/>
                  <wp:effectExtent l="0" t="0" r="6985" b="6350"/>
                  <wp:docPr id="110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 name="图片 1"/>
                          <pic:cNvPicPr>
                            <a:picLocks noChangeAspect="1"/>
                          </pic:cNvPicPr>
                        </pic:nvPicPr>
                        <pic:blipFill>
                          <a:blip r:embed="rId10"/>
                          <a:stretch>
                            <a:fillRect/>
                          </a:stretch>
                        </pic:blipFill>
                        <pic:spPr>
                          <a:xfrm>
                            <a:off x="0" y="0"/>
                            <a:ext cx="1257935" cy="542290"/>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20" w:hRule="atLeast"/>
        </w:trPr>
        <w:tc>
          <w:tcPr>
            <w:tcW w:w="660" w:type="dxa"/>
            <w:tcBorders>
              <w:top w:val="single" w:color="000000" w:sz="4" w:space="0"/>
              <w:bottom w:val="nil"/>
              <w:right w:val="single" w:color="000000" w:sz="4" w:space="0"/>
            </w:tcBorders>
            <w:textDirection w:val="lrTb"/>
            <w:vAlign w:val="center"/>
          </w:tcPr>
          <w:p>
            <w:pPr>
              <w:keepNext w:val="0"/>
              <w:keepLines w:val="0"/>
              <w:widowControl/>
              <w:suppressLineNumbers w:val="0"/>
              <w:jc w:val="center"/>
              <w:textAlignment w:val="center"/>
              <w:rPr>
                <w:rFonts w:hint="eastAsia" w:hAnsi="宋体" w:cs="宋体"/>
                <w:color w:val="000000"/>
                <w:sz w:val="22"/>
              </w:rPr>
            </w:pPr>
            <w:r>
              <w:rPr>
                <w:rFonts w:hint="eastAsia" w:ascii="宋体" w:hAnsi="宋体" w:eastAsia="宋体" w:cs="宋体"/>
                <w:i w:val="0"/>
                <w:color w:val="000000"/>
                <w:kern w:val="0"/>
                <w:position w:val="-6"/>
                <w:sz w:val="22"/>
                <w:szCs w:val="22"/>
                <w:u w:val="none"/>
                <w:lang w:val="en-US" w:eastAsia="zh-CN" w:bidi="ar"/>
              </w:rPr>
              <w:t>6</w:t>
            </w:r>
          </w:p>
        </w:tc>
        <w:tc>
          <w:tcPr>
            <w:tcW w:w="3771"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接近开关Proximity switch（100105020001）</w:t>
            </w:r>
          </w:p>
        </w:tc>
        <w:tc>
          <w:tcPr>
            <w:tcW w:w="3396"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D4A-4501N OMRON</w:t>
            </w:r>
          </w:p>
        </w:tc>
        <w:tc>
          <w:tcPr>
            <w:tcW w:w="1692"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件pieces</w:t>
            </w:r>
          </w:p>
        </w:tc>
        <w:tc>
          <w:tcPr>
            <w:tcW w:w="1392"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4</w:t>
            </w:r>
          </w:p>
        </w:tc>
        <w:tc>
          <w:tcPr>
            <w:tcW w:w="3156" w:type="dxa"/>
            <w:tcBorders>
              <w:top w:val="single" w:color="000000" w:sz="4" w:space="0"/>
              <w:left w:val="single" w:color="000000" w:sz="4" w:space="0"/>
              <w:bottom w:val="single" w:color="000000" w:sz="4" w:space="0"/>
            </w:tcBorders>
            <w:textDirection w:val="lrTb"/>
            <w:vAlign w:val="center"/>
          </w:tcPr>
          <w:p>
            <w:pPr>
              <w:jc w:val="center"/>
              <w:rPr>
                <w:rFonts w:hint="eastAsia" w:ascii="宋体" w:hAnsi="宋体" w:eastAsia="宋体" w:cs="宋体"/>
                <w:i w:val="0"/>
                <w:color w:val="000000"/>
                <w:kern w:val="0"/>
                <w:position w:val="-6"/>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20" w:hRule="atLeast"/>
        </w:trPr>
        <w:tc>
          <w:tcPr>
            <w:tcW w:w="660" w:type="dxa"/>
            <w:tcBorders>
              <w:top w:val="single" w:color="000000" w:sz="4" w:space="0"/>
              <w:bottom w:val="nil"/>
              <w:right w:val="single" w:color="000000" w:sz="4" w:space="0"/>
            </w:tcBorders>
            <w:textDirection w:val="lrTb"/>
            <w:vAlign w:val="center"/>
          </w:tcPr>
          <w:p>
            <w:pPr>
              <w:keepNext w:val="0"/>
              <w:keepLines w:val="0"/>
              <w:widowControl/>
              <w:suppressLineNumbers w:val="0"/>
              <w:jc w:val="center"/>
              <w:textAlignment w:val="center"/>
              <w:rPr>
                <w:rFonts w:hint="eastAsia" w:hAnsi="宋体" w:cs="宋体"/>
                <w:color w:val="000000"/>
                <w:sz w:val="22"/>
              </w:rPr>
            </w:pPr>
            <w:r>
              <w:rPr>
                <w:rFonts w:hint="eastAsia" w:ascii="宋体" w:hAnsi="宋体" w:eastAsia="宋体" w:cs="宋体"/>
                <w:i w:val="0"/>
                <w:color w:val="000000"/>
                <w:kern w:val="0"/>
                <w:position w:val="-6"/>
                <w:sz w:val="22"/>
                <w:szCs w:val="22"/>
                <w:u w:val="none"/>
                <w:lang w:val="en-US" w:eastAsia="zh-CN" w:bidi="ar"/>
              </w:rPr>
              <w:t>7</w:t>
            </w:r>
          </w:p>
        </w:tc>
        <w:tc>
          <w:tcPr>
            <w:tcW w:w="3771"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料阀限位开关（阀门配套）Limit switch of material valve（阀门配套）</w:t>
            </w:r>
          </w:p>
        </w:tc>
        <w:tc>
          <w:tcPr>
            <w:tcW w:w="3396"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XS618B1MAL2C  电压等级：220VAC</w:t>
            </w:r>
          </w:p>
        </w:tc>
        <w:tc>
          <w:tcPr>
            <w:tcW w:w="1692"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件pieces</w:t>
            </w:r>
          </w:p>
        </w:tc>
        <w:tc>
          <w:tcPr>
            <w:tcW w:w="1392"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4</w:t>
            </w:r>
          </w:p>
        </w:tc>
        <w:tc>
          <w:tcPr>
            <w:tcW w:w="3156" w:type="dxa"/>
            <w:tcBorders>
              <w:top w:val="single" w:color="000000" w:sz="4" w:space="0"/>
              <w:left w:val="single" w:color="000000" w:sz="4" w:space="0"/>
              <w:bottom w:val="single" w:color="000000" w:sz="4" w:space="0"/>
            </w:tcBorders>
            <w:textDirection w:val="lrTb"/>
            <w:vAlign w:val="center"/>
          </w:tcPr>
          <w:p>
            <w:pPr>
              <w:jc w:val="center"/>
              <w:rPr>
                <w:rFonts w:hint="eastAsia" w:ascii="宋体" w:hAnsi="宋体" w:eastAsia="宋体" w:cs="宋体"/>
                <w:i w:val="0"/>
                <w:color w:val="000000"/>
                <w:kern w:val="0"/>
                <w:position w:val="-6"/>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20" w:hRule="atLeast"/>
        </w:trPr>
        <w:tc>
          <w:tcPr>
            <w:tcW w:w="660" w:type="dxa"/>
            <w:tcBorders>
              <w:top w:val="single" w:color="000000" w:sz="4" w:space="0"/>
              <w:bottom w:val="nil"/>
              <w:right w:val="single" w:color="000000" w:sz="4" w:space="0"/>
            </w:tcBorders>
            <w:textDirection w:val="lrTb"/>
            <w:vAlign w:val="center"/>
          </w:tcPr>
          <w:p>
            <w:pPr>
              <w:keepNext w:val="0"/>
              <w:keepLines w:val="0"/>
              <w:widowControl/>
              <w:suppressLineNumbers w:val="0"/>
              <w:jc w:val="center"/>
              <w:textAlignment w:val="center"/>
              <w:rPr>
                <w:rFonts w:hint="eastAsia" w:hAnsi="宋体" w:cs="宋体"/>
                <w:color w:val="000000"/>
                <w:sz w:val="22"/>
              </w:rPr>
            </w:pPr>
            <w:r>
              <w:rPr>
                <w:rFonts w:hint="eastAsia" w:ascii="宋体" w:hAnsi="宋体" w:eastAsia="宋体" w:cs="宋体"/>
                <w:i w:val="0"/>
                <w:color w:val="000000"/>
                <w:kern w:val="0"/>
                <w:position w:val="-6"/>
                <w:sz w:val="22"/>
                <w:szCs w:val="22"/>
                <w:u w:val="none"/>
                <w:lang w:val="en-US" w:eastAsia="zh-CN" w:bidi="ar"/>
              </w:rPr>
              <w:t>8</w:t>
            </w:r>
          </w:p>
        </w:tc>
        <w:tc>
          <w:tcPr>
            <w:tcW w:w="3771"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WIKA压力表（ZNJC05020701(10MPa、FP)）WIKA Pressure gauge（ZNJC05020701(10MPa、FP)）</w:t>
            </w:r>
          </w:p>
        </w:tc>
        <w:tc>
          <w:tcPr>
            <w:tcW w:w="3396"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ZNJC05020701(10MPa、FP</w:t>
            </w:r>
          </w:p>
        </w:tc>
        <w:tc>
          <w:tcPr>
            <w:tcW w:w="1692"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只only</w:t>
            </w:r>
          </w:p>
        </w:tc>
        <w:tc>
          <w:tcPr>
            <w:tcW w:w="1392"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1</w:t>
            </w:r>
          </w:p>
        </w:tc>
        <w:tc>
          <w:tcPr>
            <w:tcW w:w="3156" w:type="dxa"/>
            <w:tcBorders>
              <w:top w:val="single" w:color="000000" w:sz="4" w:space="0"/>
              <w:left w:val="single" w:color="000000" w:sz="4" w:space="0"/>
              <w:bottom w:val="single" w:color="000000" w:sz="4" w:space="0"/>
            </w:tcBorders>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position w:val="-6"/>
                <w:sz w:val="24"/>
                <w:szCs w:val="24"/>
                <w:u w:val="none"/>
                <w:lang w:val="en-US" w:eastAsia="zh-CN" w:bidi="ar"/>
              </w:rPr>
            </w:pPr>
            <w:r>
              <w:drawing>
                <wp:inline distT="0" distB="0" distL="114300" distR="114300">
                  <wp:extent cx="1422400" cy="989965"/>
                  <wp:effectExtent l="0" t="0" r="10160" b="635"/>
                  <wp:docPr id="1110" name="ID_6C64A9FB06444AD79AE7EEF8BA2A22F0" descr="ebcb98c8473384fc9e4cf101d76cc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 name="ID_6C64A9FB06444AD79AE7EEF8BA2A22F0" descr="ebcb98c8473384fc9e4cf101d76cc65"/>
                          <pic:cNvPicPr>
                            <a:picLocks noChangeAspect="1"/>
                          </pic:cNvPicPr>
                        </pic:nvPicPr>
                        <pic:blipFill>
                          <a:blip r:embed="rId11"/>
                          <a:srcRect t="23694" b="37592"/>
                          <a:stretch>
                            <a:fillRect/>
                          </a:stretch>
                        </pic:blipFill>
                        <pic:spPr>
                          <a:xfrm>
                            <a:off x="0" y="0"/>
                            <a:ext cx="1422400" cy="989965"/>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20" w:hRule="atLeast"/>
        </w:trPr>
        <w:tc>
          <w:tcPr>
            <w:tcW w:w="660" w:type="dxa"/>
            <w:tcBorders>
              <w:top w:val="single" w:color="000000" w:sz="4" w:space="0"/>
              <w:bottom w:val="nil"/>
              <w:right w:val="single" w:color="000000" w:sz="4" w:space="0"/>
            </w:tcBorders>
            <w:textDirection w:val="lrTb"/>
            <w:vAlign w:val="center"/>
          </w:tcPr>
          <w:p>
            <w:pPr>
              <w:keepNext w:val="0"/>
              <w:keepLines w:val="0"/>
              <w:widowControl/>
              <w:suppressLineNumbers w:val="0"/>
              <w:jc w:val="center"/>
              <w:textAlignment w:val="center"/>
              <w:rPr>
                <w:rFonts w:hint="eastAsia" w:hAnsi="宋体" w:cs="宋体"/>
                <w:color w:val="000000"/>
                <w:sz w:val="22"/>
              </w:rPr>
            </w:pPr>
            <w:r>
              <w:rPr>
                <w:rFonts w:hint="eastAsia" w:ascii="宋体" w:hAnsi="宋体" w:eastAsia="宋体" w:cs="宋体"/>
                <w:i w:val="0"/>
                <w:color w:val="000000"/>
                <w:kern w:val="0"/>
                <w:position w:val="-6"/>
                <w:sz w:val="22"/>
                <w:szCs w:val="22"/>
                <w:u w:val="none"/>
                <w:lang w:val="en-US" w:eastAsia="zh-CN" w:bidi="ar"/>
              </w:rPr>
              <w:t>9</w:t>
            </w:r>
          </w:p>
        </w:tc>
        <w:tc>
          <w:tcPr>
            <w:tcW w:w="3771"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管子pipe</w:t>
            </w:r>
          </w:p>
        </w:tc>
        <w:tc>
          <w:tcPr>
            <w:tcW w:w="3396"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φ38.1×7）（15CrMoG</w:t>
            </w:r>
          </w:p>
        </w:tc>
        <w:tc>
          <w:tcPr>
            <w:tcW w:w="1692"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米</w:t>
            </w:r>
          </w:p>
        </w:tc>
        <w:tc>
          <w:tcPr>
            <w:tcW w:w="1392"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50</w:t>
            </w:r>
          </w:p>
        </w:tc>
        <w:tc>
          <w:tcPr>
            <w:tcW w:w="3156" w:type="dxa"/>
            <w:tcBorders>
              <w:top w:val="single" w:color="000000" w:sz="4" w:space="0"/>
              <w:left w:val="single" w:color="000000" w:sz="4" w:space="0"/>
              <w:bottom w:val="single" w:color="000000" w:sz="4" w:space="0"/>
            </w:tcBorders>
            <w:textDirection w:val="lrTb"/>
            <w:vAlign w:val="center"/>
          </w:tcPr>
          <w:p>
            <w:pPr>
              <w:jc w:val="center"/>
              <w:rPr>
                <w:rFonts w:hint="eastAsia" w:ascii="宋体" w:hAnsi="宋体" w:eastAsia="宋体" w:cs="宋体"/>
                <w:i w:val="0"/>
                <w:color w:val="000000"/>
                <w:kern w:val="0"/>
                <w:position w:val="-6"/>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20" w:hRule="atLeast"/>
        </w:trPr>
        <w:tc>
          <w:tcPr>
            <w:tcW w:w="660" w:type="dxa"/>
            <w:tcBorders>
              <w:top w:val="single" w:color="000000" w:sz="4" w:space="0"/>
              <w:bottom w:val="nil"/>
              <w:right w:val="single" w:color="000000" w:sz="4" w:space="0"/>
            </w:tcBorders>
            <w:textDirection w:val="lrTb"/>
            <w:vAlign w:val="center"/>
          </w:tcPr>
          <w:p>
            <w:pPr>
              <w:keepNext w:val="0"/>
              <w:keepLines w:val="0"/>
              <w:widowControl/>
              <w:suppressLineNumbers w:val="0"/>
              <w:jc w:val="center"/>
              <w:textAlignment w:val="center"/>
              <w:rPr>
                <w:rFonts w:hint="eastAsia" w:hAnsi="宋体" w:cs="宋体"/>
                <w:color w:val="000000"/>
                <w:sz w:val="22"/>
              </w:rPr>
            </w:pPr>
            <w:r>
              <w:rPr>
                <w:rFonts w:hint="eastAsia" w:ascii="宋体" w:hAnsi="宋体" w:eastAsia="宋体" w:cs="宋体"/>
                <w:i w:val="0"/>
                <w:color w:val="000000"/>
                <w:kern w:val="0"/>
                <w:position w:val="-6"/>
                <w:sz w:val="22"/>
                <w:szCs w:val="22"/>
                <w:u w:val="none"/>
                <w:lang w:val="en-US" w:eastAsia="zh-CN" w:bidi="ar"/>
              </w:rPr>
              <w:t>10</w:t>
            </w:r>
          </w:p>
        </w:tc>
        <w:tc>
          <w:tcPr>
            <w:tcW w:w="3771"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管子pipe</w:t>
            </w:r>
          </w:p>
        </w:tc>
        <w:tc>
          <w:tcPr>
            <w:tcW w:w="3396"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（φ76×20）（12Cr1MoVG）</w:t>
            </w:r>
          </w:p>
        </w:tc>
        <w:tc>
          <w:tcPr>
            <w:tcW w:w="1692"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米</w:t>
            </w:r>
          </w:p>
        </w:tc>
        <w:tc>
          <w:tcPr>
            <w:tcW w:w="1392"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10</w:t>
            </w:r>
          </w:p>
        </w:tc>
        <w:tc>
          <w:tcPr>
            <w:tcW w:w="3156" w:type="dxa"/>
            <w:tcBorders>
              <w:top w:val="single" w:color="000000" w:sz="4" w:space="0"/>
              <w:left w:val="single" w:color="000000" w:sz="4" w:space="0"/>
              <w:bottom w:val="single" w:color="000000" w:sz="4" w:space="0"/>
            </w:tcBorders>
            <w:textDirection w:val="lrTb"/>
            <w:vAlign w:val="center"/>
          </w:tcPr>
          <w:p>
            <w:pPr>
              <w:jc w:val="center"/>
              <w:rPr>
                <w:rFonts w:hint="eastAsia" w:ascii="宋体" w:hAnsi="宋体" w:eastAsia="宋体" w:cs="宋体"/>
                <w:i w:val="0"/>
                <w:color w:val="000000"/>
                <w:kern w:val="0"/>
                <w:position w:val="-6"/>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20" w:hRule="atLeast"/>
        </w:trPr>
        <w:tc>
          <w:tcPr>
            <w:tcW w:w="660" w:type="dxa"/>
            <w:tcBorders>
              <w:top w:val="single" w:color="000000" w:sz="4" w:space="0"/>
              <w:bottom w:val="nil"/>
              <w:right w:val="single" w:color="000000" w:sz="4" w:space="0"/>
            </w:tcBorders>
            <w:textDirection w:val="lrTb"/>
            <w:vAlign w:val="center"/>
          </w:tcPr>
          <w:p>
            <w:pPr>
              <w:keepNext w:val="0"/>
              <w:keepLines w:val="0"/>
              <w:widowControl/>
              <w:suppressLineNumbers w:val="0"/>
              <w:jc w:val="center"/>
              <w:textAlignment w:val="center"/>
              <w:rPr>
                <w:rFonts w:hint="eastAsia" w:hAnsi="宋体" w:cs="宋体"/>
                <w:color w:val="000000"/>
                <w:sz w:val="22"/>
              </w:rPr>
            </w:pPr>
            <w:r>
              <w:rPr>
                <w:rFonts w:hint="eastAsia" w:ascii="宋体" w:hAnsi="宋体" w:eastAsia="宋体" w:cs="宋体"/>
                <w:i w:val="0"/>
                <w:color w:val="000000"/>
                <w:kern w:val="0"/>
                <w:position w:val="-6"/>
                <w:sz w:val="22"/>
                <w:szCs w:val="22"/>
                <w:u w:val="none"/>
                <w:lang w:val="en-US" w:eastAsia="zh-CN" w:bidi="ar"/>
              </w:rPr>
              <w:t>11</w:t>
            </w:r>
          </w:p>
        </w:tc>
        <w:tc>
          <w:tcPr>
            <w:tcW w:w="3771"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截止阀盘根（每种规格）Globe valve packing（每种规格）</w:t>
            </w:r>
          </w:p>
        </w:tc>
        <w:tc>
          <w:tcPr>
            <w:tcW w:w="3396"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24*40*8</w:t>
            </w:r>
          </w:p>
        </w:tc>
        <w:tc>
          <w:tcPr>
            <w:tcW w:w="1692"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套Set</w:t>
            </w:r>
          </w:p>
        </w:tc>
        <w:tc>
          <w:tcPr>
            <w:tcW w:w="1392"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1</w:t>
            </w:r>
          </w:p>
        </w:tc>
        <w:tc>
          <w:tcPr>
            <w:tcW w:w="3156" w:type="dxa"/>
            <w:tcBorders>
              <w:top w:val="single" w:color="000000" w:sz="4" w:space="0"/>
              <w:left w:val="single" w:color="000000" w:sz="4" w:space="0"/>
              <w:bottom w:val="single" w:color="000000" w:sz="4" w:space="0"/>
            </w:tcBorders>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position w:val="-6"/>
                <w:sz w:val="24"/>
                <w:szCs w:val="24"/>
                <w:u w:val="none"/>
                <w:lang w:val="en-US" w:eastAsia="zh-CN" w:bidi="ar"/>
              </w:rPr>
            </w:pPr>
            <w:r>
              <w:rPr>
                <w:rFonts w:hint="eastAsia" w:ascii="宋体" w:hAnsi="宋体" w:eastAsia="宋体" w:cs="宋体"/>
                <w:i w:val="0"/>
                <w:color w:val="000000"/>
                <w:kern w:val="0"/>
                <w:position w:val="-6"/>
                <w:sz w:val="20"/>
                <w:szCs w:val="20"/>
                <w:u w:val="none"/>
                <w:lang w:val="en-US" w:eastAsia="zh-CN" w:bidi="ar"/>
              </w:rPr>
              <w:t>24*40*8石墨盘根，每套10个</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20" w:hRule="atLeast"/>
        </w:trPr>
        <w:tc>
          <w:tcPr>
            <w:tcW w:w="660" w:type="dxa"/>
            <w:tcBorders>
              <w:top w:val="single" w:color="000000" w:sz="4" w:space="0"/>
              <w:bottom w:val="nil"/>
              <w:right w:val="single" w:color="000000" w:sz="4" w:space="0"/>
            </w:tcBorders>
            <w:textDirection w:val="lrTb"/>
            <w:vAlign w:val="center"/>
          </w:tcPr>
          <w:p>
            <w:pPr>
              <w:keepNext w:val="0"/>
              <w:keepLines w:val="0"/>
              <w:widowControl/>
              <w:suppressLineNumbers w:val="0"/>
              <w:jc w:val="center"/>
              <w:textAlignment w:val="center"/>
              <w:rPr>
                <w:rFonts w:hint="eastAsia" w:hAnsi="宋体" w:cs="宋体"/>
                <w:color w:val="000000"/>
                <w:sz w:val="22"/>
              </w:rPr>
            </w:pPr>
            <w:r>
              <w:rPr>
                <w:rFonts w:hint="eastAsia" w:ascii="宋体" w:hAnsi="宋体" w:eastAsia="宋体" w:cs="宋体"/>
                <w:i w:val="0"/>
                <w:color w:val="000000"/>
                <w:kern w:val="0"/>
                <w:position w:val="-6"/>
                <w:sz w:val="22"/>
                <w:szCs w:val="22"/>
                <w:u w:val="none"/>
                <w:lang w:val="en-US" w:eastAsia="zh-CN" w:bidi="ar"/>
              </w:rPr>
              <w:t>12</w:t>
            </w:r>
          </w:p>
        </w:tc>
        <w:tc>
          <w:tcPr>
            <w:tcW w:w="3771"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速度检测器Speed detector</w:t>
            </w:r>
          </w:p>
        </w:tc>
        <w:tc>
          <w:tcPr>
            <w:tcW w:w="3396"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SDJ-B</w:t>
            </w:r>
          </w:p>
        </w:tc>
        <w:tc>
          <w:tcPr>
            <w:tcW w:w="1692"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件piece</w:t>
            </w:r>
          </w:p>
        </w:tc>
        <w:tc>
          <w:tcPr>
            <w:tcW w:w="1392"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1</w:t>
            </w:r>
          </w:p>
        </w:tc>
        <w:tc>
          <w:tcPr>
            <w:tcW w:w="3156" w:type="dxa"/>
            <w:tcBorders>
              <w:top w:val="single" w:color="000000" w:sz="4" w:space="0"/>
              <w:left w:val="single" w:color="000000" w:sz="4" w:space="0"/>
              <w:bottom w:val="single" w:color="000000" w:sz="4" w:space="0"/>
            </w:tcBorders>
            <w:textDirection w:val="lrTb"/>
            <w:vAlign w:val="center"/>
          </w:tcPr>
          <w:p>
            <w:pPr>
              <w:keepNext w:val="0"/>
              <w:keepLines w:val="0"/>
              <w:widowControl/>
              <w:suppressLineNumbers w:val="0"/>
              <w:jc w:val="left"/>
              <w:textAlignment w:val="center"/>
              <w:rPr>
                <w:rFonts w:hint="eastAsia" w:ascii="宋体" w:hAnsi="宋体" w:eastAsia="宋体" w:cs="宋体"/>
                <w:i w:val="0"/>
                <w:color w:val="000000"/>
                <w:kern w:val="0"/>
                <w:position w:val="-6"/>
                <w:sz w:val="24"/>
                <w:szCs w:val="24"/>
                <w:u w:val="none"/>
                <w:lang w:val="en-US" w:eastAsia="zh-CN" w:bidi="ar"/>
              </w:rPr>
            </w:pPr>
            <w:r>
              <w:drawing>
                <wp:inline distT="0" distB="0" distL="114300" distR="114300">
                  <wp:extent cx="723265" cy="967740"/>
                  <wp:effectExtent l="0" t="0" r="8255" b="7620"/>
                  <wp:docPr id="1111" name="ID_E802F4F668D846CC87719EA89D86EC05" descr="019ae791320afcb22daf86bc37084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 name="ID_E802F4F668D846CC87719EA89D86EC05" descr="019ae791320afcb22daf86bc37084e6"/>
                          <pic:cNvPicPr>
                            <a:picLocks noChangeAspect="1"/>
                          </pic:cNvPicPr>
                        </pic:nvPicPr>
                        <pic:blipFill>
                          <a:blip r:embed="rId12"/>
                          <a:stretch>
                            <a:fillRect/>
                          </a:stretch>
                        </pic:blipFill>
                        <pic:spPr>
                          <a:xfrm>
                            <a:off x="0" y="0"/>
                            <a:ext cx="723265" cy="967740"/>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20" w:hRule="atLeast"/>
        </w:trPr>
        <w:tc>
          <w:tcPr>
            <w:tcW w:w="660" w:type="dxa"/>
            <w:tcBorders>
              <w:top w:val="single" w:color="000000" w:sz="4" w:space="0"/>
              <w:bottom w:val="nil"/>
              <w:right w:val="single" w:color="000000" w:sz="4" w:space="0"/>
            </w:tcBorders>
            <w:textDirection w:val="lrTb"/>
            <w:vAlign w:val="center"/>
          </w:tcPr>
          <w:p>
            <w:pPr>
              <w:keepNext w:val="0"/>
              <w:keepLines w:val="0"/>
              <w:widowControl/>
              <w:suppressLineNumbers w:val="0"/>
              <w:jc w:val="center"/>
              <w:textAlignment w:val="center"/>
              <w:rPr>
                <w:rFonts w:hint="eastAsia" w:hAnsi="宋体" w:cs="宋体"/>
                <w:color w:val="000000"/>
                <w:sz w:val="22"/>
              </w:rPr>
            </w:pPr>
            <w:r>
              <w:rPr>
                <w:rFonts w:hint="eastAsia" w:ascii="宋体" w:hAnsi="宋体" w:eastAsia="宋体" w:cs="宋体"/>
                <w:i w:val="0"/>
                <w:color w:val="000000"/>
                <w:kern w:val="0"/>
                <w:position w:val="-6"/>
                <w:sz w:val="22"/>
                <w:szCs w:val="22"/>
                <w:u w:val="none"/>
                <w:lang w:val="en-US" w:eastAsia="zh-CN" w:bidi="ar"/>
              </w:rPr>
              <w:t>13</w:t>
            </w:r>
          </w:p>
        </w:tc>
        <w:tc>
          <w:tcPr>
            <w:tcW w:w="3771"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Speed sensor转速传感器</w:t>
            </w:r>
          </w:p>
        </w:tc>
        <w:tc>
          <w:tcPr>
            <w:tcW w:w="3396"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2"/>
              </w:rPr>
            </w:pPr>
            <w:r>
              <w:rPr>
                <w:rFonts w:hint="eastAsia" w:ascii="宋体" w:hAnsi="宋体" w:eastAsia="宋体" w:cs="宋体"/>
                <w:i w:val="0"/>
                <w:color w:val="000000"/>
                <w:kern w:val="0"/>
                <w:position w:val="-6"/>
                <w:sz w:val="22"/>
                <w:szCs w:val="22"/>
                <w:u w:val="none"/>
                <w:lang w:val="en-US" w:eastAsia="zh-CN" w:bidi="ar"/>
              </w:rPr>
              <w:t>PR9376/20</w:t>
            </w:r>
          </w:p>
        </w:tc>
        <w:tc>
          <w:tcPr>
            <w:tcW w:w="1692"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Set</w:t>
            </w:r>
          </w:p>
        </w:tc>
        <w:tc>
          <w:tcPr>
            <w:tcW w:w="1392"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1</w:t>
            </w:r>
          </w:p>
        </w:tc>
        <w:tc>
          <w:tcPr>
            <w:tcW w:w="3156" w:type="dxa"/>
            <w:tcBorders>
              <w:top w:val="single" w:color="000000" w:sz="4" w:space="0"/>
              <w:left w:val="single" w:color="000000" w:sz="4" w:space="0"/>
              <w:bottom w:val="single" w:color="000000" w:sz="4" w:space="0"/>
            </w:tcBorders>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position w:val="-6"/>
                <w:sz w:val="24"/>
                <w:szCs w:val="24"/>
                <w:u w:val="none"/>
                <w:lang w:val="en-US" w:eastAsia="zh-CN" w:bidi="ar"/>
              </w:rPr>
            </w:pPr>
            <w:r>
              <w:drawing>
                <wp:inline distT="0" distB="0" distL="114300" distR="114300">
                  <wp:extent cx="766445" cy="766445"/>
                  <wp:effectExtent l="0" t="0" r="10795" b="10795"/>
                  <wp:docPr id="1109" name="ID_EDDC17E311BA4D2AAD86FFF37E13403C" descr="ec784104bfc372220cba7e65979d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 name="ID_EDDC17E311BA4D2AAD86FFF37E13403C" descr="ec784104bfc372220cba7e65979d024"/>
                          <pic:cNvPicPr>
                            <a:picLocks noChangeAspect="1"/>
                          </pic:cNvPicPr>
                        </pic:nvPicPr>
                        <pic:blipFill>
                          <a:blip r:embed="rId13"/>
                          <a:stretch>
                            <a:fillRect/>
                          </a:stretch>
                        </pic:blipFill>
                        <pic:spPr>
                          <a:xfrm>
                            <a:off x="0" y="0"/>
                            <a:ext cx="766445" cy="766445"/>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20" w:hRule="atLeast"/>
        </w:trPr>
        <w:tc>
          <w:tcPr>
            <w:tcW w:w="660" w:type="dxa"/>
            <w:tcBorders>
              <w:top w:val="single" w:color="000000" w:sz="4" w:space="0"/>
              <w:bottom w:val="nil"/>
              <w:right w:val="single" w:color="000000" w:sz="4" w:space="0"/>
            </w:tcBorders>
            <w:textDirection w:val="lrTb"/>
            <w:vAlign w:val="center"/>
          </w:tcPr>
          <w:p>
            <w:pPr>
              <w:keepNext w:val="0"/>
              <w:keepLines w:val="0"/>
              <w:widowControl/>
              <w:suppressLineNumbers w:val="0"/>
              <w:jc w:val="center"/>
              <w:textAlignment w:val="center"/>
              <w:rPr>
                <w:rFonts w:hint="eastAsia" w:hAnsi="宋体" w:cs="宋体"/>
                <w:color w:val="000000"/>
                <w:sz w:val="22"/>
              </w:rPr>
            </w:pPr>
            <w:r>
              <w:rPr>
                <w:rFonts w:hint="eastAsia" w:ascii="宋体" w:hAnsi="宋体" w:eastAsia="宋体" w:cs="宋体"/>
                <w:i w:val="0"/>
                <w:color w:val="000000"/>
                <w:kern w:val="0"/>
                <w:position w:val="-6"/>
                <w:sz w:val="22"/>
                <w:szCs w:val="22"/>
                <w:u w:val="none"/>
                <w:lang w:val="en-US" w:eastAsia="zh-CN" w:bidi="ar"/>
              </w:rPr>
              <w:t>14</w:t>
            </w:r>
          </w:p>
        </w:tc>
        <w:tc>
          <w:tcPr>
            <w:tcW w:w="3771"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Speed sensor转速传感器</w:t>
            </w:r>
          </w:p>
        </w:tc>
        <w:tc>
          <w:tcPr>
            <w:tcW w:w="3396"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2"/>
              </w:rPr>
            </w:pPr>
            <w:r>
              <w:rPr>
                <w:rFonts w:hint="eastAsia" w:ascii="宋体" w:hAnsi="宋体" w:eastAsia="宋体" w:cs="宋体"/>
                <w:i w:val="0"/>
                <w:color w:val="000000"/>
                <w:kern w:val="0"/>
                <w:position w:val="-6"/>
                <w:sz w:val="22"/>
                <w:szCs w:val="22"/>
                <w:u w:val="none"/>
                <w:lang w:val="en-US" w:eastAsia="zh-CN" w:bidi="ar"/>
              </w:rPr>
              <w:t>ZS-04-75-8000</w:t>
            </w:r>
          </w:p>
        </w:tc>
        <w:tc>
          <w:tcPr>
            <w:tcW w:w="1692"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Set</w:t>
            </w:r>
          </w:p>
        </w:tc>
        <w:tc>
          <w:tcPr>
            <w:tcW w:w="1392"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1</w:t>
            </w:r>
          </w:p>
        </w:tc>
        <w:tc>
          <w:tcPr>
            <w:tcW w:w="3156" w:type="dxa"/>
            <w:tcBorders>
              <w:top w:val="single" w:color="000000" w:sz="4" w:space="0"/>
              <w:left w:val="single" w:color="000000" w:sz="4" w:space="0"/>
              <w:bottom w:val="single" w:color="000000" w:sz="4" w:space="0"/>
            </w:tcBorders>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position w:val="-6"/>
                <w:sz w:val="24"/>
                <w:szCs w:val="24"/>
                <w:u w:val="none"/>
                <w:lang w:val="en-US" w:eastAsia="zh-CN" w:bidi="ar"/>
              </w:rPr>
            </w:pPr>
            <w:r>
              <w:drawing>
                <wp:inline distT="0" distB="0" distL="114300" distR="114300">
                  <wp:extent cx="659130" cy="479425"/>
                  <wp:effectExtent l="0" t="0" r="11430" b="8255"/>
                  <wp:docPr id="1112" name="ID_027CD1B12AA348C7B683C9C1550D3056" descr="beeaf08ce40d6186d9caa000b505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 name="ID_027CD1B12AA348C7B683C9C1550D3056" descr="beeaf08ce40d6186d9caa000b505065"/>
                          <pic:cNvPicPr>
                            <a:picLocks noChangeAspect="1"/>
                          </pic:cNvPicPr>
                        </pic:nvPicPr>
                        <pic:blipFill>
                          <a:blip r:embed="rId14"/>
                          <a:stretch>
                            <a:fillRect/>
                          </a:stretch>
                        </pic:blipFill>
                        <pic:spPr>
                          <a:xfrm>
                            <a:off x="0" y="0"/>
                            <a:ext cx="659130" cy="479425"/>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20" w:hRule="atLeast"/>
        </w:trPr>
        <w:tc>
          <w:tcPr>
            <w:tcW w:w="660" w:type="dxa"/>
            <w:tcBorders>
              <w:top w:val="single" w:color="000000" w:sz="4" w:space="0"/>
              <w:bottom w:val="nil"/>
              <w:right w:val="single" w:color="000000" w:sz="4" w:space="0"/>
            </w:tcBorders>
            <w:textDirection w:val="lrTb"/>
            <w:vAlign w:val="center"/>
          </w:tcPr>
          <w:p>
            <w:pPr>
              <w:keepNext w:val="0"/>
              <w:keepLines w:val="0"/>
              <w:widowControl/>
              <w:suppressLineNumbers w:val="0"/>
              <w:jc w:val="center"/>
              <w:textAlignment w:val="center"/>
              <w:rPr>
                <w:rFonts w:hint="eastAsia" w:hAnsi="宋体" w:cs="宋体"/>
                <w:color w:val="000000"/>
                <w:sz w:val="22"/>
              </w:rPr>
            </w:pPr>
            <w:r>
              <w:rPr>
                <w:rFonts w:hint="eastAsia" w:ascii="宋体" w:hAnsi="宋体" w:eastAsia="宋体" w:cs="宋体"/>
                <w:i w:val="0"/>
                <w:color w:val="000000"/>
                <w:kern w:val="0"/>
                <w:position w:val="-6"/>
                <w:sz w:val="22"/>
                <w:szCs w:val="22"/>
                <w:u w:val="none"/>
                <w:lang w:val="en-US" w:eastAsia="zh-CN" w:bidi="ar"/>
              </w:rPr>
              <w:t>15</w:t>
            </w:r>
          </w:p>
        </w:tc>
        <w:tc>
          <w:tcPr>
            <w:tcW w:w="3771"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Silica gel  硅胶</w:t>
            </w:r>
          </w:p>
        </w:tc>
        <w:tc>
          <w:tcPr>
            <w:tcW w:w="3396"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HKCL-280</w:t>
            </w:r>
          </w:p>
        </w:tc>
        <w:tc>
          <w:tcPr>
            <w:tcW w:w="1692"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Kg</w:t>
            </w:r>
          </w:p>
        </w:tc>
        <w:tc>
          <w:tcPr>
            <w:tcW w:w="1392"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5</w:t>
            </w:r>
          </w:p>
        </w:tc>
        <w:tc>
          <w:tcPr>
            <w:tcW w:w="3156" w:type="dxa"/>
            <w:tcBorders>
              <w:top w:val="single" w:color="000000" w:sz="4" w:space="0"/>
              <w:left w:val="single" w:color="000000" w:sz="4" w:space="0"/>
              <w:bottom w:val="single" w:color="000000" w:sz="4" w:space="0"/>
            </w:tcBorders>
            <w:textDirection w:val="lrTb"/>
            <w:vAlign w:val="center"/>
          </w:tcPr>
          <w:p>
            <w:pPr>
              <w:jc w:val="center"/>
              <w:rPr>
                <w:rFonts w:hint="eastAsia" w:ascii="宋体" w:hAnsi="宋体" w:eastAsia="宋体" w:cs="宋体"/>
                <w:i w:val="0"/>
                <w:color w:val="000000"/>
                <w:kern w:val="0"/>
                <w:position w:val="-6"/>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20" w:hRule="atLeast"/>
        </w:trPr>
        <w:tc>
          <w:tcPr>
            <w:tcW w:w="660" w:type="dxa"/>
            <w:tcBorders>
              <w:top w:val="single" w:color="000000" w:sz="4" w:space="0"/>
              <w:bottom w:val="nil"/>
              <w:right w:val="single" w:color="000000" w:sz="4" w:space="0"/>
            </w:tcBorders>
            <w:textDirection w:val="lrTb"/>
            <w:vAlign w:val="center"/>
          </w:tcPr>
          <w:p>
            <w:pPr>
              <w:keepNext w:val="0"/>
              <w:keepLines w:val="0"/>
              <w:widowControl/>
              <w:suppressLineNumbers w:val="0"/>
              <w:jc w:val="center"/>
              <w:textAlignment w:val="center"/>
              <w:rPr>
                <w:rFonts w:hint="eastAsia" w:hAnsi="宋体" w:cs="宋体"/>
                <w:color w:val="000000"/>
                <w:sz w:val="22"/>
              </w:rPr>
            </w:pPr>
            <w:r>
              <w:rPr>
                <w:rFonts w:hint="eastAsia" w:ascii="宋体" w:hAnsi="宋体" w:eastAsia="宋体" w:cs="宋体"/>
                <w:i w:val="0"/>
                <w:color w:val="000000"/>
                <w:kern w:val="0"/>
                <w:position w:val="-6"/>
                <w:sz w:val="22"/>
                <w:szCs w:val="22"/>
                <w:u w:val="none"/>
                <w:lang w:val="en-US" w:eastAsia="zh-CN" w:bidi="ar"/>
              </w:rPr>
              <w:t>16</w:t>
            </w:r>
          </w:p>
        </w:tc>
        <w:tc>
          <w:tcPr>
            <w:tcW w:w="3771"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DC air breaker  直流空气断路器</w:t>
            </w:r>
          </w:p>
        </w:tc>
        <w:tc>
          <w:tcPr>
            <w:tcW w:w="3396"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S202M-C63DC</w:t>
            </w:r>
          </w:p>
        </w:tc>
        <w:tc>
          <w:tcPr>
            <w:tcW w:w="1692"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 xml:space="preserve">Pc  </w:t>
            </w:r>
          </w:p>
        </w:tc>
        <w:tc>
          <w:tcPr>
            <w:tcW w:w="1392"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1</w:t>
            </w:r>
          </w:p>
        </w:tc>
        <w:tc>
          <w:tcPr>
            <w:tcW w:w="3156" w:type="dxa"/>
            <w:tcBorders>
              <w:top w:val="single" w:color="000000" w:sz="4" w:space="0"/>
              <w:left w:val="single" w:color="000000" w:sz="4" w:space="0"/>
              <w:bottom w:val="single" w:color="000000" w:sz="4" w:space="0"/>
            </w:tcBorders>
            <w:textDirection w:val="lrTb"/>
            <w:vAlign w:val="center"/>
          </w:tcPr>
          <w:p>
            <w:pPr>
              <w:jc w:val="center"/>
              <w:rPr>
                <w:rFonts w:hint="eastAsia" w:ascii="宋体" w:hAnsi="宋体" w:eastAsia="宋体" w:cs="宋体"/>
                <w:i w:val="0"/>
                <w:color w:val="000000"/>
                <w:kern w:val="0"/>
                <w:position w:val="-6"/>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20" w:hRule="atLeast"/>
        </w:trPr>
        <w:tc>
          <w:tcPr>
            <w:tcW w:w="660" w:type="dxa"/>
            <w:tcBorders>
              <w:top w:val="single" w:color="000000" w:sz="4" w:space="0"/>
              <w:bottom w:val="nil"/>
              <w:right w:val="single" w:color="000000" w:sz="4" w:space="0"/>
            </w:tcBorders>
            <w:textDirection w:val="lrTb"/>
            <w:vAlign w:val="center"/>
          </w:tcPr>
          <w:p>
            <w:pPr>
              <w:keepNext w:val="0"/>
              <w:keepLines w:val="0"/>
              <w:widowControl/>
              <w:suppressLineNumbers w:val="0"/>
              <w:jc w:val="center"/>
              <w:textAlignment w:val="center"/>
              <w:rPr>
                <w:rFonts w:hint="eastAsia" w:hAnsi="宋体" w:cs="宋体"/>
                <w:color w:val="000000"/>
                <w:sz w:val="22"/>
              </w:rPr>
            </w:pPr>
            <w:r>
              <w:rPr>
                <w:rFonts w:hint="eastAsia" w:ascii="宋体" w:hAnsi="宋体" w:eastAsia="宋体" w:cs="宋体"/>
                <w:i w:val="0"/>
                <w:color w:val="000000"/>
                <w:kern w:val="0"/>
                <w:position w:val="-6"/>
                <w:sz w:val="22"/>
                <w:szCs w:val="22"/>
                <w:u w:val="none"/>
                <w:lang w:val="en-US" w:eastAsia="zh-CN" w:bidi="ar"/>
              </w:rPr>
              <w:t>17</w:t>
            </w:r>
          </w:p>
        </w:tc>
        <w:tc>
          <w:tcPr>
            <w:tcW w:w="3771"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main circuit fuse  主电路保险丝</w:t>
            </w:r>
          </w:p>
        </w:tc>
        <w:tc>
          <w:tcPr>
            <w:tcW w:w="3396"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NT4-1250A/660V</w:t>
            </w:r>
          </w:p>
        </w:tc>
        <w:tc>
          <w:tcPr>
            <w:tcW w:w="1692"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 xml:space="preserve">Pc  </w:t>
            </w:r>
          </w:p>
        </w:tc>
        <w:tc>
          <w:tcPr>
            <w:tcW w:w="1392"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2</w:t>
            </w:r>
          </w:p>
        </w:tc>
        <w:tc>
          <w:tcPr>
            <w:tcW w:w="3156" w:type="dxa"/>
            <w:tcBorders>
              <w:top w:val="single" w:color="000000" w:sz="4" w:space="0"/>
              <w:left w:val="single" w:color="000000" w:sz="4" w:space="0"/>
              <w:bottom w:val="single" w:color="000000" w:sz="4" w:space="0"/>
            </w:tcBorders>
            <w:textDirection w:val="lrTb"/>
            <w:vAlign w:val="center"/>
          </w:tcPr>
          <w:p>
            <w:pPr>
              <w:jc w:val="center"/>
              <w:rPr>
                <w:rFonts w:hint="eastAsia" w:ascii="宋体" w:hAnsi="宋体" w:eastAsia="宋体" w:cs="宋体"/>
                <w:i w:val="0"/>
                <w:color w:val="000000"/>
                <w:kern w:val="0"/>
                <w:position w:val="-6"/>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20" w:hRule="atLeast"/>
        </w:trPr>
        <w:tc>
          <w:tcPr>
            <w:tcW w:w="660" w:type="dxa"/>
            <w:tcBorders>
              <w:top w:val="single" w:color="000000" w:sz="4" w:space="0"/>
              <w:bottom w:val="nil"/>
              <w:right w:val="single" w:color="000000" w:sz="4" w:space="0"/>
            </w:tcBorders>
            <w:textDirection w:val="lrTb"/>
            <w:vAlign w:val="center"/>
          </w:tcPr>
          <w:p>
            <w:pPr>
              <w:keepNext w:val="0"/>
              <w:keepLines w:val="0"/>
              <w:widowControl/>
              <w:suppressLineNumbers w:val="0"/>
              <w:jc w:val="center"/>
              <w:textAlignment w:val="center"/>
              <w:rPr>
                <w:rFonts w:hint="eastAsia" w:hAnsi="宋体" w:cs="宋体"/>
                <w:color w:val="000000"/>
                <w:sz w:val="22"/>
              </w:rPr>
            </w:pPr>
            <w:r>
              <w:rPr>
                <w:rFonts w:hint="eastAsia" w:ascii="宋体" w:hAnsi="宋体" w:eastAsia="宋体" w:cs="宋体"/>
                <w:i w:val="0"/>
                <w:color w:val="000000"/>
                <w:kern w:val="0"/>
                <w:position w:val="-6"/>
                <w:sz w:val="22"/>
                <w:szCs w:val="22"/>
                <w:u w:val="none"/>
                <w:lang w:val="en-US" w:eastAsia="zh-CN" w:bidi="ar"/>
              </w:rPr>
              <w:t>18</w:t>
            </w:r>
          </w:p>
        </w:tc>
        <w:tc>
          <w:tcPr>
            <w:tcW w:w="3771"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Push button with different colors不同颜色的按钮</w:t>
            </w:r>
          </w:p>
        </w:tc>
        <w:tc>
          <w:tcPr>
            <w:tcW w:w="3396"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CP1-10G-10</w:t>
            </w:r>
          </w:p>
        </w:tc>
        <w:tc>
          <w:tcPr>
            <w:tcW w:w="1692"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Pc</w:t>
            </w:r>
          </w:p>
        </w:tc>
        <w:tc>
          <w:tcPr>
            <w:tcW w:w="1392"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2</w:t>
            </w:r>
          </w:p>
        </w:tc>
        <w:tc>
          <w:tcPr>
            <w:tcW w:w="3156" w:type="dxa"/>
            <w:tcBorders>
              <w:top w:val="single" w:color="000000" w:sz="4" w:space="0"/>
              <w:left w:val="single" w:color="000000" w:sz="4" w:space="0"/>
              <w:bottom w:val="single" w:color="000000" w:sz="4" w:space="0"/>
            </w:tcBorders>
            <w:textDirection w:val="lrTb"/>
            <w:vAlign w:val="center"/>
          </w:tcPr>
          <w:p>
            <w:pPr>
              <w:jc w:val="center"/>
              <w:rPr>
                <w:rFonts w:hint="eastAsia" w:ascii="宋体" w:hAnsi="宋体" w:eastAsia="宋体" w:cs="宋体"/>
                <w:i w:val="0"/>
                <w:color w:val="000000"/>
                <w:kern w:val="0"/>
                <w:position w:val="-6"/>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20" w:hRule="atLeast"/>
        </w:trPr>
        <w:tc>
          <w:tcPr>
            <w:tcW w:w="660" w:type="dxa"/>
            <w:tcBorders>
              <w:top w:val="single" w:color="000000" w:sz="4" w:space="0"/>
              <w:bottom w:val="nil"/>
              <w:right w:val="single" w:color="000000" w:sz="4" w:space="0"/>
            </w:tcBorders>
            <w:textDirection w:val="lrTb"/>
            <w:vAlign w:val="center"/>
          </w:tcPr>
          <w:p>
            <w:pPr>
              <w:keepNext w:val="0"/>
              <w:keepLines w:val="0"/>
              <w:widowControl/>
              <w:suppressLineNumbers w:val="0"/>
              <w:jc w:val="center"/>
              <w:textAlignment w:val="center"/>
              <w:rPr>
                <w:rFonts w:hint="eastAsia" w:hAnsi="宋体" w:cs="宋体"/>
                <w:color w:val="000000"/>
                <w:sz w:val="22"/>
              </w:rPr>
            </w:pPr>
            <w:r>
              <w:rPr>
                <w:rFonts w:hint="eastAsia" w:ascii="宋体" w:hAnsi="宋体" w:eastAsia="宋体" w:cs="宋体"/>
                <w:i w:val="0"/>
                <w:color w:val="000000"/>
                <w:kern w:val="0"/>
                <w:position w:val="-6"/>
                <w:sz w:val="22"/>
                <w:szCs w:val="22"/>
                <w:u w:val="none"/>
                <w:lang w:val="en-US" w:eastAsia="zh-CN" w:bidi="ar"/>
              </w:rPr>
              <w:t>19</w:t>
            </w:r>
          </w:p>
        </w:tc>
        <w:tc>
          <w:tcPr>
            <w:tcW w:w="3771"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Changeover switch  转换开关</w:t>
            </w:r>
          </w:p>
        </w:tc>
        <w:tc>
          <w:tcPr>
            <w:tcW w:w="3396"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ADA20-3A244-4I/FT</w:t>
            </w:r>
          </w:p>
        </w:tc>
        <w:tc>
          <w:tcPr>
            <w:tcW w:w="1692"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Pc</w:t>
            </w:r>
          </w:p>
        </w:tc>
        <w:tc>
          <w:tcPr>
            <w:tcW w:w="1392"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1</w:t>
            </w:r>
          </w:p>
        </w:tc>
        <w:tc>
          <w:tcPr>
            <w:tcW w:w="3156" w:type="dxa"/>
            <w:tcBorders>
              <w:top w:val="single" w:color="000000" w:sz="4" w:space="0"/>
              <w:left w:val="single" w:color="000000" w:sz="4" w:space="0"/>
              <w:bottom w:val="single" w:color="000000" w:sz="4" w:space="0"/>
            </w:tcBorders>
            <w:textDirection w:val="lrTb"/>
            <w:vAlign w:val="center"/>
          </w:tcPr>
          <w:p>
            <w:pPr>
              <w:jc w:val="center"/>
              <w:rPr>
                <w:rFonts w:hint="eastAsia" w:ascii="宋体" w:hAnsi="宋体" w:eastAsia="宋体" w:cs="宋体"/>
                <w:i w:val="0"/>
                <w:color w:val="000000"/>
                <w:kern w:val="0"/>
                <w:position w:val="-6"/>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20" w:hRule="atLeast"/>
        </w:trPr>
        <w:tc>
          <w:tcPr>
            <w:tcW w:w="660" w:type="dxa"/>
            <w:tcBorders>
              <w:top w:val="single" w:color="000000" w:sz="4" w:space="0"/>
              <w:bottom w:val="nil"/>
              <w:right w:val="single" w:color="000000" w:sz="4" w:space="0"/>
            </w:tcBorders>
            <w:textDirection w:val="lrTb"/>
            <w:vAlign w:val="center"/>
          </w:tcPr>
          <w:p>
            <w:pPr>
              <w:keepNext w:val="0"/>
              <w:keepLines w:val="0"/>
              <w:widowControl/>
              <w:suppressLineNumbers w:val="0"/>
              <w:jc w:val="center"/>
              <w:textAlignment w:val="center"/>
              <w:rPr>
                <w:rFonts w:hint="eastAsia" w:hAnsi="宋体" w:cs="宋体"/>
                <w:color w:val="000000"/>
                <w:sz w:val="22"/>
              </w:rPr>
            </w:pPr>
            <w:r>
              <w:rPr>
                <w:rFonts w:hint="eastAsia" w:ascii="宋体" w:hAnsi="宋体" w:eastAsia="宋体" w:cs="宋体"/>
                <w:i w:val="0"/>
                <w:color w:val="000000"/>
                <w:kern w:val="0"/>
                <w:position w:val="-6"/>
                <w:sz w:val="22"/>
                <w:szCs w:val="22"/>
                <w:u w:val="none"/>
                <w:lang w:val="en-US" w:eastAsia="zh-CN" w:bidi="ar"/>
              </w:rPr>
              <w:t>20</w:t>
            </w:r>
          </w:p>
        </w:tc>
        <w:tc>
          <w:tcPr>
            <w:tcW w:w="3771"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GB8052 LED Explosion-proof Light/防爆灯</w:t>
            </w:r>
          </w:p>
        </w:tc>
        <w:tc>
          <w:tcPr>
            <w:tcW w:w="3396"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220V 30W 6000K IP66</w:t>
            </w:r>
          </w:p>
        </w:tc>
        <w:tc>
          <w:tcPr>
            <w:tcW w:w="1692"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套set</w:t>
            </w:r>
          </w:p>
        </w:tc>
        <w:tc>
          <w:tcPr>
            <w:tcW w:w="1392"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1</w:t>
            </w:r>
          </w:p>
        </w:tc>
        <w:tc>
          <w:tcPr>
            <w:tcW w:w="3156" w:type="dxa"/>
            <w:tcBorders>
              <w:top w:val="single" w:color="000000" w:sz="4" w:space="0"/>
              <w:left w:val="single" w:color="000000" w:sz="4" w:space="0"/>
              <w:bottom w:val="single" w:color="000000" w:sz="4" w:space="0"/>
            </w:tcBorders>
            <w:textDirection w:val="lrTb"/>
            <w:vAlign w:val="center"/>
          </w:tcPr>
          <w:p>
            <w:pPr>
              <w:jc w:val="center"/>
              <w:rPr>
                <w:rFonts w:hint="eastAsia" w:ascii="宋体" w:hAnsi="宋体" w:eastAsia="宋体" w:cs="宋体"/>
                <w:i w:val="0"/>
                <w:color w:val="000000"/>
                <w:kern w:val="0"/>
                <w:position w:val="-6"/>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20" w:hRule="atLeast"/>
        </w:trPr>
        <w:tc>
          <w:tcPr>
            <w:tcW w:w="660" w:type="dxa"/>
            <w:tcBorders>
              <w:top w:val="single" w:color="000000" w:sz="4" w:space="0"/>
              <w:bottom w:val="nil"/>
              <w:right w:val="single" w:color="000000" w:sz="4" w:space="0"/>
            </w:tcBorders>
            <w:textDirection w:val="lrTb"/>
            <w:vAlign w:val="center"/>
          </w:tcPr>
          <w:p>
            <w:pPr>
              <w:keepNext w:val="0"/>
              <w:keepLines w:val="0"/>
              <w:widowControl/>
              <w:suppressLineNumbers w:val="0"/>
              <w:jc w:val="center"/>
              <w:textAlignment w:val="center"/>
              <w:rPr>
                <w:rFonts w:hint="eastAsia" w:hAnsi="宋体" w:cs="宋体"/>
                <w:color w:val="000000"/>
                <w:sz w:val="22"/>
              </w:rPr>
            </w:pPr>
            <w:r>
              <w:rPr>
                <w:rFonts w:hint="eastAsia" w:ascii="宋体" w:hAnsi="宋体" w:eastAsia="宋体" w:cs="宋体"/>
                <w:i w:val="0"/>
                <w:color w:val="000000"/>
                <w:kern w:val="0"/>
                <w:position w:val="-6"/>
                <w:sz w:val="22"/>
                <w:szCs w:val="22"/>
                <w:u w:val="none"/>
                <w:lang w:val="en-US" w:eastAsia="zh-CN" w:bidi="ar"/>
              </w:rPr>
              <w:t>21</w:t>
            </w:r>
          </w:p>
        </w:tc>
        <w:tc>
          <w:tcPr>
            <w:tcW w:w="3771"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GB8052 LED Ceilig  Light/塞利格灯）</w:t>
            </w:r>
          </w:p>
        </w:tc>
        <w:tc>
          <w:tcPr>
            <w:tcW w:w="3396"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220V 30W 6000K IP66</w:t>
            </w:r>
          </w:p>
        </w:tc>
        <w:tc>
          <w:tcPr>
            <w:tcW w:w="1692"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套set</w:t>
            </w:r>
          </w:p>
        </w:tc>
        <w:tc>
          <w:tcPr>
            <w:tcW w:w="1392"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1</w:t>
            </w:r>
          </w:p>
        </w:tc>
        <w:tc>
          <w:tcPr>
            <w:tcW w:w="3156" w:type="dxa"/>
            <w:tcBorders>
              <w:top w:val="single" w:color="000000" w:sz="4" w:space="0"/>
              <w:left w:val="single" w:color="000000" w:sz="4" w:space="0"/>
              <w:bottom w:val="single" w:color="000000" w:sz="4" w:space="0"/>
            </w:tcBorders>
            <w:textDirection w:val="lrTb"/>
            <w:vAlign w:val="center"/>
          </w:tcPr>
          <w:p>
            <w:pPr>
              <w:jc w:val="center"/>
              <w:rPr>
                <w:rFonts w:hint="eastAsia" w:ascii="宋体" w:hAnsi="宋体" w:eastAsia="宋体" w:cs="宋体"/>
                <w:i w:val="0"/>
                <w:color w:val="000000"/>
                <w:kern w:val="0"/>
                <w:position w:val="-6"/>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20" w:hRule="atLeast"/>
        </w:trPr>
        <w:tc>
          <w:tcPr>
            <w:tcW w:w="660" w:type="dxa"/>
            <w:tcBorders>
              <w:top w:val="single" w:color="000000" w:sz="4" w:space="0"/>
              <w:bottom w:val="nil"/>
              <w:right w:val="single" w:color="000000" w:sz="4" w:space="0"/>
            </w:tcBorders>
            <w:textDirection w:val="lrTb"/>
            <w:vAlign w:val="center"/>
          </w:tcPr>
          <w:p>
            <w:pPr>
              <w:keepNext w:val="0"/>
              <w:keepLines w:val="0"/>
              <w:widowControl/>
              <w:suppressLineNumbers w:val="0"/>
              <w:jc w:val="center"/>
              <w:textAlignment w:val="center"/>
              <w:rPr>
                <w:rFonts w:hint="eastAsia" w:hAnsi="宋体" w:cs="宋体"/>
                <w:color w:val="000000"/>
                <w:sz w:val="22"/>
              </w:rPr>
            </w:pPr>
            <w:r>
              <w:rPr>
                <w:rFonts w:hint="eastAsia" w:ascii="宋体" w:hAnsi="宋体" w:eastAsia="宋体" w:cs="宋体"/>
                <w:i w:val="0"/>
                <w:color w:val="000000"/>
                <w:kern w:val="0"/>
                <w:position w:val="-6"/>
                <w:sz w:val="22"/>
                <w:szCs w:val="22"/>
                <w:u w:val="none"/>
                <w:lang w:val="en-US" w:eastAsia="zh-CN" w:bidi="ar"/>
              </w:rPr>
              <w:t>22</w:t>
            </w:r>
          </w:p>
        </w:tc>
        <w:tc>
          <w:tcPr>
            <w:tcW w:w="3771"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GB8052 LED Explosion-proof Light/防爆灯</w:t>
            </w:r>
          </w:p>
        </w:tc>
        <w:tc>
          <w:tcPr>
            <w:tcW w:w="3396"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220V 50W 6000K IP66</w:t>
            </w:r>
          </w:p>
        </w:tc>
        <w:tc>
          <w:tcPr>
            <w:tcW w:w="1692"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套set</w:t>
            </w:r>
          </w:p>
        </w:tc>
        <w:tc>
          <w:tcPr>
            <w:tcW w:w="1392" w:type="dxa"/>
            <w:tcBorders>
              <w:top w:val="single" w:color="000000" w:sz="4" w:space="0"/>
              <w:left w:val="single" w:color="000000" w:sz="4" w:space="0"/>
              <w:bottom w:val="nil"/>
              <w:right w:val="single" w:color="000000" w:sz="4" w:space="0"/>
            </w:tcBorders>
            <w:textDirection w:val="lrTb"/>
            <w:vAlign w:val="center"/>
          </w:tcPr>
          <w:p>
            <w:pPr>
              <w:keepNext w:val="0"/>
              <w:keepLines w:val="0"/>
              <w:widowControl/>
              <w:suppressLineNumbers w:val="0"/>
              <w:jc w:val="center"/>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6</w:t>
            </w:r>
          </w:p>
        </w:tc>
        <w:tc>
          <w:tcPr>
            <w:tcW w:w="3156" w:type="dxa"/>
            <w:tcBorders>
              <w:top w:val="single" w:color="000000" w:sz="4" w:space="0"/>
              <w:left w:val="single" w:color="000000" w:sz="4" w:space="0"/>
              <w:bottom w:val="single" w:color="000000" w:sz="4" w:space="0"/>
            </w:tcBorders>
            <w:textDirection w:val="lrTb"/>
            <w:vAlign w:val="center"/>
          </w:tcPr>
          <w:p>
            <w:pPr>
              <w:jc w:val="center"/>
              <w:rPr>
                <w:rFonts w:hint="eastAsia" w:ascii="宋体" w:hAnsi="宋体" w:eastAsia="宋体" w:cs="宋体"/>
                <w:i w:val="0"/>
                <w:color w:val="000000"/>
                <w:kern w:val="0"/>
                <w:position w:val="-6"/>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20" w:hRule="atLeast"/>
        </w:trPr>
        <w:tc>
          <w:tcPr>
            <w:tcW w:w="660" w:type="dxa"/>
            <w:tcBorders>
              <w:top w:val="single" w:color="000000" w:sz="4" w:space="0"/>
              <w:bottom w:val="nil"/>
              <w:right w:val="single" w:color="000000" w:sz="4" w:space="0"/>
            </w:tcBorders>
            <w:textDirection w:val="lrTb"/>
            <w:vAlign w:val="center"/>
          </w:tcPr>
          <w:p>
            <w:pPr>
              <w:keepNext w:val="0"/>
              <w:keepLines w:val="0"/>
              <w:widowControl/>
              <w:suppressLineNumbers w:val="0"/>
              <w:jc w:val="center"/>
              <w:textAlignment w:val="center"/>
              <w:rPr>
                <w:rFonts w:hint="eastAsia" w:hAnsi="宋体" w:cs="宋体"/>
                <w:color w:val="000000"/>
                <w:sz w:val="22"/>
              </w:rPr>
            </w:pPr>
            <w:r>
              <w:rPr>
                <w:rFonts w:hint="eastAsia" w:ascii="宋体" w:hAnsi="宋体" w:eastAsia="宋体" w:cs="宋体"/>
                <w:i w:val="0"/>
                <w:color w:val="000000"/>
                <w:kern w:val="0"/>
                <w:position w:val="-6"/>
                <w:sz w:val="22"/>
                <w:szCs w:val="22"/>
                <w:u w:val="none"/>
                <w:lang w:val="en-US" w:eastAsia="zh-CN" w:bidi="ar"/>
              </w:rPr>
              <w:t>23</w:t>
            </w:r>
          </w:p>
        </w:tc>
        <w:tc>
          <w:tcPr>
            <w:tcW w:w="3771"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GBE8052 LED Emergency Explosion-proof Light/应急防爆灯</w:t>
            </w:r>
          </w:p>
        </w:tc>
        <w:tc>
          <w:tcPr>
            <w:tcW w:w="3396"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220V 100W 6000K IP66</w:t>
            </w:r>
          </w:p>
        </w:tc>
        <w:tc>
          <w:tcPr>
            <w:tcW w:w="1692"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套set</w:t>
            </w:r>
          </w:p>
        </w:tc>
        <w:tc>
          <w:tcPr>
            <w:tcW w:w="1392"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1</w:t>
            </w:r>
          </w:p>
        </w:tc>
        <w:tc>
          <w:tcPr>
            <w:tcW w:w="3156" w:type="dxa"/>
            <w:tcBorders>
              <w:top w:val="single" w:color="000000" w:sz="4" w:space="0"/>
              <w:left w:val="single" w:color="000000" w:sz="4" w:space="0"/>
              <w:bottom w:val="single" w:color="000000" w:sz="4" w:space="0"/>
            </w:tcBorders>
            <w:textDirection w:val="lrTb"/>
            <w:vAlign w:val="center"/>
          </w:tcPr>
          <w:p>
            <w:pPr>
              <w:jc w:val="center"/>
              <w:rPr>
                <w:rFonts w:hint="eastAsia" w:ascii="宋体" w:hAnsi="宋体" w:eastAsia="宋体" w:cs="宋体"/>
                <w:i w:val="0"/>
                <w:color w:val="000000"/>
                <w:kern w:val="0"/>
                <w:position w:val="-6"/>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760" w:hRule="atLeast"/>
        </w:trPr>
        <w:tc>
          <w:tcPr>
            <w:tcW w:w="660" w:type="dxa"/>
            <w:tcBorders>
              <w:top w:val="single" w:color="000000" w:sz="4" w:space="0"/>
              <w:bottom w:val="nil"/>
              <w:right w:val="single" w:color="000000" w:sz="4" w:space="0"/>
            </w:tcBorders>
            <w:textDirection w:val="lrTb"/>
            <w:vAlign w:val="center"/>
          </w:tcPr>
          <w:p>
            <w:pPr>
              <w:keepNext w:val="0"/>
              <w:keepLines w:val="0"/>
              <w:widowControl/>
              <w:suppressLineNumbers w:val="0"/>
              <w:jc w:val="center"/>
              <w:textAlignment w:val="center"/>
              <w:rPr>
                <w:rFonts w:hint="eastAsia" w:hAnsi="宋体" w:cs="宋体"/>
                <w:color w:val="000000"/>
                <w:sz w:val="22"/>
              </w:rPr>
            </w:pPr>
            <w:r>
              <w:rPr>
                <w:rFonts w:hint="eastAsia" w:ascii="宋体" w:hAnsi="宋体" w:eastAsia="宋体" w:cs="宋体"/>
                <w:i w:val="0"/>
                <w:color w:val="000000"/>
                <w:kern w:val="0"/>
                <w:position w:val="-6"/>
                <w:sz w:val="22"/>
                <w:szCs w:val="22"/>
                <w:u w:val="none"/>
                <w:lang w:val="en-US" w:eastAsia="zh-CN" w:bidi="ar"/>
              </w:rPr>
              <w:t>24</w:t>
            </w:r>
          </w:p>
        </w:tc>
        <w:tc>
          <w:tcPr>
            <w:tcW w:w="3771"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GBE8052 LED Emergency Explosion-proof Light/应急防爆灯</w:t>
            </w:r>
          </w:p>
        </w:tc>
        <w:tc>
          <w:tcPr>
            <w:tcW w:w="3396"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220V 30W 6000K IP66</w:t>
            </w:r>
          </w:p>
        </w:tc>
        <w:tc>
          <w:tcPr>
            <w:tcW w:w="1692"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套set</w:t>
            </w:r>
          </w:p>
        </w:tc>
        <w:tc>
          <w:tcPr>
            <w:tcW w:w="1392"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1</w:t>
            </w:r>
          </w:p>
        </w:tc>
        <w:tc>
          <w:tcPr>
            <w:tcW w:w="3156" w:type="dxa"/>
            <w:tcBorders>
              <w:top w:val="single" w:color="000000" w:sz="4" w:space="0"/>
              <w:left w:val="single" w:color="000000" w:sz="4" w:space="0"/>
              <w:bottom w:val="single" w:color="000000" w:sz="4" w:space="0"/>
            </w:tcBorders>
            <w:textDirection w:val="lrTb"/>
            <w:vAlign w:val="center"/>
          </w:tcPr>
          <w:p>
            <w:pPr>
              <w:jc w:val="center"/>
              <w:rPr>
                <w:rFonts w:hint="eastAsia" w:ascii="宋体" w:hAnsi="宋体" w:eastAsia="宋体" w:cs="宋体"/>
                <w:i w:val="0"/>
                <w:color w:val="000000"/>
                <w:kern w:val="0"/>
                <w:position w:val="-6"/>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20" w:hRule="atLeast"/>
        </w:trPr>
        <w:tc>
          <w:tcPr>
            <w:tcW w:w="660" w:type="dxa"/>
            <w:tcBorders>
              <w:top w:val="single" w:color="000000" w:sz="4" w:space="0"/>
              <w:bottom w:val="nil"/>
              <w:right w:val="single" w:color="000000" w:sz="4" w:space="0"/>
            </w:tcBorders>
            <w:textDirection w:val="lrTb"/>
            <w:vAlign w:val="center"/>
          </w:tcPr>
          <w:p>
            <w:pPr>
              <w:keepNext w:val="0"/>
              <w:keepLines w:val="0"/>
              <w:widowControl/>
              <w:suppressLineNumbers w:val="0"/>
              <w:jc w:val="center"/>
              <w:textAlignment w:val="center"/>
              <w:rPr>
                <w:rFonts w:hint="eastAsia" w:hAnsi="宋体" w:cs="宋体"/>
                <w:color w:val="000000"/>
                <w:sz w:val="22"/>
              </w:rPr>
            </w:pPr>
            <w:r>
              <w:rPr>
                <w:rFonts w:hint="eastAsia" w:ascii="宋体" w:hAnsi="宋体" w:eastAsia="宋体" w:cs="宋体"/>
                <w:i w:val="0"/>
                <w:color w:val="000000"/>
                <w:kern w:val="0"/>
                <w:position w:val="-6"/>
                <w:sz w:val="22"/>
                <w:szCs w:val="22"/>
                <w:u w:val="none"/>
                <w:lang w:val="en-US" w:eastAsia="zh-CN" w:bidi="ar"/>
              </w:rPr>
              <w:t>25</w:t>
            </w:r>
          </w:p>
        </w:tc>
        <w:tc>
          <w:tcPr>
            <w:tcW w:w="3771"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GF9035 Moisture-proof Lamp/防潮灯</w:t>
            </w:r>
          </w:p>
        </w:tc>
        <w:tc>
          <w:tcPr>
            <w:tcW w:w="3396"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220V LED 20W 6000K IP56</w:t>
            </w:r>
          </w:p>
        </w:tc>
        <w:tc>
          <w:tcPr>
            <w:tcW w:w="1692"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套set</w:t>
            </w:r>
          </w:p>
        </w:tc>
        <w:tc>
          <w:tcPr>
            <w:tcW w:w="1392"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1</w:t>
            </w:r>
          </w:p>
        </w:tc>
        <w:tc>
          <w:tcPr>
            <w:tcW w:w="3156" w:type="dxa"/>
            <w:tcBorders>
              <w:top w:val="single" w:color="000000" w:sz="4" w:space="0"/>
              <w:left w:val="single" w:color="000000" w:sz="4" w:space="0"/>
              <w:bottom w:val="single" w:color="000000" w:sz="4" w:space="0"/>
            </w:tcBorders>
            <w:textDirection w:val="lrTb"/>
            <w:vAlign w:val="center"/>
          </w:tcPr>
          <w:p>
            <w:pPr>
              <w:jc w:val="center"/>
              <w:rPr>
                <w:rFonts w:hint="eastAsia" w:ascii="宋体" w:hAnsi="宋体" w:eastAsia="宋体" w:cs="宋体"/>
                <w:i w:val="0"/>
                <w:color w:val="000000"/>
                <w:kern w:val="0"/>
                <w:position w:val="-6"/>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20" w:hRule="atLeast"/>
        </w:trPr>
        <w:tc>
          <w:tcPr>
            <w:tcW w:w="660" w:type="dxa"/>
            <w:tcBorders>
              <w:top w:val="single" w:color="000000" w:sz="4" w:space="0"/>
              <w:bottom w:val="nil"/>
              <w:right w:val="single" w:color="000000" w:sz="4" w:space="0"/>
            </w:tcBorders>
            <w:textDirection w:val="lrTb"/>
            <w:vAlign w:val="center"/>
          </w:tcPr>
          <w:p>
            <w:pPr>
              <w:keepNext w:val="0"/>
              <w:keepLines w:val="0"/>
              <w:widowControl/>
              <w:suppressLineNumbers w:val="0"/>
              <w:jc w:val="center"/>
              <w:textAlignment w:val="center"/>
              <w:rPr>
                <w:rFonts w:hint="eastAsia" w:hAnsi="宋体" w:cs="宋体"/>
                <w:color w:val="000000"/>
                <w:sz w:val="22"/>
              </w:rPr>
            </w:pPr>
            <w:r>
              <w:rPr>
                <w:rFonts w:hint="eastAsia" w:ascii="宋体" w:hAnsi="宋体" w:eastAsia="宋体" w:cs="宋体"/>
                <w:i w:val="0"/>
                <w:color w:val="000000"/>
                <w:kern w:val="0"/>
                <w:position w:val="-6"/>
                <w:sz w:val="22"/>
                <w:szCs w:val="22"/>
                <w:u w:val="none"/>
                <w:lang w:val="en-US" w:eastAsia="zh-CN" w:bidi="ar"/>
              </w:rPr>
              <w:t>26</w:t>
            </w:r>
          </w:p>
        </w:tc>
        <w:tc>
          <w:tcPr>
            <w:tcW w:w="3771"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GF9032 LED Tri-proof Light/三防灯</w:t>
            </w:r>
          </w:p>
        </w:tc>
        <w:tc>
          <w:tcPr>
            <w:tcW w:w="3396"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220V 100W 6000K IP66</w:t>
            </w:r>
          </w:p>
        </w:tc>
        <w:tc>
          <w:tcPr>
            <w:tcW w:w="1692"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套set</w:t>
            </w:r>
          </w:p>
        </w:tc>
        <w:tc>
          <w:tcPr>
            <w:tcW w:w="1392"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1</w:t>
            </w:r>
          </w:p>
        </w:tc>
        <w:tc>
          <w:tcPr>
            <w:tcW w:w="3156" w:type="dxa"/>
            <w:tcBorders>
              <w:top w:val="single" w:color="000000" w:sz="4" w:space="0"/>
              <w:left w:val="single" w:color="000000" w:sz="4" w:space="0"/>
              <w:bottom w:val="single" w:color="000000" w:sz="4" w:space="0"/>
            </w:tcBorders>
            <w:textDirection w:val="lrTb"/>
            <w:vAlign w:val="center"/>
          </w:tcPr>
          <w:p>
            <w:pPr>
              <w:jc w:val="center"/>
              <w:rPr>
                <w:rFonts w:hint="eastAsia" w:ascii="宋体" w:hAnsi="宋体" w:eastAsia="宋体" w:cs="宋体"/>
                <w:i w:val="0"/>
                <w:color w:val="000000"/>
                <w:kern w:val="0"/>
                <w:position w:val="-6"/>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20" w:hRule="atLeast"/>
        </w:trPr>
        <w:tc>
          <w:tcPr>
            <w:tcW w:w="660" w:type="dxa"/>
            <w:tcBorders>
              <w:top w:val="single" w:color="000000" w:sz="4" w:space="0"/>
              <w:bottom w:val="nil"/>
              <w:right w:val="single" w:color="000000" w:sz="4" w:space="0"/>
            </w:tcBorders>
            <w:textDirection w:val="lrTb"/>
            <w:vAlign w:val="center"/>
          </w:tcPr>
          <w:p>
            <w:pPr>
              <w:keepNext w:val="0"/>
              <w:keepLines w:val="0"/>
              <w:widowControl/>
              <w:suppressLineNumbers w:val="0"/>
              <w:jc w:val="center"/>
              <w:textAlignment w:val="center"/>
              <w:rPr>
                <w:rFonts w:hint="eastAsia" w:hAnsi="宋体" w:cs="宋体"/>
                <w:color w:val="000000"/>
                <w:sz w:val="22"/>
              </w:rPr>
            </w:pPr>
            <w:r>
              <w:rPr>
                <w:rFonts w:hint="eastAsia" w:ascii="宋体" w:hAnsi="宋体" w:eastAsia="宋体" w:cs="宋体"/>
                <w:i w:val="0"/>
                <w:color w:val="000000"/>
                <w:kern w:val="0"/>
                <w:position w:val="-6"/>
                <w:sz w:val="22"/>
                <w:szCs w:val="22"/>
                <w:u w:val="none"/>
                <w:lang w:val="en-US" w:eastAsia="zh-CN" w:bidi="ar"/>
              </w:rPr>
              <w:t>27</w:t>
            </w:r>
          </w:p>
        </w:tc>
        <w:tc>
          <w:tcPr>
            <w:tcW w:w="3771"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GF9032 LED Tri-proof Light/三防灯</w:t>
            </w:r>
          </w:p>
        </w:tc>
        <w:tc>
          <w:tcPr>
            <w:tcW w:w="3396"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220V 80W 6000K IP66</w:t>
            </w:r>
          </w:p>
        </w:tc>
        <w:tc>
          <w:tcPr>
            <w:tcW w:w="1692" w:type="dxa"/>
            <w:tcBorders>
              <w:top w:val="single" w:color="000000" w:sz="4" w:space="0"/>
              <w:left w:val="single" w:color="000000" w:sz="4" w:space="0"/>
              <w:bottom w:val="single" w:color="000000" w:sz="4" w:space="0"/>
              <w:right w:val="single" w:color="000000" w:sz="4" w:space="0"/>
            </w:tcBorders>
            <w:textDirection w:val="lrTb"/>
            <w:vAlign w:val="center"/>
          </w:tcPr>
          <w:p>
            <w:pPr>
              <w:rPr>
                <w:rFonts w:hint="eastAsia" w:hAnsi="宋体" w:cs="宋体"/>
                <w:color w:val="000000"/>
                <w:sz w:val="24"/>
                <w:szCs w:val="24"/>
              </w:rPr>
            </w:pPr>
          </w:p>
        </w:tc>
        <w:tc>
          <w:tcPr>
            <w:tcW w:w="1392"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1</w:t>
            </w:r>
          </w:p>
        </w:tc>
        <w:tc>
          <w:tcPr>
            <w:tcW w:w="3156" w:type="dxa"/>
            <w:tcBorders>
              <w:top w:val="single" w:color="000000" w:sz="4" w:space="0"/>
              <w:left w:val="single" w:color="000000" w:sz="4" w:space="0"/>
              <w:bottom w:val="single" w:color="000000" w:sz="4" w:space="0"/>
            </w:tcBorders>
            <w:textDirection w:val="lrTb"/>
            <w:vAlign w:val="center"/>
          </w:tcPr>
          <w:p>
            <w:pPr>
              <w:jc w:val="center"/>
              <w:rPr>
                <w:rFonts w:hint="eastAsia" w:ascii="宋体" w:hAnsi="宋体" w:eastAsia="宋体" w:cs="宋体"/>
                <w:i w:val="0"/>
                <w:color w:val="000000"/>
                <w:kern w:val="0"/>
                <w:position w:val="-6"/>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20" w:hRule="atLeast"/>
        </w:trPr>
        <w:tc>
          <w:tcPr>
            <w:tcW w:w="660" w:type="dxa"/>
            <w:tcBorders>
              <w:top w:val="single" w:color="000000" w:sz="4" w:space="0"/>
              <w:bottom w:val="nil"/>
              <w:right w:val="single" w:color="000000" w:sz="4" w:space="0"/>
            </w:tcBorders>
            <w:textDirection w:val="lrTb"/>
            <w:vAlign w:val="center"/>
          </w:tcPr>
          <w:p>
            <w:pPr>
              <w:keepNext w:val="0"/>
              <w:keepLines w:val="0"/>
              <w:widowControl/>
              <w:suppressLineNumbers w:val="0"/>
              <w:jc w:val="center"/>
              <w:textAlignment w:val="center"/>
              <w:rPr>
                <w:rFonts w:hint="eastAsia" w:hAnsi="宋体" w:cs="宋体"/>
                <w:color w:val="000000"/>
                <w:sz w:val="22"/>
              </w:rPr>
            </w:pPr>
            <w:r>
              <w:rPr>
                <w:rFonts w:hint="eastAsia" w:ascii="宋体" w:hAnsi="宋体" w:eastAsia="宋体" w:cs="宋体"/>
                <w:i w:val="0"/>
                <w:color w:val="000000"/>
                <w:kern w:val="0"/>
                <w:position w:val="-6"/>
                <w:sz w:val="22"/>
                <w:szCs w:val="22"/>
                <w:u w:val="none"/>
                <w:lang w:val="en-US" w:eastAsia="zh-CN" w:bidi="ar"/>
              </w:rPr>
              <w:t>28</w:t>
            </w:r>
          </w:p>
        </w:tc>
        <w:tc>
          <w:tcPr>
            <w:tcW w:w="3771"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GF9051 Platform Light/平台灯</w:t>
            </w:r>
          </w:p>
        </w:tc>
        <w:tc>
          <w:tcPr>
            <w:tcW w:w="3396"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220V\50W\5000色温</w:t>
            </w:r>
          </w:p>
        </w:tc>
        <w:tc>
          <w:tcPr>
            <w:tcW w:w="1692"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套set</w:t>
            </w:r>
          </w:p>
        </w:tc>
        <w:tc>
          <w:tcPr>
            <w:tcW w:w="1392" w:type="dxa"/>
            <w:tcBorders>
              <w:top w:val="single" w:color="000000" w:sz="4" w:space="0"/>
              <w:left w:val="single" w:color="000000" w:sz="4" w:space="0"/>
              <w:bottom w:val="nil"/>
              <w:right w:val="single" w:color="000000" w:sz="4" w:space="0"/>
            </w:tcBorders>
            <w:textDirection w:val="lrTb"/>
            <w:vAlign w:val="center"/>
          </w:tcPr>
          <w:p>
            <w:pPr>
              <w:keepNext w:val="0"/>
              <w:keepLines w:val="0"/>
              <w:widowControl/>
              <w:suppressLineNumbers w:val="0"/>
              <w:jc w:val="center"/>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1</w:t>
            </w:r>
          </w:p>
        </w:tc>
        <w:tc>
          <w:tcPr>
            <w:tcW w:w="3156" w:type="dxa"/>
            <w:tcBorders>
              <w:top w:val="single" w:color="000000" w:sz="4" w:space="0"/>
              <w:left w:val="single" w:color="000000" w:sz="4" w:space="0"/>
              <w:bottom w:val="single" w:color="000000" w:sz="4" w:space="0"/>
            </w:tcBorders>
            <w:textDirection w:val="lrTb"/>
            <w:vAlign w:val="center"/>
          </w:tcPr>
          <w:p>
            <w:pPr>
              <w:jc w:val="center"/>
              <w:rPr>
                <w:rFonts w:hint="eastAsia" w:ascii="宋体" w:hAnsi="宋体" w:eastAsia="宋体" w:cs="宋体"/>
                <w:i w:val="0"/>
                <w:color w:val="000000"/>
                <w:kern w:val="0"/>
                <w:position w:val="-6"/>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20" w:hRule="atLeast"/>
        </w:trPr>
        <w:tc>
          <w:tcPr>
            <w:tcW w:w="660" w:type="dxa"/>
            <w:tcBorders>
              <w:top w:val="single" w:color="000000" w:sz="4" w:space="0"/>
              <w:bottom w:val="nil"/>
              <w:right w:val="single" w:color="000000" w:sz="4" w:space="0"/>
            </w:tcBorders>
            <w:textDirection w:val="lrTb"/>
            <w:vAlign w:val="center"/>
          </w:tcPr>
          <w:p>
            <w:pPr>
              <w:keepNext w:val="0"/>
              <w:keepLines w:val="0"/>
              <w:widowControl/>
              <w:suppressLineNumbers w:val="0"/>
              <w:jc w:val="center"/>
              <w:textAlignment w:val="center"/>
              <w:rPr>
                <w:rFonts w:hint="eastAsia" w:hAnsi="宋体" w:cs="宋体"/>
                <w:color w:val="000000"/>
                <w:sz w:val="22"/>
              </w:rPr>
            </w:pPr>
            <w:r>
              <w:rPr>
                <w:rFonts w:hint="eastAsia" w:ascii="宋体" w:hAnsi="宋体" w:eastAsia="宋体" w:cs="宋体"/>
                <w:i w:val="0"/>
                <w:color w:val="000000"/>
                <w:kern w:val="0"/>
                <w:position w:val="-6"/>
                <w:sz w:val="22"/>
                <w:szCs w:val="22"/>
                <w:u w:val="none"/>
                <w:lang w:val="en-US" w:eastAsia="zh-CN" w:bidi="ar"/>
              </w:rPr>
              <w:t>29</w:t>
            </w:r>
          </w:p>
        </w:tc>
        <w:tc>
          <w:tcPr>
            <w:tcW w:w="3771"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GF9051 Tri-proof Light/三防灯</w:t>
            </w:r>
          </w:p>
        </w:tc>
        <w:tc>
          <w:tcPr>
            <w:tcW w:w="3396"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220V\70W\5000色温</w:t>
            </w:r>
          </w:p>
        </w:tc>
        <w:tc>
          <w:tcPr>
            <w:tcW w:w="1692"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套set</w:t>
            </w:r>
          </w:p>
        </w:tc>
        <w:tc>
          <w:tcPr>
            <w:tcW w:w="1392" w:type="dxa"/>
            <w:tcBorders>
              <w:top w:val="single" w:color="000000" w:sz="4" w:space="0"/>
              <w:left w:val="single" w:color="000000" w:sz="4" w:space="0"/>
              <w:bottom w:val="nil"/>
              <w:right w:val="single" w:color="000000" w:sz="4" w:space="0"/>
            </w:tcBorders>
            <w:textDirection w:val="lrTb"/>
            <w:vAlign w:val="center"/>
          </w:tcPr>
          <w:p>
            <w:pPr>
              <w:keepNext w:val="0"/>
              <w:keepLines w:val="0"/>
              <w:widowControl/>
              <w:suppressLineNumbers w:val="0"/>
              <w:jc w:val="center"/>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18</w:t>
            </w:r>
          </w:p>
        </w:tc>
        <w:tc>
          <w:tcPr>
            <w:tcW w:w="3156" w:type="dxa"/>
            <w:tcBorders>
              <w:top w:val="single" w:color="000000" w:sz="4" w:space="0"/>
              <w:left w:val="single" w:color="000000" w:sz="4" w:space="0"/>
              <w:bottom w:val="single" w:color="000000" w:sz="4" w:space="0"/>
            </w:tcBorders>
            <w:textDirection w:val="lrTb"/>
            <w:vAlign w:val="center"/>
          </w:tcPr>
          <w:p>
            <w:pPr>
              <w:jc w:val="center"/>
              <w:rPr>
                <w:rFonts w:hint="eastAsia" w:ascii="宋体" w:hAnsi="宋体" w:eastAsia="宋体" w:cs="宋体"/>
                <w:i w:val="0"/>
                <w:color w:val="000000"/>
                <w:kern w:val="0"/>
                <w:position w:val="-6"/>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20" w:hRule="atLeast"/>
        </w:trPr>
        <w:tc>
          <w:tcPr>
            <w:tcW w:w="660" w:type="dxa"/>
            <w:tcBorders>
              <w:top w:val="single" w:color="000000" w:sz="4" w:space="0"/>
              <w:bottom w:val="nil"/>
              <w:right w:val="single" w:color="000000" w:sz="4" w:space="0"/>
            </w:tcBorders>
            <w:textDirection w:val="lrTb"/>
            <w:vAlign w:val="center"/>
          </w:tcPr>
          <w:p>
            <w:pPr>
              <w:keepNext w:val="0"/>
              <w:keepLines w:val="0"/>
              <w:widowControl/>
              <w:suppressLineNumbers w:val="0"/>
              <w:jc w:val="center"/>
              <w:textAlignment w:val="center"/>
              <w:rPr>
                <w:rFonts w:hint="eastAsia" w:hAnsi="宋体" w:cs="宋体"/>
                <w:color w:val="000000"/>
                <w:sz w:val="22"/>
              </w:rPr>
            </w:pPr>
            <w:r>
              <w:rPr>
                <w:rFonts w:hint="eastAsia" w:ascii="宋体" w:hAnsi="宋体" w:eastAsia="宋体" w:cs="宋体"/>
                <w:i w:val="0"/>
                <w:color w:val="000000"/>
                <w:kern w:val="0"/>
                <w:position w:val="-6"/>
                <w:sz w:val="22"/>
                <w:szCs w:val="22"/>
                <w:u w:val="none"/>
                <w:lang w:val="en-US" w:eastAsia="zh-CN" w:bidi="ar"/>
              </w:rPr>
              <w:t>30</w:t>
            </w:r>
          </w:p>
        </w:tc>
        <w:tc>
          <w:tcPr>
            <w:tcW w:w="3771"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GS4260 Ceiling Light/吸顶灯</w:t>
            </w:r>
          </w:p>
        </w:tc>
        <w:tc>
          <w:tcPr>
            <w:tcW w:w="3396"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220V LED 18W 6000K IP56</w:t>
            </w:r>
          </w:p>
        </w:tc>
        <w:tc>
          <w:tcPr>
            <w:tcW w:w="1692"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套set</w:t>
            </w:r>
          </w:p>
        </w:tc>
        <w:tc>
          <w:tcPr>
            <w:tcW w:w="1392"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1</w:t>
            </w:r>
          </w:p>
        </w:tc>
        <w:tc>
          <w:tcPr>
            <w:tcW w:w="3156" w:type="dxa"/>
            <w:tcBorders>
              <w:top w:val="single" w:color="000000" w:sz="4" w:space="0"/>
              <w:left w:val="single" w:color="000000" w:sz="4" w:space="0"/>
              <w:bottom w:val="single" w:color="000000" w:sz="4" w:space="0"/>
            </w:tcBorders>
            <w:textDirection w:val="lrTb"/>
            <w:vAlign w:val="center"/>
          </w:tcPr>
          <w:p>
            <w:pPr>
              <w:jc w:val="center"/>
              <w:rPr>
                <w:rFonts w:hint="eastAsia" w:ascii="宋体" w:hAnsi="宋体" w:eastAsia="宋体" w:cs="宋体"/>
                <w:i w:val="0"/>
                <w:color w:val="000000"/>
                <w:kern w:val="0"/>
                <w:position w:val="-6"/>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20" w:hRule="atLeast"/>
        </w:trPr>
        <w:tc>
          <w:tcPr>
            <w:tcW w:w="660" w:type="dxa"/>
            <w:tcBorders>
              <w:top w:val="single" w:color="000000" w:sz="4" w:space="0"/>
              <w:bottom w:val="nil"/>
              <w:right w:val="single" w:color="000000" w:sz="4" w:space="0"/>
            </w:tcBorders>
            <w:textDirection w:val="lrTb"/>
            <w:vAlign w:val="center"/>
          </w:tcPr>
          <w:p>
            <w:pPr>
              <w:keepNext w:val="0"/>
              <w:keepLines w:val="0"/>
              <w:widowControl/>
              <w:suppressLineNumbers w:val="0"/>
              <w:jc w:val="center"/>
              <w:textAlignment w:val="center"/>
              <w:rPr>
                <w:rFonts w:hint="eastAsia" w:hAnsi="宋体" w:cs="宋体"/>
                <w:color w:val="000000"/>
                <w:sz w:val="22"/>
              </w:rPr>
            </w:pPr>
            <w:r>
              <w:rPr>
                <w:rFonts w:hint="eastAsia" w:ascii="宋体" w:hAnsi="宋体" w:eastAsia="宋体" w:cs="宋体"/>
                <w:i w:val="0"/>
                <w:color w:val="000000"/>
                <w:kern w:val="0"/>
                <w:position w:val="-6"/>
                <w:sz w:val="22"/>
                <w:szCs w:val="22"/>
                <w:u w:val="none"/>
                <w:lang w:val="en-US" w:eastAsia="zh-CN" w:bidi="ar"/>
              </w:rPr>
              <w:t>31</w:t>
            </w:r>
          </w:p>
        </w:tc>
        <w:tc>
          <w:tcPr>
            <w:tcW w:w="3771"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GSE4260 Ceiling Light/吸顶灯</w:t>
            </w:r>
          </w:p>
        </w:tc>
        <w:tc>
          <w:tcPr>
            <w:tcW w:w="3396"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220V LED 18W 6000K IP56</w:t>
            </w:r>
          </w:p>
        </w:tc>
        <w:tc>
          <w:tcPr>
            <w:tcW w:w="1692"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套set</w:t>
            </w:r>
          </w:p>
        </w:tc>
        <w:tc>
          <w:tcPr>
            <w:tcW w:w="1392"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3</w:t>
            </w:r>
          </w:p>
        </w:tc>
        <w:tc>
          <w:tcPr>
            <w:tcW w:w="3156" w:type="dxa"/>
            <w:tcBorders>
              <w:top w:val="single" w:color="000000" w:sz="4" w:space="0"/>
              <w:left w:val="single" w:color="000000" w:sz="4" w:space="0"/>
              <w:bottom w:val="single" w:color="000000" w:sz="4" w:space="0"/>
            </w:tcBorders>
            <w:textDirection w:val="lrTb"/>
            <w:vAlign w:val="center"/>
          </w:tcPr>
          <w:p>
            <w:pPr>
              <w:jc w:val="center"/>
              <w:rPr>
                <w:rFonts w:hint="eastAsia" w:ascii="宋体" w:hAnsi="宋体" w:eastAsia="宋体" w:cs="宋体"/>
                <w:i w:val="0"/>
                <w:color w:val="000000"/>
                <w:kern w:val="0"/>
                <w:position w:val="-6"/>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20" w:hRule="atLeast"/>
        </w:trPr>
        <w:tc>
          <w:tcPr>
            <w:tcW w:w="660" w:type="dxa"/>
            <w:tcBorders>
              <w:top w:val="single" w:color="000000" w:sz="4" w:space="0"/>
              <w:bottom w:val="nil"/>
              <w:right w:val="single" w:color="000000" w:sz="4" w:space="0"/>
            </w:tcBorders>
            <w:textDirection w:val="lrTb"/>
            <w:vAlign w:val="center"/>
          </w:tcPr>
          <w:p>
            <w:pPr>
              <w:keepNext w:val="0"/>
              <w:keepLines w:val="0"/>
              <w:widowControl/>
              <w:suppressLineNumbers w:val="0"/>
              <w:jc w:val="center"/>
              <w:textAlignment w:val="center"/>
              <w:rPr>
                <w:rFonts w:hint="eastAsia" w:hAnsi="宋体" w:cs="宋体"/>
                <w:color w:val="000000"/>
                <w:sz w:val="22"/>
              </w:rPr>
            </w:pPr>
            <w:r>
              <w:rPr>
                <w:rFonts w:hint="eastAsia" w:ascii="宋体" w:hAnsi="宋体" w:eastAsia="宋体" w:cs="宋体"/>
                <w:i w:val="0"/>
                <w:color w:val="000000"/>
                <w:kern w:val="0"/>
                <w:position w:val="-6"/>
                <w:sz w:val="22"/>
                <w:szCs w:val="22"/>
                <w:u w:val="none"/>
                <w:lang w:val="en-US" w:eastAsia="zh-CN" w:bidi="ar"/>
              </w:rPr>
              <w:t>32</w:t>
            </w:r>
          </w:p>
        </w:tc>
        <w:tc>
          <w:tcPr>
            <w:tcW w:w="3771"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GT9181 High Bay Light/工矿灯</w:t>
            </w:r>
          </w:p>
        </w:tc>
        <w:tc>
          <w:tcPr>
            <w:tcW w:w="3396"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220V LED 100W 6000K IP66</w:t>
            </w:r>
          </w:p>
        </w:tc>
        <w:tc>
          <w:tcPr>
            <w:tcW w:w="1692"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套set</w:t>
            </w:r>
          </w:p>
        </w:tc>
        <w:tc>
          <w:tcPr>
            <w:tcW w:w="1392"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1</w:t>
            </w:r>
          </w:p>
        </w:tc>
        <w:tc>
          <w:tcPr>
            <w:tcW w:w="3156" w:type="dxa"/>
            <w:tcBorders>
              <w:top w:val="single" w:color="000000" w:sz="4" w:space="0"/>
              <w:left w:val="single" w:color="000000" w:sz="4" w:space="0"/>
              <w:bottom w:val="single" w:color="000000" w:sz="4" w:space="0"/>
            </w:tcBorders>
            <w:textDirection w:val="lrTb"/>
            <w:vAlign w:val="center"/>
          </w:tcPr>
          <w:p>
            <w:pPr>
              <w:jc w:val="center"/>
              <w:rPr>
                <w:rFonts w:hint="eastAsia" w:ascii="宋体" w:hAnsi="宋体" w:eastAsia="宋体" w:cs="宋体"/>
                <w:i w:val="0"/>
                <w:color w:val="000000"/>
                <w:kern w:val="0"/>
                <w:position w:val="-6"/>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20" w:hRule="atLeast"/>
        </w:trPr>
        <w:tc>
          <w:tcPr>
            <w:tcW w:w="660" w:type="dxa"/>
            <w:tcBorders>
              <w:top w:val="single" w:color="000000" w:sz="4" w:space="0"/>
              <w:bottom w:val="nil"/>
              <w:right w:val="single" w:color="000000" w:sz="4" w:space="0"/>
            </w:tcBorders>
            <w:textDirection w:val="lrTb"/>
            <w:vAlign w:val="center"/>
          </w:tcPr>
          <w:p>
            <w:pPr>
              <w:keepNext w:val="0"/>
              <w:keepLines w:val="0"/>
              <w:widowControl/>
              <w:suppressLineNumbers w:val="0"/>
              <w:jc w:val="center"/>
              <w:textAlignment w:val="center"/>
              <w:rPr>
                <w:rFonts w:hint="eastAsia" w:hAnsi="宋体" w:cs="宋体"/>
                <w:color w:val="000000"/>
                <w:sz w:val="22"/>
              </w:rPr>
            </w:pPr>
            <w:r>
              <w:rPr>
                <w:rFonts w:hint="eastAsia" w:ascii="宋体" w:hAnsi="宋体" w:eastAsia="宋体" w:cs="宋体"/>
                <w:i w:val="0"/>
                <w:color w:val="000000"/>
                <w:kern w:val="0"/>
                <w:position w:val="-6"/>
                <w:sz w:val="22"/>
                <w:szCs w:val="22"/>
                <w:u w:val="none"/>
                <w:lang w:val="en-US" w:eastAsia="zh-CN" w:bidi="ar"/>
              </w:rPr>
              <w:t>33</w:t>
            </w:r>
          </w:p>
        </w:tc>
        <w:tc>
          <w:tcPr>
            <w:tcW w:w="3771"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三雄极光平板灯</w:t>
            </w:r>
          </w:p>
        </w:tc>
        <w:tc>
          <w:tcPr>
            <w:tcW w:w="3396"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600*600</w:t>
            </w:r>
          </w:p>
        </w:tc>
        <w:tc>
          <w:tcPr>
            <w:tcW w:w="1692"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个</w:t>
            </w:r>
          </w:p>
        </w:tc>
        <w:tc>
          <w:tcPr>
            <w:tcW w:w="1392" w:type="dxa"/>
            <w:tcBorders>
              <w:top w:val="single" w:color="000000" w:sz="4" w:space="0"/>
              <w:left w:val="single" w:color="000000" w:sz="4" w:space="0"/>
              <w:bottom w:val="nil"/>
              <w:right w:val="single" w:color="000000" w:sz="4" w:space="0"/>
            </w:tcBorders>
            <w:textDirection w:val="lrTb"/>
            <w:vAlign w:val="center"/>
          </w:tcPr>
          <w:p>
            <w:pPr>
              <w:keepNext w:val="0"/>
              <w:keepLines w:val="0"/>
              <w:widowControl/>
              <w:suppressLineNumbers w:val="0"/>
              <w:jc w:val="center"/>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7</w:t>
            </w:r>
          </w:p>
        </w:tc>
        <w:tc>
          <w:tcPr>
            <w:tcW w:w="3156" w:type="dxa"/>
            <w:tcBorders>
              <w:top w:val="single" w:color="000000" w:sz="4" w:space="0"/>
              <w:left w:val="single" w:color="000000" w:sz="4" w:space="0"/>
              <w:bottom w:val="single" w:color="000000" w:sz="4" w:space="0"/>
            </w:tcBorders>
            <w:textDirection w:val="lrTb"/>
            <w:vAlign w:val="center"/>
          </w:tcPr>
          <w:p>
            <w:pPr>
              <w:jc w:val="center"/>
              <w:rPr>
                <w:rFonts w:hint="eastAsia" w:ascii="宋体" w:hAnsi="宋体" w:eastAsia="宋体" w:cs="宋体"/>
                <w:i w:val="0"/>
                <w:color w:val="000000"/>
                <w:kern w:val="0"/>
                <w:position w:val="-6"/>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20" w:hRule="atLeast"/>
        </w:trPr>
        <w:tc>
          <w:tcPr>
            <w:tcW w:w="660" w:type="dxa"/>
            <w:tcBorders>
              <w:top w:val="single" w:color="000000" w:sz="4" w:space="0"/>
              <w:bottom w:val="nil"/>
              <w:right w:val="single" w:color="000000" w:sz="4" w:space="0"/>
            </w:tcBorders>
            <w:textDirection w:val="lrTb"/>
            <w:vAlign w:val="center"/>
          </w:tcPr>
          <w:p>
            <w:pPr>
              <w:keepNext w:val="0"/>
              <w:keepLines w:val="0"/>
              <w:widowControl/>
              <w:suppressLineNumbers w:val="0"/>
              <w:jc w:val="center"/>
              <w:textAlignment w:val="center"/>
              <w:rPr>
                <w:rFonts w:hint="eastAsia" w:hAnsi="宋体" w:cs="宋体"/>
                <w:color w:val="000000"/>
                <w:sz w:val="22"/>
              </w:rPr>
            </w:pPr>
            <w:r>
              <w:rPr>
                <w:rFonts w:hint="eastAsia" w:ascii="宋体" w:hAnsi="宋体" w:eastAsia="宋体" w:cs="宋体"/>
                <w:i w:val="0"/>
                <w:color w:val="000000"/>
                <w:kern w:val="0"/>
                <w:position w:val="-6"/>
                <w:sz w:val="22"/>
                <w:szCs w:val="22"/>
                <w:u w:val="none"/>
                <w:lang w:val="en-US" w:eastAsia="zh-CN" w:bidi="ar"/>
              </w:rPr>
              <w:t>34</w:t>
            </w:r>
          </w:p>
        </w:tc>
        <w:tc>
          <w:tcPr>
            <w:tcW w:w="3771"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三雄极光平板灯</w:t>
            </w:r>
          </w:p>
        </w:tc>
        <w:tc>
          <w:tcPr>
            <w:tcW w:w="3396"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600*600</w:t>
            </w:r>
          </w:p>
        </w:tc>
        <w:tc>
          <w:tcPr>
            <w:tcW w:w="1692"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个</w:t>
            </w:r>
          </w:p>
        </w:tc>
        <w:tc>
          <w:tcPr>
            <w:tcW w:w="1392" w:type="dxa"/>
            <w:tcBorders>
              <w:top w:val="single" w:color="000000" w:sz="4" w:space="0"/>
              <w:left w:val="single" w:color="000000" w:sz="4" w:space="0"/>
              <w:bottom w:val="nil"/>
              <w:right w:val="single" w:color="000000" w:sz="4" w:space="0"/>
            </w:tcBorders>
            <w:textDirection w:val="lrTb"/>
            <w:vAlign w:val="center"/>
          </w:tcPr>
          <w:p>
            <w:pPr>
              <w:keepNext w:val="0"/>
              <w:keepLines w:val="0"/>
              <w:widowControl/>
              <w:suppressLineNumbers w:val="0"/>
              <w:jc w:val="center"/>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8</w:t>
            </w:r>
          </w:p>
        </w:tc>
        <w:tc>
          <w:tcPr>
            <w:tcW w:w="3156" w:type="dxa"/>
            <w:tcBorders>
              <w:top w:val="single" w:color="000000" w:sz="4" w:space="0"/>
              <w:left w:val="single" w:color="000000" w:sz="4" w:space="0"/>
              <w:bottom w:val="single" w:color="000000" w:sz="4" w:space="0"/>
            </w:tcBorders>
            <w:textDirection w:val="lrTb"/>
            <w:vAlign w:val="center"/>
          </w:tcPr>
          <w:p>
            <w:pPr>
              <w:jc w:val="center"/>
              <w:rPr>
                <w:rFonts w:hint="eastAsia" w:ascii="宋体" w:hAnsi="宋体" w:eastAsia="宋体" w:cs="宋体"/>
                <w:i w:val="0"/>
                <w:color w:val="000000"/>
                <w:kern w:val="0"/>
                <w:position w:val="-6"/>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20" w:hRule="atLeast"/>
        </w:trPr>
        <w:tc>
          <w:tcPr>
            <w:tcW w:w="660" w:type="dxa"/>
            <w:tcBorders>
              <w:top w:val="single" w:color="000000" w:sz="4" w:space="0"/>
              <w:bottom w:val="nil"/>
              <w:right w:val="single" w:color="000000" w:sz="4" w:space="0"/>
            </w:tcBorders>
            <w:textDirection w:val="lrTb"/>
            <w:vAlign w:val="center"/>
          </w:tcPr>
          <w:p>
            <w:pPr>
              <w:keepNext w:val="0"/>
              <w:keepLines w:val="0"/>
              <w:widowControl/>
              <w:suppressLineNumbers w:val="0"/>
              <w:jc w:val="center"/>
              <w:textAlignment w:val="center"/>
              <w:rPr>
                <w:rFonts w:hint="eastAsia" w:hAnsi="宋体" w:cs="宋体"/>
                <w:color w:val="000000"/>
                <w:sz w:val="22"/>
              </w:rPr>
            </w:pPr>
            <w:r>
              <w:rPr>
                <w:rFonts w:hint="eastAsia" w:ascii="宋体" w:hAnsi="宋体" w:eastAsia="宋体" w:cs="宋体"/>
                <w:i w:val="0"/>
                <w:color w:val="000000"/>
                <w:kern w:val="0"/>
                <w:position w:val="-6"/>
                <w:sz w:val="22"/>
                <w:szCs w:val="22"/>
                <w:u w:val="none"/>
                <w:lang w:val="en-US" w:eastAsia="zh-CN" w:bidi="ar"/>
              </w:rPr>
              <w:t>35</w:t>
            </w:r>
          </w:p>
        </w:tc>
        <w:tc>
          <w:tcPr>
            <w:tcW w:w="3771"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投光灯</w:t>
            </w:r>
          </w:p>
        </w:tc>
        <w:tc>
          <w:tcPr>
            <w:tcW w:w="3396"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GLD612</w:t>
            </w:r>
          </w:p>
        </w:tc>
        <w:tc>
          <w:tcPr>
            <w:tcW w:w="1692"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个</w:t>
            </w:r>
          </w:p>
        </w:tc>
        <w:tc>
          <w:tcPr>
            <w:tcW w:w="1392"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4</w:t>
            </w:r>
          </w:p>
        </w:tc>
        <w:tc>
          <w:tcPr>
            <w:tcW w:w="3156" w:type="dxa"/>
            <w:tcBorders>
              <w:top w:val="single" w:color="000000" w:sz="4" w:space="0"/>
              <w:left w:val="single" w:color="000000" w:sz="4" w:space="0"/>
              <w:bottom w:val="single" w:color="000000" w:sz="4" w:space="0"/>
            </w:tcBorders>
            <w:textDirection w:val="lrTb"/>
            <w:vAlign w:val="center"/>
          </w:tcPr>
          <w:p>
            <w:pPr>
              <w:jc w:val="center"/>
              <w:rPr>
                <w:rFonts w:hint="eastAsia" w:ascii="宋体" w:hAnsi="宋体" w:eastAsia="宋体" w:cs="宋体"/>
                <w:i w:val="0"/>
                <w:color w:val="000000"/>
                <w:kern w:val="0"/>
                <w:position w:val="-6"/>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20" w:hRule="atLeast"/>
        </w:trPr>
        <w:tc>
          <w:tcPr>
            <w:tcW w:w="660" w:type="dxa"/>
            <w:tcBorders>
              <w:top w:val="single" w:color="000000" w:sz="4" w:space="0"/>
              <w:bottom w:val="nil"/>
              <w:right w:val="single" w:color="000000" w:sz="4" w:space="0"/>
            </w:tcBorders>
            <w:textDirection w:val="lrTb"/>
            <w:vAlign w:val="center"/>
          </w:tcPr>
          <w:p>
            <w:pPr>
              <w:keepNext w:val="0"/>
              <w:keepLines w:val="0"/>
              <w:widowControl/>
              <w:suppressLineNumbers w:val="0"/>
              <w:jc w:val="center"/>
              <w:textAlignment w:val="center"/>
              <w:rPr>
                <w:rFonts w:hint="eastAsia" w:hAnsi="宋体" w:cs="宋体"/>
                <w:color w:val="000000"/>
                <w:sz w:val="22"/>
              </w:rPr>
            </w:pPr>
            <w:r>
              <w:rPr>
                <w:rFonts w:hint="eastAsia" w:ascii="宋体" w:hAnsi="宋体" w:eastAsia="宋体" w:cs="宋体"/>
                <w:i w:val="0"/>
                <w:color w:val="000000"/>
                <w:kern w:val="0"/>
                <w:position w:val="-6"/>
                <w:sz w:val="22"/>
                <w:szCs w:val="22"/>
                <w:u w:val="none"/>
                <w:lang w:val="en-US" w:eastAsia="zh-CN" w:bidi="ar"/>
              </w:rPr>
              <w:t>36</w:t>
            </w:r>
          </w:p>
        </w:tc>
        <w:tc>
          <w:tcPr>
            <w:tcW w:w="3771"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出口指示灯</w:t>
            </w:r>
          </w:p>
        </w:tc>
        <w:tc>
          <w:tcPr>
            <w:tcW w:w="3396"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2"/>
                <w:szCs w:val="22"/>
                <w:u w:val="none"/>
                <w:lang w:val="en-US" w:eastAsia="zh-CN" w:bidi="ar"/>
              </w:rPr>
              <w:t>型号：GX9011,额定电压：220V 50Hz,额定功率3W，光源类型LED,防护等级：IP65，应急时间≧90min</w:t>
            </w:r>
          </w:p>
        </w:tc>
        <w:tc>
          <w:tcPr>
            <w:tcW w:w="1692"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个</w:t>
            </w:r>
          </w:p>
        </w:tc>
        <w:tc>
          <w:tcPr>
            <w:tcW w:w="1392"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13</w:t>
            </w:r>
          </w:p>
        </w:tc>
        <w:tc>
          <w:tcPr>
            <w:tcW w:w="3156" w:type="dxa"/>
            <w:tcBorders>
              <w:top w:val="single" w:color="000000" w:sz="4" w:space="0"/>
              <w:left w:val="single" w:color="000000" w:sz="4" w:space="0"/>
              <w:bottom w:val="single" w:color="000000" w:sz="4" w:space="0"/>
            </w:tcBorders>
            <w:textDirection w:val="lrTb"/>
            <w:vAlign w:val="center"/>
          </w:tcPr>
          <w:p>
            <w:pPr>
              <w:jc w:val="center"/>
              <w:rPr>
                <w:rFonts w:hint="eastAsia" w:ascii="宋体" w:hAnsi="宋体" w:eastAsia="宋体" w:cs="宋体"/>
                <w:i w:val="0"/>
                <w:color w:val="000000"/>
                <w:kern w:val="0"/>
                <w:position w:val="-6"/>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20" w:hRule="atLeast"/>
        </w:trPr>
        <w:tc>
          <w:tcPr>
            <w:tcW w:w="660" w:type="dxa"/>
            <w:tcBorders>
              <w:top w:val="single" w:color="000000" w:sz="4" w:space="0"/>
              <w:bottom w:val="nil"/>
              <w:right w:val="single" w:color="000000" w:sz="4" w:space="0"/>
            </w:tcBorders>
            <w:textDirection w:val="lrTb"/>
            <w:vAlign w:val="center"/>
          </w:tcPr>
          <w:p>
            <w:pPr>
              <w:keepNext w:val="0"/>
              <w:keepLines w:val="0"/>
              <w:widowControl/>
              <w:suppressLineNumbers w:val="0"/>
              <w:jc w:val="center"/>
              <w:textAlignment w:val="center"/>
              <w:rPr>
                <w:rFonts w:hint="eastAsia" w:hAnsi="宋体" w:cs="宋体"/>
                <w:color w:val="000000"/>
                <w:sz w:val="22"/>
              </w:rPr>
            </w:pPr>
            <w:r>
              <w:rPr>
                <w:rFonts w:hint="eastAsia" w:ascii="宋体" w:hAnsi="宋体" w:eastAsia="宋体" w:cs="宋体"/>
                <w:i w:val="0"/>
                <w:color w:val="000000"/>
                <w:kern w:val="0"/>
                <w:position w:val="-6"/>
                <w:sz w:val="22"/>
                <w:szCs w:val="22"/>
                <w:u w:val="none"/>
                <w:lang w:val="en-US" w:eastAsia="zh-CN" w:bidi="ar"/>
              </w:rPr>
              <w:t>37</w:t>
            </w:r>
          </w:p>
        </w:tc>
        <w:tc>
          <w:tcPr>
            <w:tcW w:w="3771"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吸顶灯</w:t>
            </w:r>
          </w:p>
        </w:tc>
        <w:tc>
          <w:tcPr>
            <w:tcW w:w="3396"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220V LED 18W 6000K IP56</w:t>
            </w:r>
          </w:p>
        </w:tc>
        <w:tc>
          <w:tcPr>
            <w:tcW w:w="1692"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个</w:t>
            </w:r>
          </w:p>
        </w:tc>
        <w:tc>
          <w:tcPr>
            <w:tcW w:w="1392" w:type="dxa"/>
            <w:tcBorders>
              <w:top w:val="single" w:color="000000" w:sz="4" w:space="0"/>
              <w:left w:val="single" w:color="000000" w:sz="4" w:space="0"/>
              <w:bottom w:val="single" w:color="auto" w:sz="4" w:space="0"/>
              <w:right w:val="single" w:color="000000" w:sz="4" w:space="0"/>
            </w:tcBorders>
            <w:textDirection w:val="lrTb"/>
            <w:vAlign w:val="center"/>
          </w:tcPr>
          <w:p>
            <w:pPr>
              <w:keepNext w:val="0"/>
              <w:keepLines w:val="0"/>
              <w:widowControl/>
              <w:suppressLineNumbers w:val="0"/>
              <w:jc w:val="center"/>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3</w:t>
            </w:r>
          </w:p>
        </w:tc>
        <w:tc>
          <w:tcPr>
            <w:tcW w:w="3156" w:type="dxa"/>
            <w:tcBorders>
              <w:top w:val="single" w:color="000000" w:sz="4" w:space="0"/>
              <w:left w:val="single" w:color="000000" w:sz="4" w:space="0"/>
              <w:bottom w:val="single" w:color="auto" w:sz="4" w:space="0"/>
            </w:tcBorders>
            <w:textDirection w:val="lrTb"/>
            <w:vAlign w:val="center"/>
          </w:tcPr>
          <w:p>
            <w:pPr>
              <w:jc w:val="center"/>
              <w:rPr>
                <w:rFonts w:hint="eastAsia" w:ascii="宋体" w:hAnsi="宋体" w:eastAsia="宋体" w:cs="宋体"/>
                <w:i w:val="0"/>
                <w:color w:val="000000"/>
                <w:kern w:val="0"/>
                <w:position w:val="-6"/>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20" w:hRule="atLeast"/>
        </w:trPr>
        <w:tc>
          <w:tcPr>
            <w:tcW w:w="660" w:type="dxa"/>
            <w:tcBorders>
              <w:top w:val="single" w:color="000000" w:sz="4" w:space="0"/>
              <w:bottom w:val="nil"/>
              <w:right w:val="single" w:color="000000" w:sz="4" w:space="0"/>
            </w:tcBorders>
            <w:textDirection w:val="lrTb"/>
            <w:vAlign w:val="center"/>
          </w:tcPr>
          <w:p>
            <w:pPr>
              <w:keepNext w:val="0"/>
              <w:keepLines w:val="0"/>
              <w:widowControl/>
              <w:suppressLineNumbers w:val="0"/>
              <w:jc w:val="center"/>
              <w:textAlignment w:val="center"/>
              <w:rPr>
                <w:rFonts w:hint="eastAsia" w:hAnsi="宋体" w:cs="宋体"/>
                <w:color w:val="000000"/>
                <w:sz w:val="22"/>
              </w:rPr>
            </w:pPr>
            <w:r>
              <w:rPr>
                <w:rFonts w:hint="eastAsia" w:ascii="宋体" w:hAnsi="宋体" w:eastAsia="宋体" w:cs="宋体"/>
                <w:i w:val="0"/>
                <w:color w:val="000000"/>
                <w:kern w:val="0"/>
                <w:position w:val="-6"/>
                <w:sz w:val="22"/>
                <w:szCs w:val="22"/>
                <w:u w:val="none"/>
                <w:lang w:val="en-US" w:eastAsia="zh-CN" w:bidi="ar"/>
              </w:rPr>
              <w:t>38</w:t>
            </w:r>
          </w:p>
        </w:tc>
        <w:tc>
          <w:tcPr>
            <w:tcW w:w="3771"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吸顶灯</w:t>
            </w:r>
          </w:p>
        </w:tc>
        <w:tc>
          <w:tcPr>
            <w:tcW w:w="3396"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220V LED 18W 6000K IP56</w:t>
            </w:r>
          </w:p>
        </w:tc>
        <w:tc>
          <w:tcPr>
            <w:tcW w:w="1692" w:type="dxa"/>
            <w:tcBorders>
              <w:top w:val="single" w:color="000000" w:sz="4" w:space="0"/>
              <w:left w:val="single" w:color="000000" w:sz="4" w:space="0"/>
              <w:bottom w:val="single" w:color="000000" w:sz="4" w:space="0"/>
              <w:right w:val="single" w:color="auto"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个</w:t>
            </w:r>
          </w:p>
        </w:tc>
        <w:tc>
          <w:tcPr>
            <w:tcW w:w="1392" w:type="dxa"/>
            <w:tcBorders>
              <w:top w:val="single" w:color="auto" w:sz="4" w:space="0"/>
              <w:left w:val="single" w:color="auto" w:sz="4" w:space="0"/>
              <w:bottom w:val="single" w:color="auto" w:sz="4" w:space="0"/>
              <w:right w:val="single" w:color="000000" w:sz="4" w:space="0"/>
            </w:tcBorders>
            <w:textDirection w:val="lrTb"/>
            <w:vAlign w:val="center"/>
          </w:tcPr>
          <w:p>
            <w:pPr>
              <w:keepNext w:val="0"/>
              <w:keepLines w:val="0"/>
              <w:widowControl/>
              <w:suppressLineNumbers w:val="0"/>
              <w:jc w:val="center"/>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32</w:t>
            </w:r>
          </w:p>
        </w:tc>
        <w:tc>
          <w:tcPr>
            <w:tcW w:w="3156" w:type="dxa"/>
            <w:tcBorders>
              <w:top w:val="single" w:color="auto" w:sz="4" w:space="0"/>
              <w:left w:val="single" w:color="000000" w:sz="4" w:space="0"/>
              <w:bottom w:val="single" w:color="auto" w:sz="4" w:space="0"/>
            </w:tcBorders>
            <w:textDirection w:val="lrTb"/>
            <w:vAlign w:val="center"/>
          </w:tcPr>
          <w:p>
            <w:pPr>
              <w:jc w:val="center"/>
              <w:rPr>
                <w:rFonts w:hint="eastAsia" w:ascii="宋体" w:hAnsi="宋体" w:eastAsia="宋体" w:cs="宋体"/>
                <w:i w:val="0"/>
                <w:color w:val="000000"/>
                <w:kern w:val="0"/>
                <w:position w:val="-6"/>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20" w:hRule="atLeast"/>
        </w:trPr>
        <w:tc>
          <w:tcPr>
            <w:tcW w:w="660" w:type="dxa"/>
            <w:tcBorders>
              <w:top w:val="single" w:color="000000" w:sz="4" w:space="0"/>
              <w:bottom w:val="nil"/>
              <w:right w:val="single" w:color="000000" w:sz="4" w:space="0"/>
            </w:tcBorders>
            <w:textDirection w:val="lrTb"/>
            <w:vAlign w:val="center"/>
          </w:tcPr>
          <w:p>
            <w:pPr>
              <w:keepNext w:val="0"/>
              <w:keepLines w:val="0"/>
              <w:widowControl/>
              <w:suppressLineNumbers w:val="0"/>
              <w:jc w:val="center"/>
              <w:textAlignment w:val="center"/>
              <w:rPr>
                <w:rFonts w:hint="eastAsia" w:hAnsi="宋体" w:cs="宋体"/>
                <w:color w:val="000000"/>
                <w:sz w:val="22"/>
              </w:rPr>
            </w:pPr>
            <w:r>
              <w:rPr>
                <w:rFonts w:hint="eastAsia" w:ascii="宋体" w:hAnsi="宋体" w:eastAsia="宋体" w:cs="宋体"/>
                <w:i w:val="0"/>
                <w:color w:val="000000"/>
                <w:kern w:val="0"/>
                <w:position w:val="-6"/>
                <w:sz w:val="22"/>
                <w:szCs w:val="22"/>
                <w:u w:val="none"/>
                <w:lang w:val="en-US" w:eastAsia="zh-CN" w:bidi="ar"/>
              </w:rPr>
              <w:t>39</w:t>
            </w:r>
          </w:p>
        </w:tc>
        <w:tc>
          <w:tcPr>
            <w:tcW w:w="3771"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摆动阀（进料阀）Swing valve (feed valve)</w:t>
            </w:r>
          </w:p>
        </w:tc>
        <w:tc>
          <w:tcPr>
            <w:tcW w:w="3396"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DN200 PN10</w:t>
            </w:r>
          </w:p>
        </w:tc>
        <w:tc>
          <w:tcPr>
            <w:tcW w:w="1692"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台platform</w:t>
            </w:r>
          </w:p>
        </w:tc>
        <w:tc>
          <w:tcPr>
            <w:tcW w:w="1392" w:type="dxa"/>
            <w:tcBorders>
              <w:top w:val="single" w:color="auto"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2</w:t>
            </w:r>
          </w:p>
        </w:tc>
        <w:tc>
          <w:tcPr>
            <w:tcW w:w="3156" w:type="dxa"/>
            <w:tcBorders>
              <w:top w:val="single" w:color="auto" w:sz="4" w:space="0"/>
              <w:left w:val="single" w:color="000000" w:sz="4" w:space="0"/>
              <w:bottom w:val="single" w:color="000000" w:sz="4" w:space="0"/>
            </w:tcBorders>
            <w:textDirection w:val="lrTb"/>
            <w:vAlign w:val="center"/>
          </w:tcPr>
          <w:p>
            <w:pPr>
              <w:jc w:val="center"/>
              <w:rPr>
                <w:rFonts w:hint="eastAsia" w:ascii="宋体" w:hAnsi="宋体" w:eastAsia="宋体" w:cs="宋体"/>
                <w:i w:val="0"/>
                <w:color w:val="000000"/>
                <w:kern w:val="0"/>
                <w:position w:val="-6"/>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20" w:hRule="atLeast"/>
        </w:trPr>
        <w:tc>
          <w:tcPr>
            <w:tcW w:w="660" w:type="dxa"/>
            <w:tcBorders>
              <w:top w:val="single" w:color="000000" w:sz="4" w:space="0"/>
              <w:bottom w:val="nil"/>
              <w:right w:val="single" w:color="000000" w:sz="4" w:space="0"/>
            </w:tcBorders>
            <w:textDirection w:val="lrTb"/>
            <w:vAlign w:val="center"/>
          </w:tcPr>
          <w:p>
            <w:pPr>
              <w:keepNext w:val="0"/>
              <w:keepLines w:val="0"/>
              <w:widowControl/>
              <w:suppressLineNumbers w:val="0"/>
              <w:jc w:val="center"/>
              <w:textAlignment w:val="center"/>
              <w:rPr>
                <w:rFonts w:hint="eastAsia" w:hAnsi="宋体" w:cs="宋体"/>
                <w:color w:val="000000"/>
                <w:sz w:val="22"/>
              </w:rPr>
            </w:pPr>
            <w:r>
              <w:rPr>
                <w:rFonts w:hint="eastAsia" w:ascii="宋体" w:hAnsi="宋体" w:eastAsia="宋体" w:cs="宋体"/>
                <w:i w:val="0"/>
                <w:color w:val="000000"/>
                <w:kern w:val="0"/>
                <w:position w:val="-6"/>
                <w:sz w:val="22"/>
                <w:szCs w:val="22"/>
                <w:u w:val="none"/>
                <w:lang w:val="en-US" w:eastAsia="zh-CN" w:bidi="ar"/>
              </w:rPr>
              <w:t>40</w:t>
            </w:r>
          </w:p>
        </w:tc>
        <w:tc>
          <w:tcPr>
            <w:tcW w:w="3771"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摆动阀（进料阀）Swing valve (feed valve)</w:t>
            </w:r>
          </w:p>
        </w:tc>
        <w:tc>
          <w:tcPr>
            <w:tcW w:w="3396"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DN200 PN10</w:t>
            </w:r>
          </w:p>
        </w:tc>
        <w:tc>
          <w:tcPr>
            <w:tcW w:w="1692"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台platform</w:t>
            </w:r>
          </w:p>
        </w:tc>
        <w:tc>
          <w:tcPr>
            <w:tcW w:w="1392"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4</w:t>
            </w:r>
          </w:p>
        </w:tc>
        <w:tc>
          <w:tcPr>
            <w:tcW w:w="3156" w:type="dxa"/>
            <w:tcBorders>
              <w:top w:val="single" w:color="000000" w:sz="4" w:space="0"/>
              <w:left w:val="single" w:color="000000" w:sz="4" w:space="0"/>
              <w:bottom w:val="single" w:color="000000" w:sz="4" w:space="0"/>
            </w:tcBorders>
            <w:textDirection w:val="lrTb"/>
            <w:vAlign w:val="center"/>
          </w:tcPr>
          <w:p>
            <w:pPr>
              <w:jc w:val="center"/>
              <w:rPr>
                <w:rFonts w:hint="eastAsia" w:ascii="宋体" w:hAnsi="宋体" w:eastAsia="宋体" w:cs="宋体"/>
                <w:i w:val="0"/>
                <w:color w:val="000000"/>
                <w:kern w:val="0"/>
                <w:position w:val="-6"/>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20" w:hRule="atLeast"/>
        </w:trPr>
        <w:tc>
          <w:tcPr>
            <w:tcW w:w="660" w:type="dxa"/>
            <w:tcBorders>
              <w:top w:val="single" w:color="000000" w:sz="4" w:space="0"/>
              <w:bottom w:val="nil"/>
              <w:right w:val="single" w:color="000000" w:sz="4" w:space="0"/>
            </w:tcBorders>
            <w:textDirection w:val="lrTb"/>
            <w:vAlign w:val="center"/>
          </w:tcPr>
          <w:p>
            <w:pPr>
              <w:keepNext w:val="0"/>
              <w:keepLines w:val="0"/>
              <w:widowControl/>
              <w:suppressLineNumbers w:val="0"/>
              <w:jc w:val="center"/>
              <w:textAlignment w:val="center"/>
              <w:rPr>
                <w:rFonts w:hint="eastAsia" w:hAnsi="宋体" w:cs="宋体"/>
                <w:color w:val="000000"/>
                <w:sz w:val="22"/>
              </w:rPr>
            </w:pPr>
            <w:r>
              <w:rPr>
                <w:rFonts w:hint="eastAsia" w:ascii="宋体" w:hAnsi="宋体" w:eastAsia="宋体" w:cs="宋体"/>
                <w:i w:val="0"/>
                <w:color w:val="000000"/>
                <w:kern w:val="0"/>
                <w:position w:val="-6"/>
                <w:sz w:val="22"/>
                <w:szCs w:val="22"/>
                <w:u w:val="none"/>
                <w:lang w:val="en-US" w:eastAsia="zh-CN" w:bidi="ar"/>
              </w:rPr>
              <w:t>41</w:t>
            </w:r>
          </w:p>
        </w:tc>
        <w:tc>
          <w:tcPr>
            <w:tcW w:w="3771"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摆动阀（进料阀）Swing valve (feed valve)</w:t>
            </w:r>
          </w:p>
        </w:tc>
        <w:tc>
          <w:tcPr>
            <w:tcW w:w="3396"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DN200 PN10耐温400℃</w:t>
            </w:r>
          </w:p>
        </w:tc>
        <w:tc>
          <w:tcPr>
            <w:tcW w:w="1692"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台platform</w:t>
            </w:r>
          </w:p>
        </w:tc>
        <w:tc>
          <w:tcPr>
            <w:tcW w:w="1392"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3</w:t>
            </w:r>
          </w:p>
        </w:tc>
        <w:tc>
          <w:tcPr>
            <w:tcW w:w="3156" w:type="dxa"/>
            <w:tcBorders>
              <w:top w:val="single" w:color="000000" w:sz="4" w:space="0"/>
              <w:left w:val="single" w:color="000000" w:sz="4" w:space="0"/>
              <w:bottom w:val="single" w:color="000000" w:sz="4" w:space="0"/>
            </w:tcBorders>
            <w:textDirection w:val="lrTb"/>
            <w:vAlign w:val="center"/>
          </w:tcPr>
          <w:p>
            <w:pPr>
              <w:jc w:val="center"/>
              <w:rPr>
                <w:rFonts w:hint="eastAsia" w:ascii="宋体" w:hAnsi="宋体" w:eastAsia="宋体" w:cs="宋体"/>
                <w:i w:val="0"/>
                <w:color w:val="000000"/>
                <w:kern w:val="0"/>
                <w:position w:val="-6"/>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20" w:hRule="atLeast"/>
        </w:trPr>
        <w:tc>
          <w:tcPr>
            <w:tcW w:w="660" w:type="dxa"/>
            <w:tcBorders>
              <w:top w:val="single" w:color="000000" w:sz="4" w:space="0"/>
              <w:bottom w:val="nil"/>
              <w:right w:val="single" w:color="000000" w:sz="4" w:space="0"/>
            </w:tcBorders>
            <w:textDirection w:val="lrTb"/>
            <w:vAlign w:val="center"/>
          </w:tcPr>
          <w:p>
            <w:pPr>
              <w:keepNext w:val="0"/>
              <w:keepLines w:val="0"/>
              <w:widowControl/>
              <w:suppressLineNumbers w:val="0"/>
              <w:jc w:val="center"/>
              <w:textAlignment w:val="center"/>
              <w:rPr>
                <w:rFonts w:hint="eastAsia" w:hAnsi="宋体" w:cs="宋体"/>
                <w:color w:val="000000"/>
                <w:sz w:val="22"/>
              </w:rPr>
            </w:pPr>
            <w:r>
              <w:rPr>
                <w:rFonts w:hint="eastAsia" w:ascii="宋体" w:hAnsi="宋体" w:eastAsia="宋体" w:cs="宋体"/>
                <w:i w:val="0"/>
                <w:color w:val="000000"/>
                <w:kern w:val="0"/>
                <w:position w:val="-6"/>
                <w:sz w:val="22"/>
                <w:szCs w:val="22"/>
                <w:u w:val="none"/>
                <w:lang w:val="en-US" w:eastAsia="zh-CN" w:bidi="ar"/>
              </w:rPr>
              <w:t>42</w:t>
            </w:r>
          </w:p>
        </w:tc>
        <w:tc>
          <w:tcPr>
            <w:tcW w:w="3771"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摆动阀（平衡阀）Swing valve (balancing valve)</w:t>
            </w:r>
          </w:p>
        </w:tc>
        <w:tc>
          <w:tcPr>
            <w:tcW w:w="3396"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DN65 PN10 耐温400℃</w:t>
            </w:r>
          </w:p>
        </w:tc>
        <w:tc>
          <w:tcPr>
            <w:tcW w:w="1692"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台platform</w:t>
            </w:r>
          </w:p>
        </w:tc>
        <w:tc>
          <w:tcPr>
            <w:tcW w:w="1392"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1</w:t>
            </w:r>
          </w:p>
        </w:tc>
        <w:tc>
          <w:tcPr>
            <w:tcW w:w="3156" w:type="dxa"/>
            <w:tcBorders>
              <w:top w:val="single" w:color="000000" w:sz="4" w:space="0"/>
              <w:left w:val="single" w:color="000000" w:sz="4" w:space="0"/>
              <w:bottom w:val="single" w:color="000000" w:sz="4" w:space="0"/>
            </w:tcBorders>
            <w:textDirection w:val="lrTb"/>
            <w:vAlign w:val="center"/>
          </w:tcPr>
          <w:p>
            <w:pPr>
              <w:jc w:val="center"/>
              <w:rPr>
                <w:rFonts w:hint="eastAsia" w:ascii="宋体" w:hAnsi="宋体" w:eastAsia="宋体" w:cs="宋体"/>
                <w:i w:val="0"/>
                <w:color w:val="000000"/>
                <w:kern w:val="0"/>
                <w:position w:val="-6"/>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20" w:hRule="atLeast"/>
        </w:trPr>
        <w:tc>
          <w:tcPr>
            <w:tcW w:w="660" w:type="dxa"/>
            <w:tcBorders>
              <w:top w:val="single" w:color="000000" w:sz="4" w:space="0"/>
              <w:bottom w:val="nil"/>
              <w:right w:val="single" w:color="000000" w:sz="4" w:space="0"/>
            </w:tcBorders>
            <w:textDirection w:val="lrTb"/>
            <w:vAlign w:val="center"/>
          </w:tcPr>
          <w:p>
            <w:pPr>
              <w:keepNext w:val="0"/>
              <w:keepLines w:val="0"/>
              <w:widowControl/>
              <w:suppressLineNumbers w:val="0"/>
              <w:jc w:val="center"/>
              <w:textAlignment w:val="center"/>
              <w:rPr>
                <w:rFonts w:hint="eastAsia" w:hAnsi="宋体" w:cs="宋体"/>
                <w:color w:val="000000"/>
                <w:sz w:val="22"/>
              </w:rPr>
            </w:pPr>
            <w:r>
              <w:rPr>
                <w:rFonts w:hint="eastAsia" w:ascii="宋体" w:hAnsi="宋体" w:eastAsia="宋体" w:cs="宋体"/>
                <w:i w:val="0"/>
                <w:color w:val="000000"/>
                <w:kern w:val="0"/>
                <w:position w:val="-6"/>
                <w:sz w:val="22"/>
                <w:szCs w:val="22"/>
                <w:u w:val="none"/>
                <w:lang w:val="en-US" w:eastAsia="zh-CN" w:bidi="ar"/>
              </w:rPr>
              <w:t>43</w:t>
            </w:r>
          </w:p>
        </w:tc>
        <w:tc>
          <w:tcPr>
            <w:tcW w:w="3771"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双闸阀（库顶切换阀）PDouble gate valve (warehouse top switching valve)</w:t>
            </w:r>
          </w:p>
        </w:tc>
        <w:tc>
          <w:tcPr>
            <w:tcW w:w="3396"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DN100 PN10</w:t>
            </w:r>
          </w:p>
        </w:tc>
        <w:tc>
          <w:tcPr>
            <w:tcW w:w="1692"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台platform</w:t>
            </w:r>
          </w:p>
        </w:tc>
        <w:tc>
          <w:tcPr>
            <w:tcW w:w="1392"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1</w:t>
            </w:r>
          </w:p>
        </w:tc>
        <w:tc>
          <w:tcPr>
            <w:tcW w:w="3156" w:type="dxa"/>
            <w:tcBorders>
              <w:top w:val="single" w:color="000000" w:sz="4" w:space="0"/>
              <w:left w:val="single" w:color="000000" w:sz="4" w:space="0"/>
              <w:bottom w:val="single" w:color="000000" w:sz="4" w:space="0"/>
            </w:tcBorders>
            <w:textDirection w:val="lrTb"/>
            <w:vAlign w:val="center"/>
          </w:tcPr>
          <w:p>
            <w:pPr>
              <w:jc w:val="center"/>
              <w:rPr>
                <w:rFonts w:hint="eastAsia" w:ascii="宋体" w:hAnsi="宋体" w:eastAsia="宋体" w:cs="宋体"/>
                <w:i w:val="0"/>
                <w:color w:val="000000"/>
                <w:kern w:val="0"/>
                <w:position w:val="-6"/>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20" w:hRule="atLeast"/>
        </w:trPr>
        <w:tc>
          <w:tcPr>
            <w:tcW w:w="660" w:type="dxa"/>
            <w:tcBorders>
              <w:top w:val="single" w:color="000000" w:sz="4" w:space="0"/>
              <w:bottom w:val="nil"/>
              <w:right w:val="single" w:color="000000" w:sz="4" w:space="0"/>
            </w:tcBorders>
            <w:textDirection w:val="lrTb"/>
            <w:vAlign w:val="center"/>
          </w:tcPr>
          <w:p>
            <w:pPr>
              <w:keepNext w:val="0"/>
              <w:keepLines w:val="0"/>
              <w:widowControl/>
              <w:suppressLineNumbers w:val="0"/>
              <w:jc w:val="center"/>
              <w:textAlignment w:val="center"/>
              <w:rPr>
                <w:rFonts w:hint="eastAsia" w:hAnsi="宋体" w:cs="宋体"/>
                <w:color w:val="000000"/>
                <w:sz w:val="22"/>
              </w:rPr>
            </w:pPr>
            <w:r>
              <w:rPr>
                <w:rFonts w:hint="eastAsia" w:ascii="宋体" w:hAnsi="宋体" w:eastAsia="宋体" w:cs="宋体"/>
                <w:i w:val="0"/>
                <w:color w:val="000000"/>
                <w:kern w:val="0"/>
                <w:position w:val="-6"/>
                <w:sz w:val="22"/>
                <w:szCs w:val="22"/>
                <w:u w:val="none"/>
                <w:lang w:val="en-US" w:eastAsia="zh-CN" w:bidi="ar"/>
              </w:rPr>
              <w:t>44</w:t>
            </w:r>
          </w:p>
        </w:tc>
        <w:tc>
          <w:tcPr>
            <w:tcW w:w="3771"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电动执行机构主板（ROTORK）Main board of electric actuator（ROTORK）</w:t>
            </w:r>
          </w:p>
        </w:tc>
        <w:tc>
          <w:tcPr>
            <w:tcW w:w="3396"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WIQ81123</w:t>
            </w:r>
          </w:p>
        </w:tc>
        <w:tc>
          <w:tcPr>
            <w:tcW w:w="1692"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个piece</w:t>
            </w:r>
          </w:p>
        </w:tc>
        <w:tc>
          <w:tcPr>
            <w:tcW w:w="1392"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1</w:t>
            </w:r>
          </w:p>
        </w:tc>
        <w:tc>
          <w:tcPr>
            <w:tcW w:w="3156" w:type="dxa"/>
            <w:tcBorders>
              <w:top w:val="single" w:color="000000" w:sz="4" w:space="0"/>
              <w:left w:val="single" w:color="000000" w:sz="4" w:space="0"/>
              <w:bottom w:val="single" w:color="000000" w:sz="4" w:space="0"/>
            </w:tcBorders>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position w:val="-6"/>
                <w:sz w:val="24"/>
                <w:szCs w:val="24"/>
                <w:u w:val="none"/>
                <w:lang w:val="en-US" w:eastAsia="zh-CN" w:bidi="ar"/>
              </w:rPr>
            </w:pPr>
            <w:r>
              <w:drawing>
                <wp:inline distT="0" distB="0" distL="114300" distR="114300">
                  <wp:extent cx="753110" cy="741045"/>
                  <wp:effectExtent l="0" t="0" r="8890" b="5715"/>
                  <wp:docPr id="1108" name="ID_3BD009FB857B430E8ACD6AA2A14B1DF7" descr="0e2f00c547fa67550c7f3bb17899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 name="ID_3BD009FB857B430E8ACD6AA2A14B1DF7" descr="0e2f00c547fa67550c7f3bb17899135"/>
                          <pic:cNvPicPr>
                            <a:picLocks noChangeAspect="1"/>
                          </pic:cNvPicPr>
                        </pic:nvPicPr>
                        <pic:blipFill>
                          <a:blip r:embed="rId15"/>
                          <a:srcRect t="13393" b="31783"/>
                          <a:stretch>
                            <a:fillRect/>
                          </a:stretch>
                        </pic:blipFill>
                        <pic:spPr>
                          <a:xfrm>
                            <a:off x="0" y="0"/>
                            <a:ext cx="753110" cy="741045"/>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20" w:hRule="atLeast"/>
        </w:trPr>
        <w:tc>
          <w:tcPr>
            <w:tcW w:w="660" w:type="dxa"/>
            <w:tcBorders>
              <w:top w:val="single" w:color="000000" w:sz="4" w:space="0"/>
              <w:bottom w:val="nil"/>
              <w:right w:val="single" w:color="000000" w:sz="4" w:space="0"/>
            </w:tcBorders>
            <w:textDirection w:val="lrTb"/>
            <w:vAlign w:val="center"/>
          </w:tcPr>
          <w:p>
            <w:pPr>
              <w:keepNext w:val="0"/>
              <w:keepLines w:val="0"/>
              <w:widowControl/>
              <w:suppressLineNumbers w:val="0"/>
              <w:jc w:val="center"/>
              <w:textAlignment w:val="center"/>
              <w:rPr>
                <w:rFonts w:hint="eastAsia" w:hAnsi="宋体" w:cs="宋体"/>
                <w:color w:val="000000"/>
                <w:sz w:val="22"/>
              </w:rPr>
            </w:pPr>
            <w:r>
              <w:rPr>
                <w:rFonts w:hint="eastAsia" w:ascii="宋体" w:hAnsi="宋体" w:eastAsia="宋体" w:cs="宋体"/>
                <w:i w:val="0"/>
                <w:color w:val="000000"/>
                <w:kern w:val="0"/>
                <w:position w:val="-6"/>
                <w:sz w:val="22"/>
                <w:szCs w:val="22"/>
                <w:u w:val="none"/>
                <w:lang w:val="en-US" w:eastAsia="zh-CN" w:bidi="ar"/>
              </w:rPr>
              <w:t>45</w:t>
            </w:r>
          </w:p>
        </w:tc>
        <w:tc>
          <w:tcPr>
            <w:tcW w:w="3771"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球密封软管Spherical-Sealing flexible pipe</w:t>
            </w:r>
          </w:p>
        </w:tc>
        <w:tc>
          <w:tcPr>
            <w:tcW w:w="3396"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JB/T6142.1-199225I-1000(G1/G1)</w:t>
            </w:r>
          </w:p>
        </w:tc>
        <w:tc>
          <w:tcPr>
            <w:tcW w:w="1692"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件pieces</w:t>
            </w:r>
          </w:p>
        </w:tc>
        <w:tc>
          <w:tcPr>
            <w:tcW w:w="1392"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2</w:t>
            </w:r>
          </w:p>
        </w:tc>
        <w:tc>
          <w:tcPr>
            <w:tcW w:w="3156" w:type="dxa"/>
            <w:tcBorders>
              <w:top w:val="single" w:color="000000" w:sz="4" w:space="0"/>
              <w:left w:val="single" w:color="000000" w:sz="4" w:space="0"/>
              <w:bottom w:val="single" w:color="000000" w:sz="4" w:space="0"/>
            </w:tcBorders>
            <w:textDirection w:val="lrTb"/>
            <w:vAlign w:val="center"/>
          </w:tcPr>
          <w:p>
            <w:pPr>
              <w:jc w:val="center"/>
              <w:rPr>
                <w:rFonts w:hint="eastAsia" w:ascii="宋体" w:hAnsi="宋体" w:eastAsia="宋体" w:cs="宋体"/>
                <w:i w:val="0"/>
                <w:color w:val="000000"/>
                <w:kern w:val="0"/>
                <w:position w:val="-6"/>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20" w:hRule="atLeast"/>
        </w:trPr>
        <w:tc>
          <w:tcPr>
            <w:tcW w:w="660" w:type="dxa"/>
            <w:tcBorders>
              <w:top w:val="single" w:color="000000" w:sz="4" w:space="0"/>
              <w:bottom w:val="nil"/>
              <w:right w:val="single" w:color="000000" w:sz="4" w:space="0"/>
            </w:tcBorders>
            <w:textDirection w:val="lrTb"/>
            <w:vAlign w:val="center"/>
          </w:tcPr>
          <w:p>
            <w:pPr>
              <w:keepNext w:val="0"/>
              <w:keepLines w:val="0"/>
              <w:widowControl/>
              <w:suppressLineNumbers w:val="0"/>
              <w:jc w:val="center"/>
              <w:textAlignment w:val="center"/>
              <w:rPr>
                <w:rFonts w:hint="eastAsia" w:hAnsi="宋体" w:cs="宋体"/>
                <w:color w:val="000000"/>
                <w:sz w:val="22"/>
              </w:rPr>
            </w:pPr>
            <w:r>
              <w:rPr>
                <w:rFonts w:hint="eastAsia" w:ascii="宋体" w:hAnsi="宋体" w:eastAsia="宋体" w:cs="宋体"/>
                <w:i w:val="0"/>
                <w:color w:val="000000"/>
                <w:kern w:val="0"/>
                <w:position w:val="-6"/>
                <w:sz w:val="22"/>
                <w:szCs w:val="22"/>
                <w:u w:val="none"/>
                <w:lang w:val="en-US" w:eastAsia="zh-CN" w:bidi="ar"/>
              </w:rPr>
              <w:t>46</w:t>
            </w:r>
          </w:p>
        </w:tc>
        <w:tc>
          <w:tcPr>
            <w:tcW w:w="3771"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进口螺杆泵Imported screw pump</w:t>
            </w:r>
          </w:p>
        </w:tc>
        <w:tc>
          <w:tcPr>
            <w:tcW w:w="3396"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ZNYB01020602</w:t>
            </w:r>
          </w:p>
        </w:tc>
        <w:tc>
          <w:tcPr>
            <w:tcW w:w="1692"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台platform</w:t>
            </w:r>
          </w:p>
        </w:tc>
        <w:tc>
          <w:tcPr>
            <w:tcW w:w="1392"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1</w:t>
            </w:r>
          </w:p>
        </w:tc>
        <w:tc>
          <w:tcPr>
            <w:tcW w:w="3156" w:type="dxa"/>
            <w:tcBorders>
              <w:top w:val="single" w:color="000000" w:sz="4" w:space="0"/>
              <w:left w:val="single" w:color="000000" w:sz="4" w:space="0"/>
              <w:bottom w:val="single" w:color="000000" w:sz="4" w:space="0"/>
            </w:tcBorders>
            <w:textDirection w:val="lrTb"/>
            <w:vAlign w:val="center"/>
          </w:tcPr>
          <w:p>
            <w:pPr>
              <w:jc w:val="center"/>
              <w:rPr>
                <w:rFonts w:hint="eastAsia" w:ascii="宋体" w:hAnsi="宋体" w:eastAsia="宋体" w:cs="宋体"/>
                <w:i w:val="0"/>
                <w:color w:val="000000"/>
                <w:kern w:val="0"/>
                <w:position w:val="-6"/>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20" w:hRule="atLeast"/>
        </w:trPr>
        <w:tc>
          <w:tcPr>
            <w:tcW w:w="660" w:type="dxa"/>
            <w:tcBorders>
              <w:top w:val="single" w:color="000000" w:sz="4" w:space="0"/>
              <w:bottom w:val="nil"/>
              <w:right w:val="single" w:color="000000" w:sz="4" w:space="0"/>
            </w:tcBorders>
            <w:textDirection w:val="lrTb"/>
            <w:vAlign w:val="center"/>
          </w:tcPr>
          <w:p>
            <w:pPr>
              <w:keepNext w:val="0"/>
              <w:keepLines w:val="0"/>
              <w:widowControl/>
              <w:suppressLineNumbers w:val="0"/>
              <w:jc w:val="center"/>
              <w:textAlignment w:val="center"/>
              <w:rPr>
                <w:rFonts w:hint="eastAsia" w:hAnsi="宋体" w:cs="宋体"/>
                <w:color w:val="000000"/>
                <w:sz w:val="22"/>
              </w:rPr>
            </w:pPr>
            <w:r>
              <w:rPr>
                <w:rFonts w:hint="eastAsia" w:ascii="宋体" w:hAnsi="宋体" w:eastAsia="宋体" w:cs="宋体"/>
                <w:i w:val="0"/>
                <w:color w:val="000000"/>
                <w:kern w:val="0"/>
                <w:position w:val="-6"/>
                <w:sz w:val="22"/>
                <w:szCs w:val="22"/>
                <w:u w:val="none"/>
                <w:lang w:val="en-US" w:eastAsia="zh-CN" w:bidi="ar"/>
              </w:rPr>
              <w:t>47</w:t>
            </w:r>
          </w:p>
        </w:tc>
        <w:tc>
          <w:tcPr>
            <w:tcW w:w="3771"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电动截止阀（序号13）Electric globe valve (serial number 13)</w:t>
            </w:r>
          </w:p>
        </w:tc>
        <w:tc>
          <w:tcPr>
            <w:tcW w:w="3396"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VA500.51.2680.1".1/2" GW</w:t>
            </w:r>
          </w:p>
        </w:tc>
        <w:tc>
          <w:tcPr>
            <w:tcW w:w="1692"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只only</w:t>
            </w:r>
          </w:p>
        </w:tc>
        <w:tc>
          <w:tcPr>
            <w:tcW w:w="1392"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1</w:t>
            </w:r>
          </w:p>
        </w:tc>
        <w:tc>
          <w:tcPr>
            <w:tcW w:w="3156" w:type="dxa"/>
            <w:tcBorders>
              <w:top w:val="single" w:color="000000" w:sz="4" w:space="0"/>
              <w:left w:val="single" w:color="000000" w:sz="4" w:space="0"/>
              <w:bottom w:val="single" w:color="000000" w:sz="4" w:space="0"/>
            </w:tcBorders>
            <w:textDirection w:val="lrTb"/>
            <w:vAlign w:val="center"/>
          </w:tcPr>
          <w:p>
            <w:pPr>
              <w:jc w:val="center"/>
              <w:rPr>
                <w:rFonts w:hint="eastAsia" w:ascii="宋体" w:hAnsi="宋体" w:eastAsia="宋体" w:cs="宋体"/>
                <w:i w:val="0"/>
                <w:color w:val="000000"/>
                <w:kern w:val="0"/>
                <w:position w:val="-6"/>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20" w:hRule="atLeast"/>
        </w:trPr>
        <w:tc>
          <w:tcPr>
            <w:tcW w:w="660" w:type="dxa"/>
            <w:tcBorders>
              <w:top w:val="single" w:color="000000" w:sz="4" w:space="0"/>
              <w:bottom w:val="nil"/>
              <w:right w:val="single" w:color="000000" w:sz="4" w:space="0"/>
            </w:tcBorders>
            <w:textDirection w:val="lrTb"/>
            <w:vAlign w:val="center"/>
          </w:tcPr>
          <w:p>
            <w:pPr>
              <w:keepNext w:val="0"/>
              <w:keepLines w:val="0"/>
              <w:widowControl/>
              <w:suppressLineNumbers w:val="0"/>
              <w:jc w:val="center"/>
              <w:textAlignment w:val="center"/>
              <w:rPr>
                <w:rFonts w:hint="eastAsia" w:hAnsi="宋体" w:cs="宋体"/>
                <w:color w:val="000000"/>
                <w:sz w:val="22"/>
              </w:rPr>
            </w:pPr>
            <w:r>
              <w:rPr>
                <w:rFonts w:hint="eastAsia" w:ascii="宋体" w:hAnsi="宋体" w:eastAsia="宋体" w:cs="宋体"/>
                <w:i w:val="0"/>
                <w:color w:val="000000"/>
                <w:kern w:val="0"/>
                <w:position w:val="-6"/>
                <w:sz w:val="22"/>
                <w:szCs w:val="22"/>
                <w:u w:val="none"/>
                <w:lang w:val="en-US" w:eastAsia="zh-CN" w:bidi="ar"/>
              </w:rPr>
              <w:t>48</w:t>
            </w:r>
          </w:p>
        </w:tc>
        <w:tc>
          <w:tcPr>
            <w:tcW w:w="3771"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电动截止阀Motorized globe valve</w:t>
            </w:r>
          </w:p>
        </w:tc>
        <w:tc>
          <w:tcPr>
            <w:tcW w:w="3396"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VA500.51.2680.3”.2“.GW SIPOS）</w:t>
            </w:r>
          </w:p>
        </w:tc>
        <w:tc>
          <w:tcPr>
            <w:tcW w:w="1692"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台platform</w:t>
            </w:r>
          </w:p>
        </w:tc>
        <w:tc>
          <w:tcPr>
            <w:tcW w:w="1392"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1</w:t>
            </w:r>
          </w:p>
        </w:tc>
        <w:tc>
          <w:tcPr>
            <w:tcW w:w="3156" w:type="dxa"/>
            <w:tcBorders>
              <w:top w:val="single" w:color="000000" w:sz="4" w:space="0"/>
              <w:left w:val="single" w:color="000000" w:sz="4" w:space="0"/>
              <w:bottom w:val="single" w:color="000000" w:sz="4" w:space="0"/>
            </w:tcBorders>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position w:val="-6"/>
                <w:sz w:val="24"/>
                <w:szCs w:val="24"/>
                <w:u w:val="none"/>
                <w:lang w:val="en-US" w:eastAsia="zh-CN" w:bidi="ar"/>
              </w:rPr>
            </w:pPr>
            <w:r>
              <w:rPr>
                <w:rFonts w:hint="eastAsia" w:ascii="宋体" w:hAnsi="宋体" w:eastAsia="宋体" w:cs="宋体"/>
                <w:i w:val="0"/>
                <w:color w:val="000000"/>
                <w:kern w:val="0"/>
                <w:position w:val="-6"/>
                <w:sz w:val="20"/>
                <w:szCs w:val="20"/>
                <w:u w:val="none"/>
                <w:lang w:val="en-US" w:eastAsia="zh-CN" w:bidi="ar"/>
              </w:rPr>
              <w:t>sempell阀门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20" w:hRule="atLeast"/>
        </w:trPr>
        <w:tc>
          <w:tcPr>
            <w:tcW w:w="660" w:type="dxa"/>
            <w:tcBorders>
              <w:top w:val="single" w:color="000000" w:sz="4" w:space="0"/>
              <w:bottom w:val="nil"/>
              <w:right w:val="single" w:color="000000" w:sz="4" w:space="0"/>
            </w:tcBorders>
            <w:textDirection w:val="lrTb"/>
            <w:vAlign w:val="center"/>
          </w:tcPr>
          <w:p>
            <w:pPr>
              <w:keepNext w:val="0"/>
              <w:keepLines w:val="0"/>
              <w:widowControl/>
              <w:suppressLineNumbers w:val="0"/>
              <w:jc w:val="center"/>
              <w:textAlignment w:val="center"/>
              <w:rPr>
                <w:rFonts w:hint="eastAsia" w:hAnsi="宋体" w:cs="宋体"/>
                <w:color w:val="000000"/>
                <w:sz w:val="22"/>
              </w:rPr>
            </w:pPr>
            <w:r>
              <w:rPr>
                <w:rFonts w:hint="eastAsia" w:ascii="宋体" w:hAnsi="宋体" w:eastAsia="宋体" w:cs="宋体"/>
                <w:i w:val="0"/>
                <w:color w:val="000000"/>
                <w:kern w:val="0"/>
                <w:position w:val="-6"/>
                <w:sz w:val="22"/>
                <w:szCs w:val="22"/>
                <w:u w:val="none"/>
                <w:lang w:val="en-US" w:eastAsia="zh-CN" w:bidi="ar"/>
              </w:rPr>
              <w:t>49</w:t>
            </w:r>
          </w:p>
        </w:tc>
        <w:tc>
          <w:tcPr>
            <w:tcW w:w="3771"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截止阀Shut-off valve</w:t>
            </w:r>
          </w:p>
        </w:tc>
        <w:tc>
          <w:tcPr>
            <w:tcW w:w="3396"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VA500.60.2680.1-1/2".1" GW 2SA7021</w:t>
            </w:r>
          </w:p>
        </w:tc>
        <w:tc>
          <w:tcPr>
            <w:tcW w:w="1692"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台platform</w:t>
            </w:r>
          </w:p>
        </w:tc>
        <w:tc>
          <w:tcPr>
            <w:tcW w:w="1392"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2</w:t>
            </w:r>
          </w:p>
        </w:tc>
        <w:tc>
          <w:tcPr>
            <w:tcW w:w="3156" w:type="dxa"/>
            <w:tcBorders>
              <w:top w:val="single" w:color="000000" w:sz="4" w:space="0"/>
              <w:left w:val="single" w:color="000000" w:sz="4" w:space="0"/>
              <w:bottom w:val="single" w:color="000000" w:sz="4" w:space="0"/>
            </w:tcBorders>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position w:val="-6"/>
                <w:sz w:val="24"/>
                <w:szCs w:val="24"/>
                <w:u w:val="none"/>
                <w:lang w:val="en-US" w:eastAsia="zh-CN" w:bidi="ar"/>
              </w:rPr>
            </w:pPr>
            <w:r>
              <w:rPr>
                <w:rFonts w:hint="eastAsia" w:ascii="宋体" w:hAnsi="宋体" w:eastAsia="宋体" w:cs="宋体"/>
                <w:i w:val="0"/>
                <w:color w:val="000000"/>
                <w:kern w:val="0"/>
                <w:position w:val="-6"/>
                <w:sz w:val="20"/>
                <w:szCs w:val="20"/>
                <w:u w:val="none"/>
                <w:lang w:val="en-US" w:eastAsia="zh-CN" w:bidi="ar"/>
              </w:rPr>
              <w:t>sempell阀门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20" w:hRule="atLeast"/>
        </w:trPr>
        <w:tc>
          <w:tcPr>
            <w:tcW w:w="660" w:type="dxa"/>
            <w:tcBorders>
              <w:top w:val="single" w:color="000000" w:sz="4" w:space="0"/>
              <w:bottom w:val="nil"/>
              <w:right w:val="single" w:color="000000" w:sz="4" w:space="0"/>
            </w:tcBorders>
            <w:textDirection w:val="lrTb"/>
            <w:vAlign w:val="center"/>
          </w:tcPr>
          <w:p>
            <w:pPr>
              <w:keepNext w:val="0"/>
              <w:keepLines w:val="0"/>
              <w:widowControl/>
              <w:suppressLineNumbers w:val="0"/>
              <w:jc w:val="center"/>
              <w:textAlignment w:val="center"/>
              <w:rPr>
                <w:rFonts w:hint="eastAsia" w:hAnsi="宋体" w:cs="宋体"/>
                <w:color w:val="000000"/>
                <w:sz w:val="22"/>
              </w:rPr>
            </w:pPr>
            <w:r>
              <w:rPr>
                <w:rFonts w:hint="eastAsia" w:ascii="宋体" w:hAnsi="宋体" w:eastAsia="宋体" w:cs="宋体"/>
                <w:i w:val="0"/>
                <w:color w:val="000000"/>
                <w:kern w:val="0"/>
                <w:position w:val="-6"/>
                <w:sz w:val="22"/>
                <w:szCs w:val="22"/>
                <w:u w:val="none"/>
                <w:lang w:val="en-US" w:eastAsia="zh-CN" w:bidi="ar"/>
              </w:rPr>
              <w:t>50</w:t>
            </w:r>
          </w:p>
        </w:tc>
        <w:tc>
          <w:tcPr>
            <w:tcW w:w="3771"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截止阀Shut-off valve</w:t>
            </w:r>
          </w:p>
        </w:tc>
        <w:tc>
          <w:tcPr>
            <w:tcW w:w="3396"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VA500.60.2680.2".2" GW 2SA7031</w:t>
            </w:r>
          </w:p>
        </w:tc>
        <w:tc>
          <w:tcPr>
            <w:tcW w:w="1692"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台platform</w:t>
            </w:r>
          </w:p>
        </w:tc>
        <w:tc>
          <w:tcPr>
            <w:tcW w:w="1392"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2</w:t>
            </w:r>
          </w:p>
        </w:tc>
        <w:tc>
          <w:tcPr>
            <w:tcW w:w="3156" w:type="dxa"/>
            <w:tcBorders>
              <w:top w:val="single" w:color="000000" w:sz="4" w:space="0"/>
              <w:left w:val="single" w:color="000000" w:sz="4" w:space="0"/>
              <w:bottom w:val="single" w:color="000000" w:sz="4" w:space="0"/>
            </w:tcBorders>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position w:val="-6"/>
                <w:sz w:val="24"/>
                <w:szCs w:val="24"/>
                <w:u w:val="none"/>
                <w:lang w:val="en-US" w:eastAsia="zh-CN" w:bidi="ar"/>
              </w:rPr>
            </w:pPr>
            <w:r>
              <w:rPr>
                <w:rFonts w:hint="eastAsia" w:ascii="宋体" w:hAnsi="宋体" w:eastAsia="宋体" w:cs="宋体"/>
                <w:i w:val="0"/>
                <w:color w:val="000000"/>
                <w:kern w:val="0"/>
                <w:position w:val="-6"/>
                <w:sz w:val="20"/>
                <w:szCs w:val="20"/>
                <w:u w:val="none"/>
                <w:lang w:val="en-US" w:eastAsia="zh-CN" w:bidi="ar"/>
              </w:rPr>
              <w:t>sempell阀门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20" w:hRule="atLeast"/>
        </w:trPr>
        <w:tc>
          <w:tcPr>
            <w:tcW w:w="660" w:type="dxa"/>
            <w:tcBorders>
              <w:top w:val="single" w:color="000000" w:sz="4" w:space="0"/>
              <w:bottom w:val="nil"/>
              <w:right w:val="single" w:color="000000" w:sz="4" w:space="0"/>
            </w:tcBorders>
            <w:textDirection w:val="lrTb"/>
            <w:vAlign w:val="center"/>
          </w:tcPr>
          <w:p>
            <w:pPr>
              <w:keepNext w:val="0"/>
              <w:keepLines w:val="0"/>
              <w:widowControl/>
              <w:suppressLineNumbers w:val="0"/>
              <w:jc w:val="center"/>
              <w:textAlignment w:val="center"/>
              <w:rPr>
                <w:rFonts w:hint="eastAsia" w:hAnsi="宋体" w:cs="宋体"/>
                <w:color w:val="000000"/>
                <w:sz w:val="22"/>
              </w:rPr>
            </w:pPr>
            <w:r>
              <w:rPr>
                <w:rFonts w:hint="eastAsia" w:ascii="宋体" w:hAnsi="宋体" w:eastAsia="宋体" w:cs="宋体"/>
                <w:i w:val="0"/>
                <w:color w:val="000000"/>
                <w:kern w:val="0"/>
                <w:position w:val="-6"/>
                <w:sz w:val="22"/>
                <w:szCs w:val="22"/>
                <w:u w:val="none"/>
                <w:lang w:val="en-US" w:eastAsia="zh-CN" w:bidi="ar"/>
              </w:rPr>
              <w:t>51</w:t>
            </w:r>
          </w:p>
        </w:tc>
        <w:tc>
          <w:tcPr>
            <w:tcW w:w="3771"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吹灰器鹅颈阀Sootblower gooseneck valve</w:t>
            </w:r>
          </w:p>
        </w:tc>
        <w:tc>
          <w:tcPr>
            <w:tcW w:w="3396"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CHLJ000154</w:t>
            </w:r>
          </w:p>
        </w:tc>
        <w:tc>
          <w:tcPr>
            <w:tcW w:w="1692"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个piece</w:t>
            </w:r>
          </w:p>
        </w:tc>
        <w:tc>
          <w:tcPr>
            <w:tcW w:w="1392"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1</w:t>
            </w:r>
          </w:p>
        </w:tc>
        <w:tc>
          <w:tcPr>
            <w:tcW w:w="3156" w:type="dxa"/>
            <w:tcBorders>
              <w:top w:val="single" w:color="000000" w:sz="4" w:space="0"/>
              <w:left w:val="single" w:color="000000" w:sz="4" w:space="0"/>
              <w:bottom w:val="single" w:color="000000" w:sz="4" w:space="0"/>
            </w:tcBorders>
            <w:textDirection w:val="lrTb"/>
            <w:vAlign w:val="center"/>
          </w:tcPr>
          <w:p>
            <w:pPr>
              <w:jc w:val="center"/>
              <w:rPr>
                <w:rFonts w:hint="eastAsia" w:ascii="宋体" w:hAnsi="宋体" w:eastAsia="宋体" w:cs="宋体"/>
                <w:i w:val="0"/>
                <w:color w:val="000000"/>
                <w:kern w:val="0"/>
                <w:position w:val="-6"/>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20" w:hRule="atLeast"/>
        </w:trPr>
        <w:tc>
          <w:tcPr>
            <w:tcW w:w="660" w:type="dxa"/>
            <w:tcBorders>
              <w:top w:val="single" w:color="000000" w:sz="4" w:space="0"/>
              <w:bottom w:val="nil"/>
              <w:right w:val="single" w:color="000000" w:sz="4" w:space="0"/>
            </w:tcBorders>
            <w:textDirection w:val="lrTb"/>
            <w:vAlign w:val="center"/>
          </w:tcPr>
          <w:p>
            <w:pPr>
              <w:keepNext w:val="0"/>
              <w:keepLines w:val="0"/>
              <w:widowControl/>
              <w:suppressLineNumbers w:val="0"/>
              <w:jc w:val="center"/>
              <w:textAlignment w:val="center"/>
              <w:rPr>
                <w:rFonts w:hint="eastAsia" w:hAnsi="宋体" w:cs="宋体"/>
                <w:color w:val="000000"/>
                <w:sz w:val="22"/>
              </w:rPr>
            </w:pPr>
            <w:r>
              <w:rPr>
                <w:rFonts w:hint="eastAsia" w:ascii="宋体" w:hAnsi="宋体" w:eastAsia="宋体" w:cs="宋体"/>
                <w:i w:val="0"/>
                <w:color w:val="000000"/>
                <w:kern w:val="0"/>
                <w:position w:val="-6"/>
                <w:sz w:val="22"/>
                <w:szCs w:val="22"/>
                <w:u w:val="none"/>
                <w:lang w:val="en-US" w:eastAsia="zh-CN" w:bidi="ar"/>
              </w:rPr>
              <w:t>52</w:t>
            </w:r>
          </w:p>
        </w:tc>
        <w:tc>
          <w:tcPr>
            <w:tcW w:w="3771"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轴承bearing</w:t>
            </w:r>
          </w:p>
        </w:tc>
        <w:tc>
          <w:tcPr>
            <w:tcW w:w="3396"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（23236CC/W33/C3）</w:t>
            </w:r>
          </w:p>
        </w:tc>
        <w:tc>
          <w:tcPr>
            <w:tcW w:w="1692"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件piece</w:t>
            </w:r>
          </w:p>
        </w:tc>
        <w:tc>
          <w:tcPr>
            <w:tcW w:w="1392"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1</w:t>
            </w:r>
          </w:p>
        </w:tc>
        <w:tc>
          <w:tcPr>
            <w:tcW w:w="3156" w:type="dxa"/>
            <w:tcBorders>
              <w:top w:val="single" w:color="000000" w:sz="4" w:space="0"/>
              <w:left w:val="single" w:color="000000" w:sz="4" w:space="0"/>
              <w:bottom w:val="single" w:color="000000" w:sz="4" w:space="0"/>
            </w:tcBorders>
            <w:textDirection w:val="lrTb"/>
            <w:vAlign w:val="center"/>
          </w:tcPr>
          <w:p>
            <w:pPr>
              <w:jc w:val="center"/>
              <w:rPr>
                <w:rFonts w:hint="eastAsia" w:ascii="宋体" w:hAnsi="宋体" w:eastAsia="宋体" w:cs="宋体"/>
                <w:i w:val="0"/>
                <w:color w:val="000000"/>
                <w:kern w:val="0"/>
                <w:position w:val="-6"/>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20" w:hRule="atLeast"/>
        </w:trPr>
        <w:tc>
          <w:tcPr>
            <w:tcW w:w="660" w:type="dxa"/>
            <w:tcBorders>
              <w:top w:val="single" w:color="000000" w:sz="4" w:space="0"/>
              <w:bottom w:val="nil"/>
              <w:right w:val="single" w:color="000000" w:sz="4" w:space="0"/>
            </w:tcBorders>
            <w:textDirection w:val="lrTb"/>
            <w:vAlign w:val="center"/>
          </w:tcPr>
          <w:p>
            <w:pPr>
              <w:keepNext w:val="0"/>
              <w:keepLines w:val="0"/>
              <w:widowControl/>
              <w:suppressLineNumbers w:val="0"/>
              <w:jc w:val="center"/>
              <w:textAlignment w:val="center"/>
              <w:rPr>
                <w:rFonts w:hint="eastAsia" w:hAnsi="宋体" w:cs="宋体"/>
                <w:color w:val="000000"/>
                <w:sz w:val="22"/>
              </w:rPr>
            </w:pPr>
            <w:r>
              <w:rPr>
                <w:rFonts w:hint="eastAsia" w:ascii="宋体" w:hAnsi="宋体" w:eastAsia="宋体" w:cs="宋体"/>
                <w:i w:val="0"/>
                <w:color w:val="000000"/>
                <w:kern w:val="0"/>
                <w:position w:val="-6"/>
                <w:sz w:val="22"/>
                <w:szCs w:val="22"/>
                <w:u w:val="none"/>
                <w:lang w:val="en-US" w:eastAsia="zh-CN" w:bidi="ar"/>
              </w:rPr>
              <w:t>53</w:t>
            </w:r>
          </w:p>
        </w:tc>
        <w:tc>
          <w:tcPr>
            <w:tcW w:w="3771"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SKF轴承 SKF bearings</w:t>
            </w:r>
          </w:p>
        </w:tc>
        <w:tc>
          <w:tcPr>
            <w:tcW w:w="3396"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180×380×75NU336ECM</w:t>
            </w:r>
          </w:p>
        </w:tc>
        <w:tc>
          <w:tcPr>
            <w:tcW w:w="1692"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套set</w:t>
            </w:r>
          </w:p>
        </w:tc>
        <w:tc>
          <w:tcPr>
            <w:tcW w:w="1392"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1</w:t>
            </w:r>
          </w:p>
        </w:tc>
        <w:tc>
          <w:tcPr>
            <w:tcW w:w="3156" w:type="dxa"/>
            <w:tcBorders>
              <w:top w:val="single" w:color="000000" w:sz="4" w:space="0"/>
              <w:left w:val="single" w:color="000000" w:sz="4" w:space="0"/>
              <w:bottom w:val="single" w:color="000000" w:sz="4" w:space="0"/>
            </w:tcBorders>
            <w:textDirection w:val="lrTb"/>
            <w:vAlign w:val="center"/>
          </w:tcPr>
          <w:p>
            <w:pPr>
              <w:jc w:val="center"/>
              <w:rPr>
                <w:rFonts w:hint="eastAsia" w:ascii="宋体" w:hAnsi="宋体" w:eastAsia="宋体" w:cs="宋体"/>
                <w:i w:val="0"/>
                <w:color w:val="000000"/>
                <w:kern w:val="0"/>
                <w:position w:val="-6"/>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20" w:hRule="atLeast"/>
        </w:trPr>
        <w:tc>
          <w:tcPr>
            <w:tcW w:w="660" w:type="dxa"/>
            <w:tcBorders>
              <w:top w:val="single" w:color="000000" w:sz="4" w:space="0"/>
              <w:bottom w:val="nil"/>
              <w:right w:val="single" w:color="000000" w:sz="4" w:space="0"/>
            </w:tcBorders>
            <w:textDirection w:val="lrTb"/>
            <w:vAlign w:val="center"/>
          </w:tcPr>
          <w:p>
            <w:pPr>
              <w:keepNext w:val="0"/>
              <w:keepLines w:val="0"/>
              <w:widowControl/>
              <w:suppressLineNumbers w:val="0"/>
              <w:jc w:val="center"/>
              <w:textAlignment w:val="center"/>
              <w:rPr>
                <w:rFonts w:hint="eastAsia" w:hAnsi="宋体" w:cs="宋体"/>
                <w:color w:val="000000"/>
                <w:sz w:val="22"/>
              </w:rPr>
            </w:pPr>
            <w:r>
              <w:rPr>
                <w:rFonts w:hint="eastAsia" w:ascii="宋体" w:hAnsi="宋体" w:eastAsia="宋体" w:cs="宋体"/>
                <w:i w:val="0"/>
                <w:color w:val="000000"/>
                <w:kern w:val="0"/>
                <w:position w:val="-6"/>
                <w:sz w:val="22"/>
                <w:szCs w:val="22"/>
                <w:u w:val="none"/>
                <w:lang w:val="en-US" w:eastAsia="zh-CN" w:bidi="ar"/>
              </w:rPr>
              <w:t>54</w:t>
            </w:r>
          </w:p>
        </w:tc>
        <w:tc>
          <w:tcPr>
            <w:tcW w:w="3771"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SKF轴承 SKF bearings</w:t>
            </w:r>
          </w:p>
        </w:tc>
        <w:tc>
          <w:tcPr>
            <w:tcW w:w="3396"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180×300×73 29336E</w:t>
            </w:r>
          </w:p>
        </w:tc>
        <w:tc>
          <w:tcPr>
            <w:tcW w:w="1692"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套set</w:t>
            </w:r>
          </w:p>
        </w:tc>
        <w:tc>
          <w:tcPr>
            <w:tcW w:w="1392"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1</w:t>
            </w:r>
          </w:p>
        </w:tc>
        <w:tc>
          <w:tcPr>
            <w:tcW w:w="3156" w:type="dxa"/>
            <w:tcBorders>
              <w:top w:val="single" w:color="000000" w:sz="4" w:space="0"/>
              <w:left w:val="single" w:color="000000" w:sz="4" w:space="0"/>
              <w:bottom w:val="single" w:color="000000" w:sz="4" w:space="0"/>
            </w:tcBorders>
            <w:textDirection w:val="lrTb"/>
            <w:vAlign w:val="center"/>
          </w:tcPr>
          <w:p>
            <w:pPr>
              <w:jc w:val="center"/>
              <w:rPr>
                <w:rFonts w:hint="eastAsia" w:ascii="宋体" w:hAnsi="宋体" w:eastAsia="宋体" w:cs="宋体"/>
                <w:i w:val="0"/>
                <w:color w:val="000000"/>
                <w:kern w:val="0"/>
                <w:position w:val="-6"/>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20" w:hRule="atLeast"/>
        </w:trPr>
        <w:tc>
          <w:tcPr>
            <w:tcW w:w="660" w:type="dxa"/>
            <w:tcBorders>
              <w:top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eastAsia" w:hAnsi="宋体" w:cs="宋体"/>
                <w:color w:val="000000"/>
                <w:sz w:val="22"/>
              </w:rPr>
            </w:pPr>
            <w:r>
              <w:rPr>
                <w:rFonts w:hint="eastAsia" w:ascii="宋体" w:hAnsi="宋体" w:eastAsia="宋体" w:cs="宋体"/>
                <w:i w:val="0"/>
                <w:color w:val="000000"/>
                <w:kern w:val="0"/>
                <w:position w:val="-6"/>
                <w:sz w:val="22"/>
                <w:szCs w:val="22"/>
                <w:u w:val="none"/>
                <w:lang w:val="en-US" w:eastAsia="zh-CN" w:bidi="ar"/>
              </w:rPr>
              <w:t>55</w:t>
            </w:r>
          </w:p>
        </w:tc>
        <w:tc>
          <w:tcPr>
            <w:tcW w:w="3771" w:type="dxa"/>
            <w:tcBorders>
              <w:top w:val="single" w:color="000000" w:sz="4" w:space="0"/>
              <w:left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SKF轴承 SKF bearings</w:t>
            </w:r>
          </w:p>
        </w:tc>
        <w:tc>
          <w:tcPr>
            <w:tcW w:w="3396" w:type="dxa"/>
            <w:tcBorders>
              <w:top w:val="single" w:color="000000" w:sz="4" w:space="0"/>
              <w:left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180×320×52 7236BCBM</w:t>
            </w:r>
          </w:p>
        </w:tc>
        <w:tc>
          <w:tcPr>
            <w:tcW w:w="1692" w:type="dxa"/>
            <w:tcBorders>
              <w:top w:val="single" w:color="000000" w:sz="4" w:space="0"/>
              <w:left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套set</w:t>
            </w:r>
          </w:p>
        </w:tc>
        <w:tc>
          <w:tcPr>
            <w:tcW w:w="1392" w:type="dxa"/>
            <w:tcBorders>
              <w:top w:val="single" w:color="000000" w:sz="4" w:space="0"/>
              <w:left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eastAsia" w:hAnsi="宋体" w:cs="宋体"/>
                <w:color w:val="000000"/>
                <w:sz w:val="24"/>
                <w:szCs w:val="24"/>
              </w:rPr>
            </w:pPr>
            <w:r>
              <w:rPr>
                <w:rFonts w:hint="eastAsia" w:ascii="宋体" w:hAnsi="宋体" w:eastAsia="宋体" w:cs="宋体"/>
                <w:i w:val="0"/>
                <w:color w:val="000000"/>
                <w:kern w:val="0"/>
                <w:position w:val="-6"/>
                <w:sz w:val="24"/>
                <w:szCs w:val="24"/>
                <w:u w:val="none"/>
                <w:lang w:val="en-US" w:eastAsia="zh-CN" w:bidi="ar"/>
              </w:rPr>
              <w:t>1</w:t>
            </w:r>
          </w:p>
        </w:tc>
        <w:tc>
          <w:tcPr>
            <w:tcW w:w="3156" w:type="dxa"/>
            <w:tcBorders>
              <w:top w:val="single" w:color="000000" w:sz="4" w:space="0"/>
              <w:left w:val="single" w:color="000000" w:sz="4" w:space="0"/>
            </w:tcBorders>
            <w:textDirection w:val="lrTb"/>
            <w:vAlign w:val="center"/>
          </w:tcPr>
          <w:p>
            <w:pPr>
              <w:jc w:val="center"/>
              <w:rPr>
                <w:rFonts w:hint="eastAsia" w:ascii="宋体" w:hAnsi="宋体" w:eastAsia="宋体" w:cs="宋体"/>
                <w:i w:val="0"/>
                <w:color w:val="000000"/>
                <w:kern w:val="0"/>
                <w:position w:val="-6"/>
                <w:sz w:val="24"/>
                <w:szCs w:val="24"/>
                <w:u w:val="none"/>
                <w:lang w:val="en-US" w:eastAsia="zh-CN" w:bidi="ar"/>
              </w:rPr>
            </w:pPr>
          </w:p>
        </w:tc>
      </w:tr>
    </w:tbl>
    <w:p>
      <w:pPr>
        <w:pStyle w:val="6"/>
        <w:ind w:firstLine="0" w:firstLineChars="0"/>
        <w:rPr>
          <w:rFonts w:ascii="Times New Roman"/>
          <w:b/>
          <w:bCs/>
          <w:sz w:val="24"/>
          <w:szCs w:val="24"/>
        </w:rPr>
      </w:pPr>
    </w:p>
    <w:sectPr>
      <w:pgSz w:w="16838" w:h="11906" w:orient="landscape"/>
      <w:pgMar w:top="1803" w:right="1440" w:bottom="1803" w:left="1440" w:header="851" w:footer="992" w:gutter="0"/>
      <w:cols w:space="720" w:num="1"/>
      <w:docGrid w:type="lines" w:linePitch="43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楷体_GB2312">
    <w:altName w:val="楷体"/>
    <w:panose1 w:val="02010609030101010101"/>
    <w:charset w:val="86"/>
    <w:family w:val="auto"/>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center" w:y="1"/>
      <w:rPr>
        <w:rStyle w:val="20"/>
      </w:rPr>
    </w:pPr>
    <w:r>
      <w:fldChar w:fldCharType="begin"/>
    </w:r>
    <w:r>
      <w:rPr>
        <w:rStyle w:val="20"/>
      </w:rPr>
      <w:instrText xml:space="preserve">PAGE  </w:instrText>
    </w:r>
    <w:r>
      <w:fldChar w:fldCharType="separate"/>
    </w:r>
    <w:r>
      <w:rPr>
        <w:rStyle w:val="20"/>
        <w:lang w:val="zh-CN"/>
      </w:rPr>
      <w:t>20</w:t>
    </w:r>
    <w:r>
      <w:fldChar w:fldCharType="end"/>
    </w:r>
  </w:p>
  <w:p>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wordWrap w:val="0"/>
      <w:ind w:right="241"/>
      <w:jc w:val="right"/>
      <w:rPr>
        <w:rFonts w:hint="eastAsia" w:ascii="Arial" w:hAnsi="Arial" w:cs="Arial"/>
        <w:b/>
        <w:sz w:val="21"/>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444F3"/>
    <w:multiLevelType w:val="singleLevel"/>
    <w:tmpl w:val="00A444F3"/>
    <w:lvl w:ilvl="0" w:tentative="0">
      <w:start w:val="1"/>
      <w:numFmt w:val="lowerLetter"/>
      <w:lvlText w:val="(%1)"/>
      <w:lvlJc w:val="left"/>
      <w:pPr>
        <w:tabs>
          <w:tab w:val="left" w:pos="635"/>
        </w:tabs>
        <w:ind w:left="635" w:hanging="465"/>
      </w:pPr>
      <w:rPr>
        <w:rFonts w:hint="default"/>
      </w:rPr>
    </w:lvl>
  </w:abstractNum>
  <w:abstractNum w:abstractNumId="1">
    <w:nsid w:val="5D8436D8"/>
    <w:multiLevelType w:val="singleLevel"/>
    <w:tmpl w:val="5D8436D8"/>
    <w:lvl w:ilvl="0" w:tentative="0">
      <w:start w:val="2"/>
      <w:numFmt w:val="chineseCounting"/>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0"/>
  <w:drawingGridVerticalSpacing w:val="218"/>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FkOGNiNDNhNDJlNzhhYTA0YThkNjg1YzYyZDI0ZGIifQ=="/>
  </w:docVars>
  <w:rsids>
    <w:rsidRoot w:val="00172A27"/>
    <w:rsid w:val="00085B84"/>
    <w:rsid w:val="000B4D95"/>
    <w:rsid w:val="00200105"/>
    <w:rsid w:val="00200F72"/>
    <w:rsid w:val="002C757A"/>
    <w:rsid w:val="003116F0"/>
    <w:rsid w:val="00393F34"/>
    <w:rsid w:val="00403BBF"/>
    <w:rsid w:val="00536249"/>
    <w:rsid w:val="005840C5"/>
    <w:rsid w:val="006A7689"/>
    <w:rsid w:val="006F5122"/>
    <w:rsid w:val="00784FD5"/>
    <w:rsid w:val="007C7D97"/>
    <w:rsid w:val="007F49B7"/>
    <w:rsid w:val="008E6F22"/>
    <w:rsid w:val="009670FD"/>
    <w:rsid w:val="00AB3EE5"/>
    <w:rsid w:val="00B13C82"/>
    <w:rsid w:val="00D3489F"/>
    <w:rsid w:val="00DA6736"/>
    <w:rsid w:val="00E026A9"/>
    <w:rsid w:val="00E478A7"/>
    <w:rsid w:val="00E61A0D"/>
    <w:rsid w:val="00F22629"/>
    <w:rsid w:val="01791428"/>
    <w:rsid w:val="01EC6E48"/>
    <w:rsid w:val="025C5328"/>
    <w:rsid w:val="02FF1593"/>
    <w:rsid w:val="03085D5F"/>
    <w:rsid w:val="030918B2"/>
    <w:rsid w:val="0336798E"/>
    <w:rsid w:val="035C0186"/>
    <w:rsid w:val="03E3226F"/>
    <w:rsid w:val="03F85E2D"/>
    <w:rsid w:val="041A5583"/>
    <w:rsid w:val="04266092"/>
    <w:rsid w:val="04365B61"/>
    <w:rsid w:val="04452C9B"/>
    <w:rsid w:val="04650D62"/>
    <w:rsid w:val="04695151"/>
    <w:rsid w:val="04A41191"/>
    <w:rsid w:val="04C6777F"/>
    <w:rsid w:val="04CA21BE"/>
    <w:rsid w:val="053A6C85"/>
    <w:rsid w:val="054C3F99"/>
    <w:rsid w:val="059238A6"/>
    <w:rsid w:val="063C7053"/>
    <w:rsid w:val="065009C7"/>
    <w:rsid w:val="06863289"/>
    <w:rsid w:val="06925505"/>
    <w:rsid w:val="06F77D62"/>
    <w:rsid w:val="06F87785"/>
    <w:rsid w:val="074B6C90"/>
    <w:rsid w:val="07A47096"/>
    <w:rsid w:val="07FF4484"/>
    <w:rsid w:val="080021AC"/>
    <w:rsid w:val="082A0972"/>
    <w:rsid w:val="08B35C74"/>
    <w:rsid w:val="09194F71"/>
    <w:rsid w:val="092075C5"/>
    <w:rsid w:val="09304618"/>
    <w:rsid w:val="09631F63"/>
    <w:rsid w:val="09CC4599"/>
    <w:rsid w:val="0AAE502F"/>
    <w:rsid w:val="0AAF64D0"/>
    <w:rsid w:val="0AC07BC7"/>
    <w:rsid w:val="0AEB45D7"/>
    <w:rsid w:val="0AED0BAC"/>
    <w:rsid w:val="0B3244BD"/>
    <w:rsid w:val="0BCC7AAD"/>
    <w:rsid w:val="0C2A2D95"/>
    <w:rsid w:val="0CD86D0A"/>
    <w:rsid w:val="0D1D5ACE"/>
    <w:rsid w:val="0D8E1B47"/>
    <w:rsid w:val="0DB263FA"/>
    <w:rsid w:val="0DD57231"/>
    <w:rsid w:val="0E080FD1"/>
    <w:rsid w:val="0E465A0B"/>
    <w:rsid w:val="0E8E3391"/>
    <w:rsid w:val="0E992C4A"/>
    <w:rsid w:val="0EA44B8E"/>
    <w:rsid w:val="0EC706CE"/>
    <w:rsid w:val="0F0804E7"/>
    <w:rsid w:val="0F25005E"/>
    <w:rsid w:val="0F341CF7"/>
    <w:rsid w:val="0FA70FD0"/>
    <w:rsid w:val="0FD51E58"/>
    <w:rsid w:val="0FD56086"/>
    <w:rsid w:val="101C66B3"/>
    <w:rsid w:val="10757CA2"/>
    <w:rsid w:val="109525A4"/>
    <w:rsid w:val="118A7335"/>
    <w:rsid w:val="11AF59E2"/>
    <w:rsid w:val="11C85EF4"/>
    <w:rsid w:val="1237232C"/>
    <w:rsid w:val="123D1ACD"/>
    <w:rsid w:val="12634E7C"/>
    <w:rsid w:val="127D3F85"/>
    <w:rsid w:val="12D9234D"/>
    <w:rsid w:val="131751F9"/>
    <w:rsid w:val="137F15CD"/>
    <w:rsid w:val="138052E0"/>
    <w:rsid w:val="14415ACF"/>
    <w:rsid w:val="14AC683B"/>
    <w:rsid w:val="14D13334"/>
    <w:rsid w:val="15191E10"/>
    <w:rsid w:val="15555F8A"/>
    <w:rsid w:val="15E24378"/>
    <w:rsid w:val="16101076"/>
    <w:rsid w:val="167577B8"/>
    <w:rsid w:val="16F4295C"/>
    <w:rsid w:val="17084A05"/>
    <w:rsid w:val="171D7076"/>
    <w:rsid w:val="177D032E"/>
    <w:rsid w:val="1787527A"/>
    <w:rsid w:val="180D292D"/>
    <w:rsid w:val="180F0B89"/>
    <w:rsid w:val="185C3AC4"/>
    <w:rsid w:val="189828A8"/>
    <w:rsid w:val="18B96E55"/>
    <w:rsid w:val="18E9525E"/>
    <w:rsid w:val="18F71C5F"/>
    <w:rsid w:val="19071B3D"/>
    <w:rsid w:val="193719B2"/>
    <w:rsid w:val="196A78D0"/>
    <w:rsid w:val="196F43F1"/>
    <w:rsid w:val="19B0249E"/>
    <w:rsid w:val="19B87040"/>
    <w:rsid w:val="1A2237D6"/>
    <w:rsid w:val="1A4B0E90"/>
    <w:rsid w:val="1A7F30DB"/>
    <w:rsid w:val="1AC83CDD"/>
    <w:rsid w:val="1B244752"/>
    <w:rsid w:val="1B4A78F4"/>
    <w:rsid w:val="1B4B64D7"/>
    <w:rsid w:val="1BB11BA1"/>
    <w:rsid w:val="1BC30A2E"/>
    <w:rsid w:val="1BE57EF4"/>
    <w:rsid w:val="1CD65A43"/>
    <w:rsid w:val="1CE24ECF"/>
    <w:rsid w:val="1CFB4EF6"/>
    <w:rsid w:val="1D3C0986"/>
    <w:rsid w:val="1E1E3DA7"/>
    <w:rsid w:val="1E255FAC"/>
    <w:rsid w:val="1EA30801"/>
    <w:rsid w:val="1EF04F16"/>
    <w:rsid w:val="1EF32C6C"/>
    <w:rsid w:val="1F2B4A12"/>
    <w:rsid w:val="1F650237"/>
    <w:rsid w:val="1F6B2821"/>
    <w:rsid w:val="1F6B7112"/>
    <w:rsid w:val="202548A2"/>
    <w:rsid w:val="209A59B8"/>
    <w:rsid w:val="222923F3"/>
    <w:rsid w:val="224E07B7"/>
    <w:rsid w:val="22C46DB9"/>
    <w:rsid w:val="22C86EB4"/>
    <w:rsid w:val="232C5AF5"/>
    <w:rsid w:val="237058CF"/>
    <w:rsid w:val="23B86E1F"/>
    <w:rsid w:val="23DC24B8"/>
    <w:rsid w:val="23EB0E9F"/>
    <w:rsid w:val="24152EB5"/>
    <w:rsid w:val="24DD3B60"/>
    <w:rsid w:val="24FF7C03"/>
    <w:rsid w:val="25BD610A"/>
    <w:rsid w:val="25D04B47"/>
    <w:rsid w:val="25D84B16"/>
    <w:rsid w:val="268454F1"/>
    <w:rsid w:val="273C088B"/>
    <w:rsid w:val="273E3E27"/>
    <w:rsid w:val="278D6712"/>
    <w:rsid w:val="27A50E21"/>
    <w:rsid w:val="27D1764D"/>
    <w:rsid w:val="28105506"/>
    <w:rsid w:val="283A7765"/>
    <w:rsid w:val="28674AE9"/>
    <w:rsid w:val="286764A2"/>
    <w:rsid w:val="28AC1FF9"/>
    <w:rsid w:val="28D30117"/>
    <w:rsid w:val="29890414"/>
    <w:rsid w:val="29901309"/>
    <w:rsid w:val="2A1B4A63"/>
    <w:rsid w:val="2A326E54"/>
    <w:rsid w:val="2A3A5D6D"/>
    <w:rsid w:val="2A436BA6"/>
    <w:rsid w:val="2A696E20"/>
    <w:rsid w:val="2AE11B61"/>
    <w:rsid w:val="2AFC0385"/>
    <w:rsid w:val="2B264334"/>
    <w:rsid w:val="2B28013E"/>
    <w:rsid w:val="2B770297"/>
    <w:rsid w:val="2B830E00"/>
    <w:rsid w:val="2C535C51"/>
    <w:rsid w:val="2CFE2268"/>
    <w:rsid w:val="2D7A5FF8"/>
    <w:rsid w:val="2DF32E78"/>
    <w:rsid w:val="2E1C0F71"/>
    <w:rsid w:val="2E406FD4"/>
    <w:rsid w:val="2E527799"/>
    <w:rsid w:val="2E8C0A8B"/>
    <w:rsid w:val="2EB629F9"/>
    <w:rsid w:val="2EEC1AAE"/>
    <w:rsid w:val="2EF23BDB"/>
    <w:rsid w:val="2F2E549B"/>
    <w:rsid w:val="2F4A6DED"/>
    <w:rsid w:val="2F5E4550"/>
    <w:rsid w:val="2F634DBB"/>
    <w:rsid w:val="2FC736C3"/>
    <w:rsid w:val="304B29EE"/>
    <w:rsid w:val="30FE77EE"/>
    <w:rsid w:val="31380843"/>
    <w:rsid w:val="318C328D"/>
    <w:rsid w:val="32342B39"/>
    <w:rsid w:val="324E18BA"/>
    <w:rsid w:val="326162B1"/>
    <w:rsid w:val="32AA140E"/>
    <w:rsid w:val="32BB071B"/>
    <w:rsid w:val="32DD31D0"/>
    <w:rsid w:val="335B5CDB"/>
    <w:rsid w:val="33726ACA"/>
    <w:rsid w:val="337A6427"/>
    <w:rsid w:val="33911F81"/>
    <w:rsid w:val="340E0114"/>
    <w:rsid w:val="346D361D"/>
    <w:rsid w:val="350C7F07"/>
    <w:rsid w:val="355A0490"/>
    <w:rsid w:val="358316A2"/>
    <w:rsid w:val="35886790"/>
    <w:rsid w:val="35970F06"/>
    <w:rsid w:val="35BF5737"/>
    <w:rsid w:val="36107395"/>
    <w:rsid w:val="368D3C69"/>
    <w:rsid w:val="369C325D"/>
    <w:rsid w:val="36B3305D"/>
    <w:rsid w:val="3702641D"/>
    <w:rsid w:val="37194424"/>
    <w:rsid w:val="378555EE"/>
    <w:rsid w:val="37D97B74"/>
    <w:rsid w:val="381534C6"/>
    <w:rsid w:val="384632CB"/>
    <w:rsid w:val="386431C3"/>
    <w:rsid w:val="38A671DD"/>
    <w:rsid w:val="38B279DA"/>
    <w:rsid w:val="39426CB8"/>
    <w:rsid w:val="39631ED3"/>
    <w:rsid w:val="399F15BF"/>
    <w:rsid w:val="3A553A1D"/>
    <w:rsid w:val="3A6462BE"/>
    <w:rsid w:val="3B416126"/>
    <w:rsid w:val="3BFC1F16"/>
    <w:rsid w:val="3C0854E8"/>
    <w:rsid w:val="3C0B6A1B"/>
    <w:rsid w:val="3CF13202"/>
    <w:rsid w:val="3D1037EC"/>
    <w:rsid w:val="3DA4647C"/>
    <w:rsid w:val="3DF05000"/>
    <w:rsid w:val="3DF4264D"/>
    <w:rsid w:val="3E106AB7"/>
    <w:rsid w:val="3E3E12A4"/>
    <w:rsid w:val="3E762057"/>
    <w:rsid w:val="3E957E00"/>
    <w:rsid w:val="3EAB2A0E"/>
    <w:rsid w:val="3ECA5B05"/>
    <w:rsid w:val="3F577E93"/>
    <w:rsid w:val="3F6D10D0"/>
    <w:rsid w:val="3FB847CA"/>
    <w:rsid w:val="3FB97BDE"/>
    <w:rsid w:val="3FE17198"/>
    <w:rsid w:val="4019333B"/>
    <w:rsid w:val="40412F4E"/>
    <w:rsid w:val="4070686C"/>
    <w:rsid w:val="40A14070"/>
    <w:rsid w:val="40A50065"/>
    <w:rsid w:val="40A64301"/>
    <w:rsid w:val="41026FF2"/>
    <w:rsid w:val="41374C89"/>
    <w:rsid w:val="41390BE6"/>
    <w:rsid w:val="41537CF9"/>
    <w:rsid w:val="41AF7198"/>
    <w:rsid w:val="41B71B28"/>
    <w:rsid w:val="42276876"/>
    <w:rsid w:val="42293DCA"/>
    <w:rsid w:val="4248353B"/>
    <w:rsid w:val="42F3326A"/>
    <w:rsid w:val="43D61B01"/>
    <w:rsid w:val="43E75AB0"/>
    <w:rsid w:val="44040A87"/>
    <w:rsid w:val="44081823"/>
    <w:rsid w:val="44883016"/>
    <w:rsid w:val="448C07CA"/>
    <w:rsid w:val="44F95750"/>
    <w:rsid w:val="44FE0A20"/>
    <w:rsid w:val="45CC3B51"/>
    <w:rsid w:val="462A00B0"/>
    <w:rsid w:val="464A5455"/>
    <w:rsid w:val="468756CE"/>
    <w:rsid w:val="469C0AEA"/>
    <w:rsid w:val="46A30DA6"/>
    <w:rsid w:val="478F5B75"/>
    <w:rsid w:val="47AF61B3"/>
    <w:rsid w:val="480461CB"/>
    <w:rsid w:val="48276DE7"/>
    <w:rsid w:val="486C765A"/>
    <w:rsid w:val="4873371E"/>
    <w:rsid w:val="48DB4BA4"/>
    <w:rsid w:val="490B39D9"/>
    <w:rsid w:val="49702B08"/>
    <w:rsid w:val="497A4B60"/>
    <w:rsid w:val="49C478BD"/>
    <w:rsid w:val="4A037FB3"/>
    <w:rsid w:val="4A095D93"/>
    <w:rsid w:val="4A5C1585"/>
    <w:rsid w:val="4B4D1E42"/>
    <w:rsid w:val="4B603C21"/>
    <w:rsid w:val="4B6B34CA"/>
    <w:rsid w:val="4B702EE8"/>
    <w:rsid w:val="4B811C91"/>
    <w:rsid w:val="4B9E6C5F"/>
    <w:rsid w:val="4BD079DB"/>
    <w:rsid w:val="4BD35D89"/>
    <w:rsid w:val="4BE043A3"/>
    <w:rsid w:val="4C303A4D"/>
    <w:rsid w:val="4CAA60D9"/>
    <w:rsid w:val="4CAF53D1"/>
    <w:rsid w:val="4CC1435D"/>
    <w:rsid w:val="4CC47039"/>
    <w:rsid w:val="4CDE6804"/>
    <w:rsid w:val="4D3D16B5"/>
    <w:rsid w:val="4DD64453"/>
    <w:rsid w:val="4E123E0B"/>
    <w:rsid w:val="4E232D03"/>
    <w:rsid w:val="4E4E7838"/>
    <w:rsid w:val="4E7205A1"/>
    <w:rsid w:val="4E923937"/>
    <w:rsid w:val="4EC30E77"/>
    <w:rsid w:val="4EE01E5C"/>
    <w:rsid w:val="4EF04029"/>
    <w:rsid w:val="4F0E44F0"/>
    <w:rsid w:val="4F362701"/>
    <w:rsid w:val="4F4155AC"/>
    <w:rsid w:val="4F4A45BD"/>
    <w:rsid w:val="4FC36636"/>
    <w:rsid w:val="4FEB706B"/>
    <w:rsid w:val="4FF35D75"/>
    <w:rsid w:val="4FF77D95"/>
    <w:rsid w:val="500637E0"/>
    <w:rsid w:val="506E7C56"/>
    <w:rsid w:val="50763396"/>
    <w:rsid w:val="518E32D4"/>
    <w:rsid w:val="51A10FF4"/>
    <w:rsid w:val="52113BB3"/>
    <w:rsid w:val="522B204B"/>
    <w:rsid w:val="52A45AD9"/>
    <w:rsid w:val="52B86B74"/>
    <w:rsid w:val="52FF6C76"/>
    <w:rsid w:val="53927BA6"/>
    <w:rsid w:val="54156B0B"/>
    <w:rsid w:val="54243D39"/>
    <w:rsid w:val="54B34610"/>
    <w:rsid w:val="54C7144B"/>
    <w:rsid w:val="54CA2704"/>
    <w:rsid w:val="54D247B4"/>
    <w:rsid w:val="55E25AE1"/>
    <w:rsid w:val="55E855F5"/>
    <w:rsid w:val="56CA37EE"/>
    <w:rsid w:val="5736198E"/>
    <w:rsid w:val="576036D2"/>
    <w:rsid w:val="57771C22"/>
    <w:rsid w:val="584812D8"/>
    <w:rsid w:val="58673E0D"/>
    <w:rsid w:val="587E6DBB"/>
    <w:rsid w:val="58BA2300"/>
    <w:rsid w:val="58D466F9"/>
    <w:rsid w:val="58E3489B"/>
    <w:rsid w:val="59D7730C"/>
    <w:rsid w:val="59DA0963"/>
    <w:rsid w:val="5A1274C3"/>
    <w:rsid w:val="5A2F1584"/>
    <w:rsid w:val="5A341206"/>
    <w:rsid w:val="5A6E4D60"/>
    <w:rsid w:val="5A9F5FC0"/>
    <w:rsid w:val="5AD6284A"/>
    <w:rsid w:val="5AEA0909"/>
    <w:rsid w:val="5B27520F"/>
    <w:rsid w:val="5B4C202E"/>
    <w:rsid w:val="5C816604"/>
    <w:rsid w:val="5CA2358F"/>
    <w:rsid w:val="5CE62685"/>
    <w:rsid w:val="5CF53FE4"/>
    <w:rsid w:val="5D26271C"/>
    <w:rsid w:val="5D677134"/>
    <w:rsid w:val="5D9F52E2"/>
    <w:rsid w:val="5E0F337D"/>
    <w:rsid w:val="5E4B5F5D"/>
    <w:rsid w:val="5E851442"/>
    <w:rsid w:val="5E8F52CD"/>
    <w:rsid w:val="5EBF4CF2"/>
    <w:rsid w:val="5F1A7DF2"/>
    <w:rsid w:val="5F2169BB"/>
    <w:rsid w:val="5F472EE4"/>
    <w:rsid w:val="5F723500"/>
    <w:rsid w:val="600F58C5"/>
    <w:rsid w:val="601D564F"/>
    <w:rsid w:val="606A731A"/>
    <w:rsid w:val="60B30607"/>
    <w:rsid w:val="61156461"/>
    <w:rsid w:val="61814C36"/>
    <w:rsid w:val="61A17A30"/>
    <w:rsid w:val="61C97B21"/>
    <w:rsid w:val="61CF2AF4"/>
    <w:rsid w:val="61EE12E2"/>
    <w:rsid w:val="620E0006"/>
    <w:rsid w:val="62185F7D"/>
    <w:rsid w:val="624D29AC"/>
    <w:rsid w:val="628152ED"/>
    <w:rsid w:val="629969E4"/>
    <w:rsid w:val="62A4181E"/>
    <w:rsid w:val="62B14ECA"/>
    <w:rsid w:val="62D814D0"/>
    <w:rsid w:val="634770AE"/>
    <w:rsid w:val="63710A86"/>
    <w:rsid w:val="63A448E0"/>
    <w:rsid w:val="63B820CC"/>
    <w:rsid w:val="640E1D19"/>
    <w:rsid w:val="65462F10"/>
    <w:rsid w:val="656E7493"/>
    <w:rsid w:val="657222B6"/>
    <w:rsid w:val="657959FB"/>
    <w:rsid w:val="65C53226"/>
    <w:rsid w:val="65ED0F75"/>
    <w:rsid w:val="66137CD5"/>
    <w:rsid w:val="66332C3D"/>
    <w:rsid w:val="666A132D"/>
    <w:rsid w:val="671021B3"/>
    <w:rsid w:val="671C13DE"/>
    <w:rsid w:val="67A042C0"/>
    <w:rsid w:val="67C07FEA"/>
    <w:rsid w:val="67D84CA2"/>
    <w:rsid w:val="67F74A4B"/>
    <w:rsid w:val="687C620B"/>
    <w:rsid w:val="68A47AD2"/>
    <w:rsid w:val="68D12A51"/>
    <w:rsid w:val="68EF5D8C"/>
    <w:rsid w:val="696911E3"/>
    <w:rsid w:val="699E0C64"/>
    <w:rsid w:val="69AA62E8"/>
    <w:rsid w:val="6A042668"/>
    <w:rsid w:val="6A072C57"/>
    <w:rsid w:val="6A235B9C"/>
    <w:rsid w:val="6A805EC8"/>
    <w:rsid w:val="6B13665D"/>
    <w:rsid w:val="6B206F5C"/>
    <w:rsid w:val="6B3F166A"/>
    <w:rsid w:val="6B4A3B91"/>
    <w:rsid w:val="6BAD71F9"/>
    <w:rsid w:val="6BED4BCC"/>
    <w:rsid w:val="6C026DF9"/>
    <w:rsid w:val="6C4B7AE2"/>
    <w:rsid w:val="6D666BC4"/>
    <w:rsid w:val="6D756A74"/>
    <w:rsid w:val="6DB41281"/>
    <w:rsid w:val="6DB57D76"/>
    <w:rsid w:val="6DE51903"/>
    <w:rsid w:val="6E02713A"/>
    <w:rsid w:val="6F0B2EF5"/>
    <w:rsid w:val="6FD01A68"/>
    <w:rsid w:val="6FDE4A4E"/>
    <w:rsid w:val="6FE541CD"/>
    <w:rsid w:val="6FE61007"/>
    <w:rsid w:val="6FF85789"/>
    <w:rsid w:val="6FFF0F5B"/>
    <w:rsid w:val="70102050"/>
    <w:rsid w:val="705B2676"/>
    <w:rsid w:val="705F6FB0"/>
    <w:rsid w:val="70781ECE"/>
    <w:rsid w:val="70914B6C"/>
    <w:rsid w:val="70A94169"/>
    <w:rsid w:val="70DF7DD6"/>
    <w:rsid w:val="71B2384D"/>
    <w:rsid w:val="72900B8E"/>
    <w:rsid w:val="72B76871"/>
    <w:rsid w:val="72DD14B1"/>
    <w:rsid w:val="73310A01"/>
    <w:rsid w:val="738947BC"/>
    <w:rsid w:val="73D04053"/>
    <w:rsid w:val="73E44C7B"/>
    <w:rsid w:val="740B3E17"/>
    <w:rsid w:val="751759EA"/>
    <w:rsid w:val="75195E93"/>
    <w:rsid w:val="75797A94"/>
    <w:rsid w:val="76365BD4"/>
    <w:rsid w:val="76566F8A"/>
    <w:rsid w:val="765C67ED"/>
    <w:rsid w:val="76604A70"/>
    <w:rsid w:val="76613572"/>
    <w:rsid w:val="76A03CEA"/>
    <w:rsid w:val="76D6583E"/>
    <w:rsid w:val="77527379"/>
    <w:rsid w:val="77BD03FF"/>
    <w:rsid w:val="781012E7"/>
    <w:rsid w:val="781F532F"/>
    <w:rsid w:val="784B14D4"/>
    <w:rsid w:val="78544B97"/>
    <w:rsid w:val="789F4E7D"/>
    <w:rsid w:val="790E05D9"/>
    <w:rsid w:val="79950FD7"/>
    <w:rsid w:val="799821B4"/>
    <w:rsid w:val="7A277AD0"/>
    <w:rsid w:val="7A2A3382"/>
    <w:rsid w:val="7A6A633A"/>
    <w:rsid w:val="7AC27501"/>
    <w:rsid w:val="7B356A3E"/>
    <w:rsid w:val="7B546670"/>
    <w:rsid w:val="7B6A2D86"/>
    <w:rsid w:val="7B76166F"/>
    <w:rsid w:val="7BFE2F5D"/>
    <w:rsid w:val="7C276BBD"/>
    <w:rsid w:val="7C5E3187"/>
    <w:rsid w:val="7C6A3C9F"/>
    <w:rsid w:val="7C8253E9"/>
    <w:rsid w:val="7CAF5699"/>
    <w:rsid w:val="7D277B40"/>
    <w:rsid w:val="7E345F13"/>
    <w:rsid w:val="7E775DB6"/>
    <w:rsid w:val="7EC40C8A"/>
    <w:rsid w:val="7ECF02FC"/>
    <w:rsid w:val="7EF65D4E"/>
    <w:rsid w:val="7F3E73CD"/>
    <w:rsid w:val="7FA23334"/>
    <w:rsid w:val="7FBC64B7"/>
    <w:rsid w:val="7FD43C9E"/>
  </w:rsids>
  <m:mathPr>
    <m:lMargin m:val="0"/>
    <m:mathFont m:val="Cambria Math"/>
    <m:rMargin m:val="0"/>
    <m:wrapIndent m:val="1440"/>
    <m:brkBin m:val="before"/>
    <m:brkBinSub m:val="--"/>
    <m:defJc m:val="centerGroup"/>
    <m:intLim m:val="subSup"/>
    <m:naryLim m:val="undOvr"/>
    <m:smallFrac m:val="0"/>
    <m:dispDef/>
  </m:mathPr>
  <w:themeFontLang w:val="id-ID"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Times New Roman" w:eastAsia="宋体" w:cs="Times New Roman"/>
      <w:position w:val="-6"/>
      <w:sz w:val="32"/>
      <w:szCs w:val="22"/>
      <w:lang w:val="en-US" w:eastAsia="zh-CN" w:bidi="ar-SA"/>
    </w:rPr>
  </w:style>
  <w:style w:type="paragraph" w:styleId="4">
    <w:name w:val="heading 1"/>
    <w:basedOn w:val="1"/>
    <w:next w:val="1"/>
    <w:qFormat/>
    <w:uiPriority w:val="0"/>
    <w:pPr>
      <w:keepNext/>
      <w:keepLines/>
      <w:adjustRightInd w:val="0"/>
      <w:spacing w:before="340" w:after="330" w:line="578" w:lineRule="atLeast"/>
      <w:jc w:val="center"/>
      <w:textAlignment w:val="baseline"/>
      <w:outlineLvl w:val="0"/>
    </w:pPr>
    <w:rPr>
      <w:b/>
      <w:kern w:val="44"/>
      <w:sz w:val="44"/>
      <w:szCs w:val="20"/>
    </w:rPr>
  </w:style>
  <w:style w:type="paragraph" w:styleId="5">
    <w:name w:val="heading 2"/>
    <w:basedOn w:val="1"/>
    <w:next w:val="6"/>
    <w:qFormat/>
    <w:uiPriority w:val="0"/>
    <w:pPr>
      <w:keepNext/>
      <w:keepLines/>
      <w:adjustRightInd w:val="0"/>
      <w:spacing w:before="260" w:after="260" w:line="416" w:lineRule="atLeast"/>
      <w:jc w:val="center"/>
      <w:textAlignment w:val="baseline"/>
      <w:outlineLvl w:val="1"/>
    </w:pPr>
    <w:rPr>
      <w:rFonts w:ascii="Arial" w:hAnsi="Arial" w:eastAsia="黑体"/>
      <w:b/>
      <w:sz w:val="28"/>
      <w:szCs w:val="20"/>
    </w:rPr>
  </w:style>
  <w:style w:type="paragraph" w:styleId="7">
    <w:name w:val="heading 3"/>
    <w:basedOn w:val="1"/>
    <w:next w:val="1"/>
    <w:qFormat/>
    <w:uiPriority w:val="0"/>
    <w:pPr>
      <w:keepNext/>
      <w:keepLines/>
      <w:spacing w:before="260" w:after="260" w:line="416" w:lineRule="auto"/>
      <w:outlineLvl w:val="2"/>
    </w:pPr>
    <w:rPr>
      <w:b/>
      <w:bCs/>
      <w:szCs w:val="32"/>
    </w:rPr>
  </w:style>
  <w:style w:type="character" w:default="1" w:styleId="17">
    <w:name w:val="Default Paragraph Font"/>
    <w:link w:val="18"/>
    <w:qFormat/>
    <w:uiPriority w:val="0"/>
    <w:rPr>
      <w:rFonts w:ascii="宋体" w:hAnsi="宋体" w:cs="宋体"/>
    </w:rPr>
  </w:style>
  <w:style w:type="table" w:default="1" w:styleId="21">
    <w:name w:val="Normal Table"/>
    <w:semiHidden/>
    <w:qFormat/>
    <w:uiPriority w:val="0"/>
    <w:tblPr>
      <w:tblLayout w:type="fixed"/>
      <w:tblCellMar>
        <w:top w:w="0" w:type="dxa"/>
        <w:left w:w="108" w:type="dxa"/>
        <w:bottom w:w="0" w:type="dxa"/>
        <w:right w:w="108" w:type="dxa"/>
      </w:tblCellMar>
    </w:tblPr>
  </w:style>
  <w:style w:type="paragraph" w:styleId="2">
    <w:name w:val="Body Text First Indent 2"/>
    <w:basedOn w:val="3"/>
    <w:qFormat/>
    <w:uiPriority w:val="0"/>
    <w:pPr>
      <w:spacing w:after="120" w:line="240" w:lineRule="auto"/>
      <w:ind w:left="420" w:leftChars="200" w:firstLine="420" w:firstLineChars="200"/>
    </w:pPr>
  </w:style>
  <w:style w:type="paragraph" w:styleId="3">
    <w:name w:val="Body Text Indent"/>
    <w:basedOn w:val="1"/>
    <w:qFormat/>
    <w:uiPriority w:val="0"/>
    <w:pPr>
      <w:spacing w:line="360" w:lineRule="auto"/>
      <w:ind w:left="540" w:leftChars="257"/>
    </w:pPr>
    <w:rPr>
      <w:rFonts w:hAnsi="宋体"/>
    </w:rPr>
  </w:style>
  <w:style w:type="paragraph" w:styleId="6">
    <w:name w:val="Normal Indent"/>
    <w:basedOn w:val="1"/>
    <w:next w:val="1"/>
    <w:qFormat/>
    <w:uiPriority w:val="0"/>
    <w:pPr>
      <w:ind w:firstLine="420" w:firstLineChars="200"/>
    </w:pPr>
  </w:style>
  <w:style w:type="paragraph" w:styleId="8">
    <w:name w:val="Body Text"/>
    <w:basedOn w:val="1"/>
    <w:qFormat/>
    <w:uiPriority w:val="0"/>
    <w:pPr>
      <w:spacing w:after="120"/>
    </w:pPr>
  </w:style>
  <w:style w:type="paragraph" w:styleId="9">
    <w:name w:val="Date"/>
    <w:basedOn w:val="1"/>
    <w:next w:val="1"/>
    <w:qFormat/>
    <w:uiPriority w:val="0"/>
    <w:pPr>
      <w:spacing w:line="312" w:lineRule="atLeast"/>
      <w:textAlignment w:val="baseline"/>
    </w:pPr>
    <w:rPr>
      <w:rFonts w:hint="eastAsia"/>
      <w:sz w:val="24"/>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next w:val="12"/>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sz w:val="18"/>
    </w:rPr>
  </w:style>
  <w:style w:type="paragraph" w:customStyle="1" w:styleId="12">
    <w:name w:val="目录 81"/>
    <w:next w:val="1"/>
    <w:qFormat/>
    <w:uiPriority w:val="0"/>
    <w:pPr>
      <w:wordWrap w:val="0"/>
      <w:ind w:left="2550"/>
      <w:jc w:val="both"/>
    </w:pPr>
    <w:rPr>
      <w:rFonts w:ascii="Times New Roman" w:hAnsi="Times New Roman" w:eastAsia="宋体" w:cs="Times New Roman"/>
      <w:sz w:val="21"/>
      <w:szCs w:val="22"/>
      <w:lang w:val="en-US" w:eastAsia="zh-CN" w:bidi="ar-SA"/>
    </w:rPr>
  </w:style>
  <w:style w:type="paragraph" w:styleId="13">
    <w:name w:val="toc 1"/>
    <w:basedOn w:val="1"/>
    <w:next w:val="1"/>
    <w:qFormat/>
    <w:uiPriority w:val="0"/>
    <w:pPr>
      <w:tabs>
        <w:tab w:val="right" w:leader="dot" w:pos="8812"/>
      </w:tabs>
      <w:spacing w:line="360" w:lineRule="auto"/>
      <w:jc w:val="left"/>
    </w:pPr>
    <w:rPr>
      <w:bCs/>
      <w:caps/>
      <w:szCs w:val="20"/>
    </w:rPr>
  </w:style>
  <w:style w:type="paragraph" w:styleId="14">
    <w:name w:val="toc 2"/>
    <w:basedOn w:val="1"/>
    <w:next w:val="1"/>
    <w:uiPriority w:val="0"/>
    <w:pPr>
      <w:ind w:left="210"/>
      <w:jc w:val="left"/>
    </w:pPr>
    <w:rPr>
      <w:smallCaps/>
      <w:sz w:val="20"/>
      <w:szCs w:val="20"/>
    </w:rPr>
  </w:style>
  <w:style w:type="paragraph" w:styleId="15">
    <w:name w:val="Normal (Web)"/>
    <w:basedOn w:val="1"/>
    <w:qFormat/>
    <w:uiPriority w:val="0"/>
    <w:pPr>
      <w:spacing w:before="100" w:beforeAutospacing="1" w:after="100" w:afterAutospacing="1"/>
      <w:jc w:val="left"/>
    </w:pPr>
    <w:rPr>
      <w:sz w:val="24"/>
    </w:rPr>
  </w:style>
  <w:style w:type="paragraph" w:styleId="16">
    <w:name w:val="index 1"/>
    <w:basedOn w:val="1"/>
    <w:next w:val="1"/>
    <w:qFormat/>
    <w:uiPriority w:val="0"/>
    <w:pPr>
      <w:tabs>
        <w:tab w:val="left" w:pos="567"/>
      </w:tabs>
      <w:snapToGrid w:val="0"/>
      <w:spacing w:line="360" w:lineRule="auto"/>
      <w:jc w:val="center"/>
    </w:pPr>
    <w:rPr>
      <w:rFonts w:hint="eastAsia" w:hAnsi="宋体"/>
      <w:sz w:val="24"/>
    </w:rPr>
  </w:style>
  <w:style w:type="paragraph" w:customStyle="1" w:styleId="18">
    <w:name w:val=" Char Char Char Char"/>
    <w:basedOn w:val="1"/>
    <w:link w:val="17"/>
    <w:qFormat/>
    <w:uiPriority w:val="0"/>
    <w:pPr>
      <w:spacing w:line="360" w:lineRule="auto"/>
      <w:ind w:firstLine="200" w:firstLineChars="200"/>
    </w:pPr>
    <w:rPr>
      <w:rFonts w:hAnsi="宋体" w:cs="宋体"/>
    </w:rPr>
  </w:style>
  <w:style w:type="character" w:styleId="19">
    <w:name w:val="Strong"/>
    <w:basedOn w:val="17"/>
    <w:qFormat/>
    <w:uiPriority w:val="22"/>
    <w:rPr>
      <w:b/>
      <w:bCs/>
    </w:rPr>
  </w:style>
  <w:style w:type="character" w:styleId="20">
    <w:name w:val="page number"/>
    <w:basedOn w:val="17"/>
    <w:qFormat/>
    <w:uiPriority w:val="0"/>
    <w:rPr>
      <w:rFonts w:ascii="宋体" w:hAnsi="宋体" w:cs="宋体"/>
    </w:rPr>
  </w:style>
  <w:style w:type="table" w:styleId="22">
    <w:name w:val="Table Grid"/>
    <w:basedOn w:val="2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23">
    <w:name w:val="font41"/>
    <w:basedOn w:val="17"/>
    <w:qFormat/>
    <w:uiPriority w:val="0"/>
    <w:rPr>
      <w:rFonts w:hint="eastAsia" w:ascii="宋体" w:hAnsi="宋体" w:eastAsia="宋体" w:cs="宋体"/>
      <w:color w:val="000000"/>
      <w:sz w:val="22"/>
      <w:szCs w:val="22"/>
      <w:u w:val="none"/>
    </w:rPr>
  </w:style>
  <w:style w:type="character" w:customStyle="1" w:styleId="24">
    <w:name w:val="font51"/>
    <w:basedOn w:val="17"/>
    <w:qFormat/>
    <w:uiPriority w:val="0"/>
    <w:rPr>
      <w:rFonts w:hint="eastAsia" w:ascii="宋体" w:hAnsi="宋体" w:eastAsia="宋体" w:cs="宋体"/>
      <w:color w:val="000000"/>
      <w:sz w:val="22"/>
      <w:szCs w:val="22"/>
      <w:u w:val="none"/>
    </w:rPr>
  </w:style>
  <w:style w:type="character" w:customStyle="1" w:styleId="25">
    <w:name w:val="font01"/>
    <w:qFormat/>
    <w:uiPriority w:val="0"/>
    <w:rPr>
      <w:rFonts w:hint="eastAsia" w:ascii="宋体" w:hAnsi="宋体" w:eastAsia="宋体" w:cs="宋体"/>
      <w:color w:val="000000"/>
      <w:sz w:val="22"/>
      <w:szCs w:val="22"/>
      <w:u w:val="none"/>
    </w:rPr>
  </w:style>
  <w:style w:type="character" w:customStyle="1" w:styleId="26">
    <w:name w:val="wang正文 Char"/>
    <w:link w:val="27"/>
    <w:qFormat/>
    <w:uiPriority w:val="0"/>
    <w:rPr>
      <w:kern w:val="0"/>
    </w:rPr>
  </w:style>
  <w:style w:type="paragraph" w:customStyle="1" w:styleId="27">
    <w:name w:val="wang正文"/>
    <w:basedOn w:val="1"/>
    <w:link w:val="26"/>
    <w:qFormat/>
    <w:uiPriority w:val="0"/>
    <w:pPr>
      <w:tabs>
        <w:tab w:val="left" w:pos="6840"/>
      </w:tabs>
      <w:ind w:firstLine="420"/>
    </w:pPr>
  </w:style>
  <w:style w:type="character" w:customStyle="1" w:styleId="28">
    <w:name w:val="font21"/>
    <w:qFormat/>
    <w:uiPriority w:val="0"/>
    <w:rPr>
      <w:rFonts w:hint="eastAsia" w:ascii="宋体" w:hAnsi="宋体" w:eastAsia="宋体" w:cs="宋体"/>
      <w:color w:val="000000"/>
      <w:sz w:val="22"/>
      <w:szCs w:val="22"/>
      <w:u w:val="none"/>
    </w:rPr>
  </w:style>
  <w:style w:type="character" w:customStyle="1" w:styleId="29">
    <w:name w:val="font11"/>
    <w:qFormat/>
    <w:uiPriority w:val="0"/>
    <w:rPr>
      <w:rFonts w:ascii="Calibri" w:hAnsi="Calibri" w:cs="Calibri"/>
      <w:color w:val="000000"/>
      <w:sz w:val="22"/>
      <w:szCs w:val="22"/>
      <w:u w:val="none"/>
    </w:rPr>
  </w:style>
  <w:style w:type="character" w:customStyle="1" w:styleId="30">
    <w:name w:val="font31"/>
    <w:basedOn w:val="17"/>
    <w:qFormat/>
    <w:uiPriority w:val="0"/>
    <w:rPr>
      <w:rFonts w:hint="eastAsia" w:ascii="宋体" w:hAnsi="宋体" w:eastAsia="宋体" w:cs="宋体"/>
      <w:color w:val="000000"/>
      <w:sz w:val="22"/>
      <w:szCs w:val="22"/>
      <w:u w:val="none"/>
    </w:rPr>
  </w:style>
  <w:style w:type="character" w:customStyle="1" w:styleId="31">
    <w:name w:val="font81"/>
    <w:basedOn w:val="17"/>
    <w:qFormat/>
    <w:uiPriority w:val="0"/>
    <w:rPr>
      <w:rFonts w:hint="eastAsia" w:ascii="宋体" w:hAnsi="宋体" w:eastAsia="宋体" w:cs="宋体"/>
      <w:color w:val="000000"/>
      <w:sz w:val="22"/>
      <w:szCs w:val="22"/>
      <w:u w:val="none"/>
    </w:rPr>
  </w:style>
  <w:style w:type="character" w:customStyle="1" w:styleId="32">
    <w:name w:val="font71"/>
    <w:basedOn w:val="17"/>
    <w:qFormat/>
    <w:uiPriority w:val="0"/>
    <w:rPr>
      <w:rFonts w:ascii="宋体" w:hAnsi="宋体" w:eastAsia="宋体" w:cs="宋体"/>
      <w:color w:val="000000"/>
      <w:sz w:val="22"/>
      <w:szCs w:val="22"/>
      <w:u w:val="none"/>
    </w:rPr>
  </w:style>
  <w:style w:type="paragraph" w:customStyle="1" w:styleId="33">
    <w:name w:val="样式2"/>
    <w:basedOn w:val="1"/>
    <w:qFormat/>
    <w:uiPriority w:val="0"/>
    <w:pPr>
      <w:jc w:val="center"/>
    </w:pPr>
    <w:rPr>
      <w:rFonts w:hAnsi="宋体"/>
    </w:rPr>
  </w:style>
  <w:style w:type="paragraph" w:customStyle="1" w:styleId="34">
    <w:name w:val="CENTER 1"/>
    <w:basedOn w:val="1"/>
    <w:qFormat/>
    <w:uiPriority w:val="0"/>
    <w:pPr>
      <w:keepNext/>
      <w:widowControl/>
      <w:overflowPunct w:val="0"/>
      <w:autoSpaceDE w:val="0"/>
      <w:autoSpaceDN w:val="0"/>
      <w:spacing w:after="240"/>
      <w:jc w:val="center"/>
    </w:pPr>
    <w:rPr>
      <w:caps/>
    </w:rPr>
  </w:style>
  <w:style w:type="paragraph" w:customStyle="1" w:styleId="35">
    <w:name w:val="Revision"/>
    <w:unhideWhenUsed/>
    <w:qFormat/>
    <w:uiPriority w:val="99"/>
    <w:rPr>
      <w:rFonts w:ascii="宋体" w:hAnsi="Times New Roman" w:eastAsia="宋体" w:cs="Times New Roman"/>
      <w:position w:val="-6"/>
      <w:sz w:val="32"/>
      <w:szCs w:val="22"/>
      <w:lang w:val="en-US" w:eastAsia="zh-CN" w:bidi="ar-SA"/>
    </w:rPr>
  </w:style>
  <w:style w:type="paragraph" w:customStyle="1" w:styleId="36">
    <w:name w:val="标题2"/>
    <w:basedOn w:val="5"/>
    <w:qFormat/>
    <w:uiPriority w:val="0"/>
    <w:pPr>
      <w:keepLines w:val="0"/>
      <w:numPr>
        <w:ilvl w:val="1"/>
        <w:numId w:val="1"/>
      </w:numPr>
      <w:tabs>
        <w:tab w:val="left" w:pos="425"/>
        <w:tab w:val="left" w:pos="635"/>
      </w:tabs>
      <w:spacing w:before="0" w:after="0" w:line="360" w:lineRule="auto"/>
      <w:jc w:val="both"/>
    </w:pPr>
    <w:rPr>
      <w:rFonts w:ascii="Times New Roman" w:hAnsi="Times New Roman" w:eastAsia="宋体"/>
      <w:b w:val="0"/>
      <w:sz w:val="24"/>
    </w:rPr>
  </w:style>
  <w:style w:type="paragraph" w:customStyle="1" w:styleId="37">
    <w:name w:val="Table Paragraph"/>
    <w:basedOn w:val="1"/>
    <w:unhideWhenUsed/>
    <w:qFormat/>
    <w:uiPriority w:val="1"/>
    <w:rPr>
      <w:sz w:val="24"/>
    </w:rPr>
  </w:style>
  <w:style w:type="paragraph" w:customStyle="1" w:styleId="38">
    <w:name w:val="Char"/>
    <w:basedOn w:val="1"/>
    <w:qFormat/>
    <w:uiPriority w:val="0"/>
  </w:style>
  <w:style w:type="paragraph" w:customStyle="1" w:styleId="39">
    <w:name w:val="标题 11"/>
    <w:basedOn w:val="1"/>
    <w:next w:val="1"/>
    <w:qFormat/>
    <w:uiPriority w:val="0"/>
    <w:pPr>
      <w:keepNext/>
      <w:keepLines/>
      <w:tabs>
        <w:tab w:val="left" w:pos="480"/>
        <w:tab w:val="left" w:pos="850"/>
      </w:tabs>
      <w:autoSpaceDE w:val="0"/>
      <w:autoSpaceDN w:val="0"/>
      <w:spacing w:before="240" w:after="240" w:line="240" w:lineRule="atLeast"/>
      <w:ind w:left="850" w:hanging="425"/>
      <w:jc w:val="left"/>
      <w:textAlignment w:val="baseline"/>
      <w:outlineLvl w:val="0"/>
    </w:pPr>
    <w:rPr>
      <w:rFonts w:ascii="Arial" w:hAnsi="Arial"/>
      <w:b/>
      <w:kern w:val="44"/>
      <w:sz w:val="28"/>
    </w:rPr>
  </w:style>
  <w:style w:type="paragraph" w:customStyle="1" w:styleId="40">
    <w:name w:val="列出段落1"/>
    <w:basedOn w:val="1"/>
    <w:qFormat/>
    <w:uiPriority w:val="34"/>
    <w:pPr>
      <w:ind w:firstLine="420" w:firstLineChars="200"/>
    </w:pPr>
    <w:rPr>
      <w:rFonts w:ascii="Calibri" w:hAnsi="Calibri" w:cs="黑体"/>
    </w:rPr>
  </w:style>
  <w:style w:type="paragraph" w:customStyle="1" w:styleId="41">
    <w:name w:val="正文1"/>
    <w:basedOn w:val="1"/>
    <w:qFormat/>
    <w:uiPriority w:val="0"/>
    <w:pPr>
      <w:spacing w:line="50" w:lineRule="atLeast"/>
      <w:jc w:val="left"/>
      <w:textAlignment w:val="baseline"/>
    </w:pPr>
    <w:rPr>
      <w:rFonts w:hint="eastAsia"/>
      <w:sz w:val="24"/>
    </w:rPr>
  </w:style>
  <w:style w:type="paragraph" w:customStyle="1" w:styleId="42">
    <w:name w:val="样式1"/>
    <w:basedOn w:val="1"/>
    <w:qFormat/>
    <w:uiPriority w:val="0"/>
    <w:pPr>
      <w:adjustRightInd w:val="0"/>
      <w:spacing w:line="420" w:lineRule="auto"/>
      <w:jc w:val="center"/>
      <w:textAlignment w:val="baseline"/>
    </w:pPr>
    <w:rPr>
      <w:sz w:val="24"/>
      <w:szCs w:val="20"/>
    </w:rPr>
  </w:style>
  <w:style w:type="paragraph" w:customStyle="1" w:styleId="43">
    <w:name w:val="Normal1"/>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szCs w:val="22"/>
      <w:lang w:val="en-US" w:eastAsia="zh-CN" w:bidi="ar-SA"/>
    </w:rPr>
  </w:style>
  <w:style w:type="paragraph" w:customStyle="1" w:styleId="44">
    <w:name w:val="样式3"/>
    <w:basedOn w:val="1"/>
    <w:qFormat/>
    <w:uiPriority w:val="0"/>
    <w:pPr>
      <w:jc w:val="left"/>
    </w:pPr>
    <w:rPr>
      <w:rFonts w:hAnsi="宋体"/>
    </w:rPr>
  </w:style>
  <w:style w:type="paragraph" w:customStyle="1" w:styleId="45">
    <w:name w:val="List Paragraph1"/>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6.jpeg"/><Relationship Id="rId14" Type="http://schemas.openxmlformats.org/officeDocument/2006/relationships/image" Target="media/image5.jpeg"/><Relationship Id="rId13" Type="http://schemas.openxmlformats.org/officeDocument/2006/relationships/image" Target="media/image4.jpeg"/><Relationship Id="rId12" Type="http://schemas.openxmlformats.org/officeDocument/2006/relationships/image" Target="media/image3.jpeg"/><Relationship Id="rId11" Type="http://schemas.openxmlformats.org/officeDocument/2006/relationships/image" Target="media/image2.jpe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1716</Words>
  <Characters>5703</Characters>
  <Lines>47</Lines>
  <Paragraphs>13</Paragraphs>
  <ScaleCrop>false</ScaleCrop>
  <LinksUpToDate>false</LinksUpToDate>
  <CharactersWithSpaces>6213</CharactersWithSpaces>
  <Application>WPS Office_10.8.0.5800_F1E327BC-269C-435d-A152-05C5408002CA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2025-08-04T07:29:00Z</dcterms:created>
  <dc:creator>yzj</dc:creator>
  <cp:lastModifiedBy>yzj</cp:lastModifiedBy>
  <cp:lastPrinted>2024-05-20T07:37:00Z</cp:lastPrinted>
  <dcterms:modified xsi:type="dcterms:W3CDTF">2025-08-14T03:19:58Z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2052-10.8.0.5800</vt:lpwstr>
  </property>
  <property fmtid="{D5CDD505-2E9C-101B-9397-08002B2CF9AE}" pid="3" name="ICV">
    <vt:lpwstr>C6A79D2DE7974F24AEC608E9D0163343</vt:lpwstr>
  </property>
  <property fmtid="{D5CDD505-2E9C-101B-9397-08002B2CF9AE}" pid="4" name="KSOTemplateDocerSaveRecord">
    <vt:lpwstr>eyJoZGlkIjoiODkzZTgwNzQ0NzRhMTk1OTg1N2NjZjlmYzdmNTQyYzgiLCJ1c2VySWQiOiI3MDk0NTE2MjAifQ==</vt:lpwstr>
  </property>
</Properties>
</file>