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lang w:val="en-US" w:eastAsia="zh-CN"/>
        </w:rPr>
        <w:t>2026年#2机组季节性检修机炉专业备品备件询比文件</w:t>
      </w:r>
    </w:p>
    <w:p>
      <w:pPr>
        <w:adjustRightInd w:val="0"/>
        <w:snapToGrid w:val="0"/>
        <w:spacing w:after="0" w:line="240" w:lineRule="auto"/>
        <w:jc w:val="center"/>
        <w:rPr>
          <w:rFonts w:hint="eastAsia" w:ascii="仿宋" w:hAnsi="仿宋" w:eastAsia="仿宋" w:cs="仿宋"/>
          <w:b/>
          <w:bCs/>
          <w:sz w:val="36"/>
          <w:szCs w:val="36"/>
          <w:highlight w:val="yellow"/>
        </w:rPr>
      </w:pPr>
      <w:r>
        <w:rPr>
          <w:rFonts w:hint="eastAsia" w:ascii="仿宋" w:hAnsi="仿宋" w:eastAsia="仿宋" w:cs="仿宋"/>
          <w:b/>
          <w:bCs/>
          <w:sz w:val="24"/>
          <w:szCs w:val="24"/>
        </w:rPr>
        <w:t>Dokumen Permintaan Penawaran dan Perbandingan (Inquiry &amp; Comparison) Suku Cadang dan Spare Part Bidang Mesin &amp; Boiler untuk Pemeliharaan Musiman Unit #2 Tahun 2026</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一、基本情况</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 Informasi Dasar</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highlight w:val="none"/>
                <w:lang w:val="en-US" w:eastAsia="zh-CN" w:bidi="ar"/>
              </w:rPr>
            </w:pPr>
            <w:r>
              <w:rPr>
                <w:rStyle w:val="7"/>
                <w:rFonts w:hint="default" w:ascii="仿宋" w:hAnsi="仿宋" w:eastAsia="仿宋" w:cs="仿宋"/>
                <w:b w:val="0"/>
                <w:bCs/>
                <w:sz w:val="21"/>
                <w:szCs w:val="21"/>
                <w:highlight w:val="none"/>
                <w:lang w:bidi="ar"/>
              </w:rPr>
              <w:t xml:space="preserve">1. </w:t>
            </w:r>
            <w:r>
              <w:rPr>
                <w:rStyle w:val="7"/>
                <w:rFonts w:ascii="仿宋" w:hAnsi="仿宋" w:eastAsia="仿宋" w:cs="仿宋"/>
                <w:b w:val="0"/>
                <w:sz w:val="21"/>
                <w:szCs w:val="21"/>
                <w:highlight w:val="none"/>
              </w:rPr>
              <w:t>采购人：</w:t>
            </w:r>
            <w:r>
              <w:rPr>
                <w:rStyle w:val="7"/>
                <w:rFonts w:hint="eastAsia" w:ascii="仿宋" w:hAnsi="仿宋" w:eastAsia="仿宋" w:cs="仿宋"/>
                <w:b w:val="0"/>
                <w:sz w:val="21"/>
                <w:szCs w:val="21"/>
                <w:highlight w:val="none"/>
                <w:lang w:val="en-US" w:eastAsia="zh-CN"/>
              </w:rPr>
              <w:t>印尼华瑞电力有限公司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highlight w:val="none"/>
              </w:rPr>
              <w:t>1.</w:t>
            </w:r>
            <w:r>
              <w:rPr>
                <w:highlight w:val="none"/>
              </w:rPr>
              <w:t xml:space="preserve"> </w:t>
            </w:r>
            <w:r>
              <w:rPr>
                <w:rStyle w:val="7"/>
                <w:rFonts w:hint="default" w:ascii="仿宋" w:hAnsi="仿宋" w:eastAsia="仿宋" w:cs="仿宋"/>
                <w:b w:val="0"/>
                <w:sz w:val="21"/>
                <w:szCs w:val="21"/>
                <w:highlight w:val="none"/>
              </w:rPr>
              <w:t xml:space="preserve">Pembeli: </w:t>
            </w:r>
            <w:r>
              <w:rPr>
                <w:b/>
                <w:sz w:val="24"/>
                <w:szCs w:val="24"/>
                <w:highlight w:val="none"/>
              </w:rPr>
              <w:t xml:space="preserve"> </w:t>
            </w:r>
            <w:r>
              <w:rPr>
                <w:rStyle w:val="7"/>
                <w:rFonts w:hint="eastAsia" w:ascii="仿宋" w:hAnsi="仿宋" w:eastAsia="仿宋" w:cs="仿宋"/>
                <w:b w:val="0"/>
                <w:sz w:val="21"/>
                <w:szCs w:val="21"/>
                <w:highlight w:val="none"/>
              </w:rPr>
              <w:t>PT PEMBANGKITAN LISTRIK PINTAR ENERGI</w:t>
            </w:r>
          </w:p>
          <w:p>
            <w:pPr>
              <w:widowControl/>
              <w:adjustRightInd w:val="0"/>
              <w:snapToGrid w:val="0"/>
              <w:spacing w:line="320" w:lineRule="exact"/>
              <w:ind w:left="284" w:hanging="284"/>
              <w:textAlignment w:val="center"/>
              <w:rPr>
                <w:rStyle w:val="7"/>
                <w:rFonts w:hint="eastAsia" w:ascii="仿宋" w:hAnsi="仿宋" w:eastAsia="仿宋" w:cs="仿宋"/>
                <w:b w:val="0"/>
                <w:sz w:val="21"/>
                <w:szCs w:val="21"/>
                <w:lang w:val="en-US" w:eastAsia="zh-CN"/>
              </w:rPr>
            </w:pPr>
            <w:r>
              <w:rPr>
                <w:rStyle w:val="7"/>
                <w:rFonts w:hint="default" w:ascii="仿宋" w:hAnsi="仿宋" w:eastAsia="仿宋" w:cs="仿宋"/>
                <w:b w:val="0"/>
                <w:sz w:val="21"/>
                <w:szCs w:val="21"/>
              </w:rPr>
              <w:t>2. 联系人：技术</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highlight w:val="none"/>
                <w:lang w:val="en-US" w:eastAsia="zh-CN"/>
              </w:rPr>
              <w:t>贾光华</w:t>
            </w:r>
            <w:r>
              <w:rPr>
                <w:rStyle w:val="7"/>
                <w:rFonts w:hint="default" w:ascii="仿宋" w:hAnsi="仿宋" w:eastAsia="仿宋" w:cs="仿宋"/>
                <w:b w:val="0"/>
                <w:sz w:val="21"/>
                <w:szCs w:val="21"/>
              </w:rPr>
              <w:t>，商务</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lang w:val="en-US" w:eastAsia="zh-CN"/>
              </w:rPr>
              <w:t>于再军</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2.</w:t>
            </w:r>
            <w:r>
              <w:t xml:space="preserve"> </w:t>
            </w:r>
            <w:r>
              <w:rPr>
                <w:rStyle w:val="7"/>
                <w:rFonts w:hint="default" w:ascii="仿宋" w:hAnsi="仿宋" w:eastAsia="仿宋" w:cs="仿宋"/>
                <w:b w:val="0"/>
                <w:sz w:val="21"/>
                <w:szCs w:val="21"/>
              </w:rPr>
              <w:t>Kontak: Teknis</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highlight w:val="none"/>
                <w:lang w:val="en-US" w:eastAsia="zh-CN"/>
              </w:rPr>
              <w:t>Jia GuangHua</w:t>
            </w:r>
            <w:r>
              <w:rPr>
                <w:rStyle w:val="7"/>
                <w:rFonts w:hint="default" w:ascii="仿宋" w:hAnsi="仿宋" w:eastAsia="仿宋" w:cs="仿宋"/>
                <w:b w:val="0"/>
                <w:sz w:val="21"/>
                <w:szCs w:val="21"/>
              </w:rPr>
              <w:t xml:space="preserve"> Komersial</w:t>
            </w:r>
            <w:r>
              <w:rPr>
                <w:rStyle w:val="7"/>
                <w:rFonts w:hint="eastAsia" w:ascii="仿宋" w:hAnsi="仿宋" w:eastAsia="仿宋" w:cs="仿宋"/>
                <w:b w:val="0"/>
                <w:sz w:val="21"/>
                <w:szCs w:val="21"/>
                <w:lang w:val="en-US" w:eastAsia="zh-CN"/>
              </w:rPr>
              <w:t>:Yu ZaiJun</w:t>
            </w:r>
            <w:r>
              <w:rPr>
                <w:rStyle w:val="7"/>
                <w:rFonts w:hint="default" w:ascii="仿宋" w:hAnsi="仿宋" w:eastAsia="仿宋" w:cs="仿宋"/>
                <w:b w:val="0"/>
                <w:sz w:val="21"/>
                <w:szCs w:val="21"/>
              </w:rPr>
              <w:t xml:space="preserve"> </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 报价专用邮箱：</w:t>
            </w:r>
            <w:r>
              <w:rPr>
                <w:rStyle w:val="7"/>
                <w:rFonts w:hint="default" w:ascii="仿宋" w:hAnsi="仿宋" w:eastAsia="仿宋" w:cs="仿宋"/>
                <w:b w:val="0"/>
                <w:color w:val="0000FF"/>
                <w:sz w:val="21"/>
                <w:szCs w:val="21"/>
                <w:u w:val="single"/>
              </w:rPr>
              <w:t>731465071@qq.com</w:t>
            </w:r>
            <w:r>
              <w:rPr>
                <w:rStyle w:val="7"/>
                <w:rFonts w:ascii="仿宋" w:hAnsi="仿宋" w:eastAsia="仿宋" w:cs="仿宋"/>
                <w:b w:val="0"/>
                <w:sz w:val="21"/>
                <w:szCs w:val="21"/>
              </w:rPr>
              <w:t>。最终报价文件只能发送该邮箱，否则不予认可，且邮件标题名称必须为“玻雅项目</w:t>
            </w:r>
            <w:r>
              <w:rPr>
                <w:rStyle w:val="7"/>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w:t>
            </w:r>
            <w:r>
              <w:t xml:space="preserve"> </w:t>
            </w:r>
            <w:r>
              <w:rPr>
                <w:rStyle w:val="7"/>
                <w:rFonts w:hint="default" w:ascii="仿宋" w:hAnsi="仿宋" w:eastAsia="仿宋" w:cs="仿宋"/>
                <w:b w:val="0"/>
                <w:sz w:val="21"/>
                <w:szCs w:val="21"/>
              </w:rPr>
              <w:t xml:space="preserve">Alamat Email Penawaran Khusus: </w:t>
            </w:r>
            <w:r>
              <w:rPr>
                <w:rStyle w:val="7"/>
                <w:rFonts w:hint="default" w:ascii="仿宋" w:hAnsi="仿宋" w:eastAsia="仿宋" w:cs="仿宋"/>
                <w:b w:val="0"/>
                <w:color w:val="0000FF"/>
                <w:sz w:val="21"/>
                <w:szCs w:val="21"/>
                <w:u w:val="single"/>
              </w:rPr>
              <w:t>731465071@qq.com</w:t>
            </w:r>
            <w:r>
              <w:rPr>
                <w:rStyle w:val="7"/>
                <w:rFonts w:hint="default" w:ascii="仿宋" w:hAnsi="仿宋" w:eastAsia="仿宋" w:cs="仿宋"/>
                <w:b w:val="0"/>
                <w:sz w:val="21"/>
                <w:szCs w:val="21"/>
              </w:rPr>
              <w:t>.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283" w:leftChars="100" w:hanging="73" w:hangingChars="35"/>
              <w:jc w:val="left"/>
              <w:textAlignment w:val="center"/>
              <w:rPr>
                <w:rStyle w:val="7"/>
                <w:rFonts w:hint="default" w:ascii="仿宋" w:hAnsi="仿宋" w:eastAsia="仿宋" w:cs="仿宋"/>
                <w:b w:val="0"/>
                <w:sz w:val="21"/>
                <w:szCs w:val="21"/>
              </w:rPr>
            </w:pPr>
            <w:r>
              <w:rPr>
                <w:rStyle w:val="7"/>
                <w:rFonts w:ascii="仿宋" w:hAnsi="仿宋" w:eastAsia="仿宋" w:cs="仿宋"/>
                <w:b w:val="0"/>
                <w:sz w:val="21"/>
                <w:szCs w:val="21"/>
              </w:rPr>
              <w:t>澄清专用邮箱：</w:t>
            </w:r>
            <w:r>
              <w:rPr>
                <w:rStyle w:val="7"/>
                <w:rFonts w:hint="default" w:ascii="仿宋" w:hAnsi="仿宋" w:eastAsia="仿宋" w:cs="仿宋"/>
                <w:b w:val="0"/>
                <w:color w:val="0000FF"/>
                <w:sz w:val="21"/>
                <w:szCs w:val="21"/>
                <w:u w:val="single"/>
              </w:rPr>
              <w:t>731465071@qq.com</w:t>
            </w:r>
            <w:r>
              <w:rPr>
                <w:rStyle w:val="7"/>
                <w:rFonts w:hint="default" w:ascii="仿宋" w:hAnsi="仿宋" w:eastAsia="仿宋" w:cs="仿宋"/>
                <w:b w:val="0"/>
                <w:sz w:val="21"/>
                <w:szCs w:val="21"/>
              </w:rPr>
              <w:t>。采购过程中若有疑问可发送至该邮箱，否则不予回复，且邮件标题名称必须为“玻雅项目XXX采购标段投标疑问（**公司）”。</w:t>
            </w:r>
          </w:p>
          <w:p>
            <w:pPr>
              <w:widowControl/>
              <w:adjustRightInd w:val="0"/>
              <w:snapToGrid w:val="0"/>
              <w:spacing w:line="320" w:lineRule="exact"/>
              <w:ind w:left="283" w:leftChars="100" w:hanging="73" w:hangingChars="35"/>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rPr>
              <w:t xml:space="preserve">Email Klarifikasi: </w:t>
            </w:r>
            <w:r>
              <w:rPr>
                <w:rStyle w:val="7"/>
                <w:rFonts w:hint="default" w:ascii="仿宋" w:hAnsi="仿宋" w:eastAsia="仿宋" w:cs="仿宋"/>
                <w:b w:val="0"/>
                <w:color w:val="0000FF"/>
                <w:sz w:val="21"/>
                <w:szCs w:val="21"/>
                <w:u w:val="single"/>
              </w:rPr>
              <w:t>731465071@qq.com</w:t>
            </w:r>
            <w:r>
              <w:rPr>
                <w:rStyle w:val="7"/>
                <w:rFonts w:hint="default" w:ascii="仿宋" w:hAnsi="仿宋" w:eastAsia="仿宋" w:cs="仿宋"/>
                <w:b w:val="0"/>
                <w:sz w:val="21"/>
                <w:szCs w:val="21"/>
              </w:rPr>
              <w:t>. Pertanyaan selama proses pengadaan dapat dikirimkan ke alamat ini; tanggapan tidak akan diberikan jika dikirim ke alamat lain. Subjek email harus berjudul “Pertanyaan Penawaran Paket Pengadaan Proyek Boja XXX (Nama Perusahaan)”.</w:t>
            </w:r>
          </w:p>
          <w:p>
            <w:pPr>
              <w:widowControl/>
              <w:numPr>
                <w:ilvl w:val="-1"/>
                <w:numId w:val="0"/>
              </w:numPr>
              <w:adjustRightInd w:val="0"/>
              <w:snapToGrid w:val="0"/>
              <w:spacing w:line="320" w:lineRule="exact"/>
              <w:ind w:left="0" w:leftChars="0" w:firstLine="0" w:firstLineChars="0"/>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sz w:val="21"/>
                <w:szCs w:val="21"/>
                <w:lang w:val="en-US" w:eastAsia="zh-CN"/>
              </w:rPr>
              <w:t>4.</w:t>
            </w:r>
            <w:r>
              <w:rPr>
                <w:rStyle w:val="7"/>
                <w:rFonts w:ascii="仿宋" w:hAnsi="仿宋" w:eastAsia="仿宋" w:cs="仿宋"/>
                <w:b w:val="0"/>
                <w:sz w:val="21"/>
                <w:szCs w:val="21"/>
              </w:rPr>
              <w:t>采购内容：详见报价表。</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4.</w:t>
            </w:r>
            <w:r>
              <w:t xml:space="preserve"> </w:t>
            </w:r>
            <w:r>
              <w:rPr>
                <w:rStyle w:val="7"/>
                <w:rFonts w:hint="default" w:ascii="仿宋" w:hAnsi="仿宋" w:eastAsia="仿宋" w:cs="仿宋"/>
                <w:b w:val="0"/>
                <w:sz w:val="21"/>
                <w:szCs w:val="21"/>
              </w:rPr>
              <w:t>Ruang Lingkup Pengadaan: Seperti tercantum dalam jadwal penawaran.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sz w:val="21"/>
                <w:szCs w:val="21"/>
                <w:lang w:val="en-US" w:eastAsia="zh-CN"/>
              </w:rPr>
              <w:t>5.</w:t>
            </w:r>
            <w:r>
              <w:rPr>
                <w:rStyle w:val="7"/>
                <w:rFonts w:ascii="仿宋" w:hAnsi="仿宋" w:eastAsia="仿宋" w:cs="仿宋"/>
                <w:b w:val="0"/>
                <w:sz w:val="21"/>
                <w:szCs w:val="21"/>
              </w:rPr>
              <w:t>采购方式：公开询比。</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5. Metode Pengadaan: Tender Terbuka dan Perbandingan.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sz w:val="21"/>
                <w:szCs w:val="21"/>
                <w:lang w:val="en-US" w:eastAsia="zh-CN"/>
              </w:rPr>
              <w:t>6.</w:t>
            </w:r>
            <w:r>
              <w:rPr>
                <w:rStyle w:val="7"/>
                <w:rFonts w:ascii="仿宋" w:hAnsi="仿宋" w:eastAsia="仿宋" w:cs="仿宋"/>
                <w:b w:val="0"/>
                <w:sz w:val="21"/>
                <w:szCs w:val="21"/>
              </w:rPr>
              <w:t>评审方法：经评审的最低价法，按照满足采购需求且报价最低原则按顺序推荐候选成交供应商。</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highlight w:val="none"/>
              </w:rPr>
            </w:pPr>
            <w:r>
              <w:rPr>
                <w:rStyle w:val="7"/>
                <w:rFonts w:hint="eastAsia" w:ascii="仿宋" w:hAnsi="仿宋" w:eastAsia="仿宋" w:cs="仿宋"/>
                <w:b w:val="0"/>
                <w:bCs/>
                <w:sz w:val="21"/>
                <w:szCs w:val="21"/>
                <w:highlight w:val="none"/>
                <w:lang w:val="en-US" w:eastAsia="zh-CN"/>
              </w:rPr>
              <w:t>7.</w:t>
            </w:r>
            <w:r>
              <w:rPr>
                <w:rStyle w:val="7"/>
                <w:rFonts w:ascii="仿宋" w:hAnsi="仿宋" w:eastAsia="仿宋" w:cs="仿宋"/>
                <w:b w:val="0"/>
                <w:bCs/>
                <w:sz w:val="21"/>
                <w:szCs w:val="21"/>
                <w:highlight w:val="none"/>
              </w:rPr>
              <w:t>报价截止时间：</w:t>
            </w:r>
            <w:bookmarkStart w:id="0" w:name="OLE_LINK1"/>
            <w:r>
              <w:rPr>
                <w:rStyle w:val="7"/>
                <w:rFonts w:hint="eastAsia" w:ascii="仿宋" w:hAnsi="仿宋" w:eastAsia="仿宋" w:cs="仿宋"/>
                <w:b w:val="0"/>
                <w:bCs/>
                <w:sz w:val="21"/>
                <w:szCs w:val="21"/>
                <w:highlight w:val="none"/>
                <w:lang w:val="en-US" w:eastAsia="zh-CN"/>
              </w:rPr>
              <w:t>2026</w:t>
            </w:r>
            <w:r>
              <w:rPr>
                <w:rStyle w:val="7"/>
                <w:rFonts w:hint="default" w:ascii="仿宋" w:hAnsi="仿宋" w:eastAsia="仿宋" w:cs="仿宋"/>
                <w:b w:val="0"/>
                <w:bCs/>
                <w:sz w:val="21"/>
                <w:szCs w:val="21"/>
                <w:highlight w:val="none"/>
              </w:rPr>
              <w:t>年</w:t>
            </w:r>
            <w:r>
              <w:rPr>
                <w:rStyle w:val="7"/>
                <w:rFonts w:hint="eastAsia" w:ascii="仿宋" w:hAnsi="仿宋" w:eastAsia="仿宋" w:cs="仿宋"/>
                <w:b w:val="0"/>
                <w:bCs/>
                <w:sz w:val="21"/>
                <w:szCs w:val="21"/>
                <w:highlight w:val="none"/>
                <w:lang w:val="en-US" w:eastAsia="zh-CN"/>
              </w:rPr>
              <w:t>3</w:t>
            </w:r>
            <w:r>
              <w:rPr>
                <w:rStyle w:val="7"/>
                <w:rFonts w:hint="default" w:ascii="仿宋" w:hAnsi="仿宋" w:eastAsia="仿宋" w:cs="仿宋"/>
                <w:b w:val="0"/>
                <w:bCs/>
                <w:sz w:val="21"/>
                <w:szCs w:val="21"/>
                <w:highlight w:val="none"/>
              </w:rPr>
              <w:t>月</w:t>
            </w:r>
            <w:r>
              <w:rPr>
                <w:rStyle w:val="7"/>
                <w:rFonts w:hint="eastAsia" w:ascii="仿宋" w:hAnsi="仿宋" w:eastAsia="仿宋" w:cs="仿宋"/>
                <w:b w:val="0"/>
                <w:bCs/>
                <w:sz w:val="21"/>
                <w:szCs w:val="21"/>
                <w:highlight w:val="none"/>
                <w:lang w:val="en-US" w:eastAsia="zh-CN"/>
              </w:rPr>
              <w:t>4</w:t>
            </w:r>
            <w:r>
              <w:rPr>
                <w:rStyle w:val="7"/>
                <w:rFonts w:hint="default" w:ascii="仿宋" w:hAnsi="仿宋" w:eastAsia="仿宋" w:cs="仿宋"/>
                <w:b w:val="0"/>
                <w:bCs/>
                <w:sz w:val="21"/>
                <w:szCs w:val="21"/>
                <w:highlight w:val="none"/>
              </w:rPr>
              <w:t>日</w:t>
            </w:r>
            <w:r>
              <w:rPr>
                <w:rStyle w:val="7"/>
                <w:rFonts w:hint="eastAsia" w:ascii="仿宋" w:hAnsi="仿宋" w:eastAsia="仿宋" w:cs="仿宋"/>
                <w:b w:val="0"/>
                <w:bCs/>
                <w:sz w:val="21"/>
                <w:szCs w:val="21"/>
                <w:highlight w:val="none"/>
                <w:lang w:val="en-US" w:eastAsia="zh-CN"/>
              </w:rPr>
              <w:t>09</w:t>
            </w:r>
            <w:r>
              <w:rPr>
                <w:rStyle w:val="7"/>
                <w:rFonts w:hint="default" w:ascii="仿宋" w:hAnsi="仿宋" w:eastAsia="仿宋" w:cs="仿宋"/>
                <w:b w:val="0"/>
                <w:bCs/>
                <w:sz w:val="21"/>
                <w:szCs w:val="21"/>
                <w:highlight w:val="none"/>
              </w:rPr>
              <w:t>：</w:t>
            </w:r>
            <w:r>
              <w:rPr>
                <w:rStyle w:val="7"/>
                <w:rFonts w:hint="eastAsia" w:ascii="仿宋" w:hAnsi="仿宋" w:eastAsia="仿宋" w:cs="仿宋"/>
                <w:b w:val="0"/>
                <w:bCs/>
                <w:sz w:val="21"/>
                <w:szCs w:val="21"/>
                <w:highlight w:val="none"/>
                <w:lang w:eastAsia="zh-CN"/>
              </w:rPr>
              <w:t>0</w:t>
            </w:r>
            <w:r>
              <w:rPr>
                <w:rStyle w:val="7"/>
                <w:rFonts w:hint="eastAsia" w:ascii="仿宋" w:hAnsi="仿宋" w:eastAsia="仿宋" w:cs="仿宋"/>
                <w:b w:val="0"/>
                <w:bCs/>
                <w:sz w:val="21"/>
                <w:szCs w:val="21"/>
                <w:highlight w:val="none"/>
                <w:lang w:val="en-US" w:eastAsia="zh-CN"/>
              </w:rPr>
              <w:t>0</w:t>
            </w:r>
            <w:r>
              <w:rPr>
                <w:rStyle w:val="7"/>
                <w:rFonts w:hint="default" w:ascii="仿宋" w:hAnsi="仿宋" w:eastAsia="仿宋" w:cs="仿宋"/>
                <w:b w:val="0"/>
                <w:bCs/>
                <w:sz w:val="21"/>
                <w:szCs w:val="21"/>
                <w:highlight w:val="none"/>
              </w:rPr>
              <w:t>点前</w:t>
            </w:r>
            <w:bookmarkEnd w:id="0"/>
            <w:r>
              <w:rPr>
                <w:rStyle w:val="7"/>
                <w:rFonts w:hint="default" w:ascii="仿宋" w:hAnsi="仿宋" w:eastAsia="仿宋" w:cs="仿宋"/>
                <w:b w:val="0"/>
                <w:bCs/>
                <w:sz w:val="21"/>
                <w:szCs w:val="21"/>
                <w:highlight w:val="none"/>
              </w:rPr>
              <w:t>（雅加达时间）。</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highlight w:val="none"/>
              </w:rPr>
            </w:pPr>
            <w:r>
              <w:rPr>
                <w:rStyle w:val="7"/>
                <w:rFonts w:hint="default" w:ascii="仿宋" w:hAnsi="仿宋" w:eastAsia="仿宋" w:cs="仿宋"/>
                <w:b w:val="0"/>
                <w:bCs/>
                <w:sz w:val="21"/>
                <w:szCs w:val="21"/>
                <w:highlight w:val="none"/>
              </w:rPr>
              <w:t xml:space="preserve">7. Batas Waktu Penawaran: </w:t>
            </w:r>
            <w:r>
              <w:rPr>
                <w:rFonts w:hint="eastAsia" w:ascii="仿宋" w:hAnsi="仿宋" w:eastAsia="仿宋" w:cs="仿宋"/>
                <w:sz w:val="24"/>
                <w:szCs w:val="24"/>
                <w:highlight w:val="none"/>
              </w:rPr>
              <w:t xml:space="preserve">sebelum </w:t>
            </w:r>
            <w:r>
              <w:rPr>
                <w:rFonts w:hint="eastAsia" w:ascii="仿宋" w:hAnsi="仿宋" w:eastAsia="仿宋" w:cs="仿宋"/>
                <w:sz w:val="24"/>
                <w:szCs w:val="24"/>
                <w:highlight w:val="none"/>
                <w:lang w:val="en-US" w:eastAsia="zh-CN"/>
              </w:rPr>
              <w:t>4</w:t>
            </w:r>
            <w:bookmarkStart w:id="1" w:name="_GoBack"/>
            <w:bookmarkEnd w:id="1"/>
            <w:r>
              <w:rPr>
                <w:rFonts w:hint="eastAsia" w:ascii="仿宋" w:hAnsi="仿宋" w:eastAsia="仿宋" w:cs="仿宋"/>
                <w:sz w:val="24"/>
                <w:szCs w:val="24"/>
                <w:highlight w:val="none"/>
              </w:rPr>
              <w:t xml:space="preserve"> Maret 2026 pukul 09.00 (waktu Jakarta).</w:t>
            </w:r>
          </w:p>
          <w:p>
            <w:pPr>
              <w:widowControl/>
              <w:numPr>
                <w:ilvl w:val="-1"/>
                <w:numId w:val="0"/>
              </w:numPr>
              <w:adjustRightInd w:val="0"/>
              <w:snapToGrid w:val="0"/>
              <w:spacing w:line="320" w:lineRule="exact"/>
              <w:ind w:left="284" w:hanging="284"/>
              <w:textAlignment w:val="center"/>
              <w:rPr>
                <w:rStyle w:val="7"/>
                <w:rFonts w:hint="eastAsia" w:ascii="仿宋" w:hAnsi="仿宋" w:eastAsia="仿宋" w:cs="仿宋"/>
                <w:b w:val="0"/>
                <w:bCs/>
                <w:sz w:val="21"/>
                <w:szCs w:val="21"/>
                <w:lang w:val="en-US" w:eastAsia="zh-CN" w:bidi="ar"/>
              </w:rPr>
            </w:pPr>
            <w:r>
              <w:rPr>
                <w:rStyle w:val="7"/>
                <w:rFonts w:hint="eastAsia" w:ascii="仿宋" w:hAnsi="仿宋" w:eastAsia="仿宋" w:cs="仿宋"/>
                <w:b w:val="0"/>
                <w:bCs/>
                <w:sz w:val="21"/>
                <w:szCs w:val="21"/>
                <w:lang w:val="en-US" w:eastAsia="zh-CN"/>
              </w:rPr>
              <w:t>8.</w:t>
            </w:r>
            <w:r>
              <w:rPr>
                <w:rStyle w:val="7"/>
                <w:rFonts w:ascii="仿宋" w:hAnsi="仿宋" w:eastAsia="仿宋" w:cs="仿宋"/>
                <w:b w:val="0"/>
                <w:bCs/>
                <w:sz w:val="21"/>
                <w:szCs w:val="21"/>
              </w:rPr>
              <w:t>送货地址：</w:t>
            </w:r>
            <w:r>
              <w:rPr>
                <w:rStyle w:val="7"/>
                <w:rFonts w:hint="default" w:ascii="仿宋" w:hAnsi="仿宋" w:eastAsia="仿宋" w:cs="仿宋"/>
                <w:b w:val="0"/>
                <w:bCs/>
                <w:sz w:val="21"/>
                <w:szCs w:val="21"/>
              </w:rPr>
              <w:t>PLTU SUMSEL 8 Desa Tanjung Lalang, Tanjung Agung, Kabupaten Muara Enim, Sumatera Selatan</w:t>
            </w:r>
            <w:r>
              <w:rPr>
                <w:rStyle w:val="7"/>
                <w:rFonts w:hint="eastAsia" w:ascii="仿宋" w:hAnsi="仿宋" w:eastAsia="仿宋" w:cs="仿宋"/>
                <w:b w:val="0"/>
                <w:bCs/>
                <w:sz w:val="21"/>
                <w:szCs w:val="21"/>
                <w:lang w:eastAsia="zh-CN"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8. Alamat Pengiriman: </w:t>
            </w:r>
            <w:r>
              <w:rPr>
                <w:rStyle w:val="7"/>
                <w:rFonts w:hint="default" w:ascii="仿宋" w:hAnsi="仿宋" w:eastAsia="仿宋" w:cs="仿宋"/>
                <w:b w:val="0"/>
                <w:bCs/>
                <w:sz w:val="21"/>
                <w:szCs w:val="21"/>
              </w:rPr>
              <w:t>PLTU SUMSEL 8 Desa Tanjung Lalang, Tanjung Agung, Kabupaten Muara Enim, Sumatera Selatan</w:t>
            </w:r>
            <w:r>
              <w:rPr>
                <w:rStyle w:val="7"/>
                <w:rFonts w:hint="default" w:ascii="仿宋" w:hAnsi="仿宋" w:eastAsia="仿宋" w:cs="仿宋"/>
                <w:b w:val="0"/>
                <w:bCs/>
                <w:sz w:val="21"/>
                <w:szCs w:val="21"/>
                <w:lang w:bidi="ar"/>
              </w:rPr>
              <w:t xml:space="preserve">.  </w:t>
            </w:r>
          </w:p>
          <w:p>
            <w:pPr>
              <w:widowControl/>
              <w:adjustRightInd w:val="0"/>
              <w:snapToGrid w:val="0"/>
              <w:ind w:left="284" w:hanging="284"/>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bCs/>
                <w:sz w:val="21"/>
                <w:szCs w:val="21"/>
                <w:lang w:val="en-US" w:eastAsia="zh-CN" w:bidi="ar"/>
              </w:rPr>
              <w:t>9.</w:t>
            </w:r>
            <w:r>
              <w:rPr>
                <w:rStyle w:val="7"/>
                <w:rFonts w:hint="default" w:ascii="仿宋" w:hAnsi="仿宋" w:eastAsia="仿宋" w:cs="仿宋"/>
                <w:b w:val="0"/>
                <w:bCs/>
                <w:sz w:val="21"/>
                <w:szCs w:val="21"/>
                <w:lang w:bidi="ar"/>
              </w:rPr>
              <w:t>采购监督投诉受理邮箱</w:t>
            </w:r>
            <w:r>
              <w:rPr>
                <w:rStyle w:val="7"/>
                <w:rFonts w:hint="eastAsia" w:ascii="仿宋" w:hAnsi="仿宋" w:eastAsia="仿宋" w:cs="仿宋"/>
                <w:b w:val="0"/>
                <w:bCs/>
                <w:sz w:val="21"/>
                <w:szCs w:val="21"/>
                <w:lang w:val="en-US" w:eastAsia="zh-CN" w:bidi="ar"/>
              </w:rPr>
              <w:t>:</w:t>
            </w:r>
            <w:r>
              <w:rPr>
                <w:rStyle w:val="7"/>
                <w:rFonts w:hint="default" w:ascii="仿宋" w:hAnsi="仿宋" w:eastAsia="仿宋" w:cs="仿宋"/>
                <w:b w:val="0"/>
                <w:bCs/>
                <w:color w:val="0000FF"/>
                <w:sz w:val="21"/>
                <w:szCs w:val="21"/>
                <w:u w:val="single"/>
                <w:lang w:bidi="ar"/>
              </w:rPr>
              <w:t>chdptplpe@gmail.com</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4"/>
                <w:bCs/>
                <w:lang w:bidi="ar"/>
              </w:rPr>
            </w:pPr>
            <w:r>
              <w:rPr>
                <w:rStyle w:val="7"/>
                <w:rFonts w:hint="default" w:ascii="仿宋" w:hAnsi="仿宋" w:eastAsia="仿宋" w:cs="仿宋"/>
                <w:b w:val="0"/>
                <w:bCs/>
                <w:sz w:val="21"/>
                <w:szCs w:val="21"/>
                <w:lang w:bidi="ar"/>
              </w:rPr>
              <w:t xml:space="preserve">9. Alamat Email Pengaduan Pengawasan Pengadaan: </w:t>
            </w:r>
            <w:r>
              <w:rPr>
                <w:rStyle w:val="7"/>
                <w:rFonts w:hint="default" w:ascii="仿宋" w:hAnsi="仿宋" w:eastAsia="仿宋" w:cs="仿宋"/>
                <w:b w:val="0"/>
                <w:bCs/>
                <w:color w:val="0000FF"/>
                <w:sz w:val="21"/>
                <w:szCs w:val="21"/>
                <w:u w:val="single"/>
                <w:lang w:bidi="ar"/>
              </w:rPr>
              <w:t>chdptplpe@gmail.com</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二、报价说明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 Spesifikasi Penawaran</w:t>
            </w:r>
          </w:p>
          <w:p>
            <w:pPr>
              <w:widowControl/>
              <w:adjustRightInd w:val="0"/>
              <w:snapToGrid w:val="0"/>
              <w:ind w:left="210" w:hanging="210" w:hangingChars="100"/>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bCs/>
                <w:sz w:val="21"/>
                <w:szCs w:val="21"/>
                <w:lang w:val="en-US" w:eastAsia="zh-CN" w:bidi="ar"/>
              </w:rPr>
              <w:t>1.</w:t>
            </w:r>
            <w:r>
              <w:rPr>
                <w:rStyle w:val="7"/>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widowControl/>
              <w:adjustRightInd w:val="0"/>
              <w:snapToGrid w:val="0"/>
              <w:ind w:left="0"/>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bCs/>
                <w:sz w:val="21"/>
                <w:szCs w:val="21"/>
                <w:lang w:val="en-US" w:eastAsia="zh-CN" w:bidi="ar"/>
              </w:rPr>
              <w:t xml:space="preserve">2. </w:t>
            </w:r>
            <w:r>
              <w:rPr>
                <w:rStyle w:val="7"/>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 供货周期：</w:t>
            </w:r>
            <w:r>
              <w:rPr>
                <w:rStyle w:val="7"/>
                <w:rFonts w:hint="eastAsia" w:ascii="仿宋" w:hAnsi="仿宋" w:eastAsia="仿宋" w:cs="仿宋"/>
                <w:b w:val="0"/>
                <w:bCs/>
                <w:sz w:val="21"/>
                <w:szCs w:val="21"/>
                <w:highlight w:val="none"/>
                <w:lang w:val="en-US" w:eastAsia="zh-CN" w:bidi="ar"/>
              </w:rPr>
              <w:t>以采购清单要求为准</w:t>
            </w:r>
            <w:r>
              <w:rPr>
                <w:rStyle w:val="7"/>
                <w:rFonts w:hint="default" w:ascii="仿宋" w:hAnsi="仿宋" w:eastAsia="仿宋" w:cs="仿宋"/>
                <w:b w:val="0"/>
                <w:bCs/>
                <w:sz w:val="21"/>
                <w:szCs w:val="21"/>
                <w:lang w:bidi="ar"/>
              </w:rPr>
              <w:t>，如有特殊产品交货期晚于该时间，经确认后可适当延长。</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w:t>
            </w:r>
            <w:r>
              <w:rPr>
                <w:rStyle w:val="7"/>
                <w:rFonts w:hint="default" w:ascii="仿宋" w:hAnsi="仿宋" w:eastAsia="仿宋" w:cs="仿宋"/>
                <w:b w:val="0"/>
                <w:bCs/>
                <w:color w:val="auto"/>
                <w:sz w:val="21"/>
                <w:szCs w:val="21"/>
                <w:shd w:val="clear" w:color="auto" w:fill="auto"/>
                <w:lang w:bidi="ar"/>
              </w:rPr>
              <w:t xml:space="preserve"> Masa Pengiriman</w:t>
            </w:r>
            <w:r>
              <w:rPr>
                <w:rStyle w:val="7"/>
                <w:rFonts w:hint="eastAsia" w:ascii="仿宋" w:hAnsi="仿宋" w:eastAsia="仿宋" w:cs="仿宋"/>
                <w:b w:val="0"/>
                <w:bCs/>
                <w:color w:val="auto"/>
                <w:sz w:val="21"/>
                <w:szCs w:val="21"/>
                <w:lang w:val="en-US" w:eastAsia="zh-CN" w:bidi="ar"/>
              </w:rPr>
              <w:t>:</w:t>
            </w:r>
            <w:r>
              <w:rPr>
                <w:rStyle w:val="7"/>
                <w:rFonts w:hint="default" w:ascii="仿宋" w:hAnsi="仿宋" w:eastAsia="仿宋" w:cs="仿宋"/>
                <w:b w:val="0"/>
                <w:bCs/>
                <w:color w:val="auto"/>
                <w:sz w:val="21"/>
                <w:szCs w:val="21"/>
                <w:lang w:bidi="ar"/>
              </w:rPr>
              <w:t>Waktu pengiriman untuk produk khusus akan tunduk pada persyaratan daftar pembelian. Jika waktu pengiriman lebih lambat dari waktu yang ditentukan, waktu tersebut dapat diperpanjang sesuai kebutuhan setelah konfirmasi.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highlight w:val="none"/>
                <w:lang w:val="en-US" w:eastAsia="zh-CN" w:bidi="ar"/>
              </w:rPr>
            </w:pPr>
            <w:r>
              <w:rPr>
                <w:rStyle w:val="7"/>
                <w:rFonts w:hint="default" w:ascii="仿宋" w:hAnsi="仿宋" w:eastAsia="仿宋" w:cs="仿宋"/>
                <w:b w:val="0"/>
                <w:bCs/>
                <w:sz w:val="21"/>
                <w:szCs w:val="21"/>
                <w:lang w:bidi="ar"/>
              </w:rPr>
              <w:t>6. 质保金</w:t>
            </w:r>
            <w:r>
              <w:rPr>
                <w:rStyle w:val="7"/>
                <w:rFonts w:hint="default" w:ascii="仿宋" w:hAnsi="仿宋" w:eastAsia="仿宋" w:cs="仿宋"/>
                <w:b w:val="0"/>
                <w:bCs/>
                <w:sz w:val="21"/>
                <w:szCs w:val="21"/>
                <w:highlight w:val="none"/>
                <w:lang w:bidi="ar"/>
              </w:rPr>
              <w:t>：</w:t>
            </w:r>
            <w:r>
              <w:rPr>
                <w:rStyle w:val="7"/>
                <w:rFonts w:hint="default" w:ascii="仿宋" w:hAnsi="仿宋" w:eastAsia="仿宋" w:cs="仿宋"/>
                <w:b w:val="0"/>
                <w:bCs/>
                <w:sz w:val="21"/>
                <w:szCs w:val="21"/>
                <w:highlight w:val="none"/>
                <w:lang w:bidi="ar"/>
              </w:rPr>
              <w:sym w:font="Wingdings 2" w:char="00A3"/>
            </w:r>
            <w:r>
              <w:rPr>
                <w:rStyle w:val="7"/>
                <w:rFonts w:hint="default" w:ascii="仿宋" w:hAnsi="仿宋" w:eastAsia="仿宋" w:cs="仿宋"/>
                <w:b w:val="0"/>
                <w:bCs/>
                <w:sz w:val="21"/>
                <w:szCs w:val="21"/>
                <w:highlight w:val="none"/>
                <w:lang w:bidi="ar"/>
              </w:rPr>
              <w:t>不适用。</w:t>
            </w:r>
            <w:r>
              <w:rPr>
                <w:rStyle w:val="7"/>
                <w:rFonts w:hint="default" w:ascii="仿宋" w:hAnsi="仿宋" w:eastAsia="仿宋" w:cs="仿宋"/>
                <w:b w:val="0"/>
                <w:bCs/>
                <w:sz w:val="21"/>
                <w:szCs w:val="21"/>
                <w:lang w:bidi="ar"/>
              </w:rPr>
              <w:sym w:font="Wingdings 2" w:char="0052"/>
            </w:r>
            <w:r>
              <w:rPr>
                <w:rStyle w:val="7"/>
                <w:rFonts w:hint="default" w:ascii="仿宋" w:hAnsi="仿宋" w:eastAsia="仿宋" w:cs="仿宋"/>
                <w:b w:val="0"/>
                <w:bCs/>
                <w:sz w:val="21"/>
                <w:szCs w:val="21"/>
                <w:lang w:bidi="ar"/>
              </w:rPr>
              <w:t>适用：</w:t>
            </w:r>
            <w:r>
              <w:rPr>
                <w:rStyle w:val="7"/>
                <w:rFonts w:hint="default" w:ascii="仿宋" w:hAnsi="仿宋" w:eastAsia="仿宋" w:cs="仿宋"/>
                <w:b w:val="0"/>
                <w:bCs/>
                <w:sz w:val="21"/>
                <w:szCs w:val="21"/>
                <w:highlight w:val="none"/>
                <w:lang w:bidi="ar"/>
              </w:rPr>
              <w:t>合同总额的</w:t>
            </w:r>
            <w:r>
              <w:rPr>
                <w:rStyle w:val="7"/>
                <w:rFonts w:hint="default" w:ascii="仿宋" w:hAnsi="仿宋" w:eastAsia="仿宋" w:cs="仿宋"/>
                <w:b w:val="0"/>
                <w:bCs/>
                <w:sz w:val="21"/>
                <w:szCs w:val="21"/>
                <w:highlight w:val="none"/>
                <w:u w:val="single"/>
                <w:lang w:bidi="ar"/>
              </w:rPr>
              <w:t xml:space="preserve"> </w:t>
            </w:r>
            <w:r>
              <w:rPr>
                <w:rStyle w:val="7"/>
                <w:rFonts w:hint="eastAsia" w:ascii="仿宋" w:hAnsi="仿宋" w:eastAsia="仿宋" w:cs="仿宋"/>
                <w:b w:val="0"/>
                <w:bCs/>
                <w:sz w:val="21"/>
                <w:szCs w:val="21"/>
                <w:highlight w:val="none"/>
                <w:u w:val="single"/>
                <w:lang w:val="en-US" w:eastAsia="zh-CN" w:bidi="ar"/>
              </w:rPr>
              <w:t xml:space="preserve">3% </w:t>
            </w:r>
            <w:r>
              <w:rPr>
                <w:rStyle w:val="7"/>
                <w:rFonts w:hint="default" w:ascii="仿宋" w:hAnsi="仿宋" w:eastAsia="仿宋" w:cs="仿宋"/>
                <w:b w:val="0"/>
                <w:bCs/>
                <w:sz w:val="21"/>
                <w:szCs w:val="21"/>
                <w:highlight w:val="none"/>
                <w:lang w:bidi="ar"/>
              </w:rPr>
              <w:t>，期限</w:t>
            </w:r>
            <w:r>
              <w:rPr>
                <w:rStyle w:val="7"/>
                <w:rFonts w:hint="default" w:ascii="仿宋" w:hAnsi="仿宋" w:eastAsia="仿宋" w:cs="仿宋"/>
                <w:b w:val="0"/>
                <w:bCs/>
                <w:sz w:val="21"/>
                <w:szCs w:val="21"/>
                <w:highlight w:val="none"/>
                <w:u w:val="single"/>
                <w:lang w:bidi="ar"/>
              </w:rPr>
              <w:t xml:space="preserve"> </w:t>
            </w:r>
            <w:r>
              <w:rPr>
                <w:rStyle w:val="7"/>
                <w:rFonts w:hint="eastAsia" w:ascii="仿宋" w:hAnsi="仿宋" w:eastAsia="仿宋" w:cs="仿宋"/>
                <w:b w:val="0"/>
                <w:bCs/>
                <w:sz w:val="21"/>
                <w:szCs w:val="21"/>
                <w:highlight w:val="none"/>
                <w:u w:val="single"/>
                <w:lang w:val="en-US" w:eastAsia="zh-CN" w:bidi="ar"/>
              </w:rPr>
              <w:t xml:space="preserve">6个月 </w:t>
            </w:r>
            <w:r>
              <w:rPr>
                <w:rStyle w:val="7"/>
                <w:rFonts w:hint="default" w:ascii="仿宋" w:hAnsi="仿宋" w:eastAsia="仿宋" w:cs="仿宋"/>
                <w:b w:val="0"/>
                <w:bCs/>
                <w:sz w:val="21"/>
                <w:szCs w:val="21"/>
                <w:highlight w:val="none"/>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6. Deposit Retensi: </w:t>
            </w:r>
            <w:r>
              <w:rPr>
                <w:rStyle w:val="7"/>
                <w:rFonts w:hint="default" w:ascii="仿宋" w:hAnsi="仿宋" w:eastAsia="仿宋" w:cs="仿宋"/>
                <w:b w:val="0"/>
                <w:bCs/>
                <w:sz w:val="21"/>
                <w:szCs w:val="21"/>
                <w:lang w:bidi="ar"/>
              </w:rPr>
              <w:sym w:font="Wingdings 2" w:char="00A3"/>
            </w:r>
            <w:r>
              <w:rPr>
                <w:rStyle w:val="7"/>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52"/>
            </w:r>
            <w:r>
              <w:rPr>
                <w:rStyle w:val="7"/>
                <w:rFonts w:hint="default" w:ascii="仿宋" w:hAnsi="仿宋" w:eastAsia="仿宋" w:cs="仿宋"/>
                <w:b w:val="0"/>
                <w:bCs/>
                <w:sz w:val="21"/>
                <w:szCs w:val="21"/>
                <w:lang w:bidi="ar"/>
              </w:rPr>
              <w:t xml:space="preserve"> Berlaku:</w:t>
            </w:r>
            <w:r>
              <w:rPr>
                <w:rStyle w:val="7"/>
                <w:rFonts w:hint="default" w:ascii="仿宋" w:hAnsi="仿宋" w:eastAsia="仿宋" w:cs="仿宋"/>
                <w:b w:val="0"/>
                <w:bCs/>
                <w:sz w:val="21"/>
                <w:szCs w:val="21"/>
                <w:highlight w:val="none"/>
                <w:lang w:bidi="ar"/>
              </w:rPr>
              <w:t xml:space="preserve"> </w:t>
            </w:r>
            <w:r>
              <w:rPr>
                <w:rStyle w:val="7"/>
                <w:rFonts w:hint="eastAsia" w:ascii="仿宋" w:hAnsi="仿宋" w:eastAsia="仿宋" w:cs="仿宋"/>
                <w:b w:val="0"/>
                <w:bCs/>
                <w:sz w:val="21"/>
                <w:szCs w:val="21"/>
                <w:highlight w:val="none"/>
                <w:lang w:val="en-US" w:eastAsia="zh-CN" w:bidi="ar"/>
              </w:rPr>
              <w:t xml:space="preserve">3% </w:t>
            </w:r>
            <w:r>
              <w:rPr>
                <w:rStyle w:val="7"/>
                <w:rFonts w:hint="default" w:ascii="仿宋" w:hAnsi="仿宋" w:eastAsia="仿宋" w:cs="仿宋"/>
                <w:b w:val="0"/>
                <w:bCs/>
                <w:sz w:val="21"/>
                <w:szCs w:val="21"/>
                <w:lang w:bidi="ar"/>
              </w:rPr>
              <w:t>dari total kontrak, angka waktu:</w:t>
            </w:r>
            <w:r>
              <w:rPr>
                <w:rStyle w:val="7"/>
                <w:rFonts w:hint="default" w:ascii="仿宋" w:hAnsi="仿宋" w:eastAsia="仿宋" w:cs="仿宋"/>
                <w:b w:val="0"/>
                <w:bCs/>
                <w:sz w:val="21"/>
                <w:szCs w:val="21"/>
                <w:highlight w:val="none"/>
                <w:lang w:bidi="ar"/>
              </w:rPr>
              <w:t>6 bulan</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Fonts w:ascii="仿宋" w:hAnsi="仿宋" w:eastAsia="仿宋" w:cs="仿宋"/>
                <w:bCs/>
                <w:color w:val="000000"/>
                <w:kern w:val="0"/>
                <w:szCs w:val="21"/>
                <w:lang w:bidi="ar"/>
              </w:rPr>
            </w:pPr>
            <w:r>
              <w:rPr>
                <w:rStyle w:val="7"/>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tc>
      </w:tr>
    </w:tbl>
    <w:p>
      <w:pPr>
        <w:widowControl/>
        <w:adjustRightInd w:val="0"/>
        <w:snapToGrid w:val="0"/>
        <w:spacing w:line="320" w:lineRule="exact"/>
        <w:textAlignment w:val="center"/>
        <w:rPr>
          <w:rStyle w:val="7"/>
          <w:rFonts w:hint="default" w:ascii="仿宋" w:hAnsi="仿宋" w:eastAsia="仿宋" w:cs="仿宋"/>
          <w:b w:val="0"/>
          <w:bCs/>
          <w:sz w:val="21"/>
          <w:szCs w:val="21"/>
          <w:lang w:bidi="ar"/>
        </w:rPr>
        <w:sectPr>
          <w:pgSz w:w="11906" w:h="16838"/>
          <w:pgMar w:top="907" w:right="850" w:bottom="1134" w:left="1134" w:header="851" w:footer="992" w:gutter="0"/>
          <w:cols w:space="425" w:num="1"/>
          <w:docGrid w:type="lines" w:linePitch="312" w:charSpace="0"/>
        </w:sectPr>
      </w:pPr>
    </w:p>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三、报价表</w:t>
      </w:r>
    </w:p>
    <w:p>
      <w:pP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III. Formulir Penawaran</w:t>
      </w:r>
    </w:p>
    <w:tbl>
      <w:tblPr>
        <w:tblStyle w:val="3"/>
        <w:tblW w:w="150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668"/>
        <w:gridCol w:w="5504"/>
        <w:gridCol w:w="426"/>
        <w:gridCol w:w="627"/>
        <w:gridCol w:w="811"/>
        <w:gridCol w:w="756"/>
        <w:gridCol w:w="1176"/>
        <w:gridCol w:w="2076"/>
        <w:gridCol w:w="1374"/>
      </w:tblGrid>
      <w:tr>
        <w:tblPrEx>
          <w:tblLayout w:type="fixed"/>
          <w:tblCellMar>
            <w:top w:w="0" w:type="dxa"/>
            <w:left w:w="108" w:type="dxa"/>
            <w:bottom w:w="0" w:type="dxa"/>
            <w:right w:w="108" w:type="dxa"/>
          </w:tblCellMar>
        </w:tblPrEx>
        <w:tc>
          <w:tcPr>
            <w:tcW w:w="595"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No. Seri</w:t>
            </w:r>
          </w:p>
        </w:tc>
        <w:tc>
          <w:tcPr>
            <w:tcW w:w="1668"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Nama Barang</w:t>
            </w:r>
          </w:p>
        </w:tc>
        <w:tc>
          <w:tcPr>
            <w:tcW w:w="5504"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Spesifikasi/Model</w:t>
            </w:r>
          </w:p>
        </w:tc>
        <w:tc>
          <w:tcPr>
            <w:tcW w:w="42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Satuan</w:t>
            </w:r>
          </w:p>
        </w:tc>
        <w:tc>
          <w:tcPr>
            <w:tcW w:w="627"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Jumlah</w:t>
            </w:r>
          </w:p>
        </w:tc>
        <w:tc>
          <w:tcPr>
            <w:tcW w:w="811"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lang w:bidi="ar"/>
              </w:rPr>
              <w:t>Harga Satuan (IDR)</w:t>
            </w:r>
          </w:p>
        </w:tc>
        <w:tc>
          <w:tcPr>
            <w:tcW w:w="75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11"/>
                <w:rFonts w:hint="default" w:ascii="仿宋" w:hAnsi="仿宋" w:eastAsia="仿宋" w:cs="仿宋"/>
                <w:b w:val="0"/>
                <w:bCs/>
                <w:sz w:val="21"/>
                <w:szCs w:val="21"/>
                <w:lang w:bidi="ar"/>
              </w:rPr>
              <w:t>Harga Total (IDR)</w:t>
            </w:r>
          </w:p>
        </w:tc>
        <w:tc>
          <w:tcPr>
            <w:tcW w:w="1176" w:type="dxa"/>
            <w:vAlign w:val="top"/>
          </w:tcPr>
          <w:p>
            <w:pPr>
              <w:widowControl/>
              <w:adjustRightInd w:val="0"/>
              <w:snapToGrid w:val="0"/>
              <w:spacing w:line="240" w:lineRule="auto"/>
              <w:jc w:val="center"/>
              <w:textAlignment w:val="center"/>
              <w:rPr>
                <w:rStyle w:val="7"/>
                <w:rFonts w:hint="eastAsia" w:ascii="仿宋" w:hAnsi="仿宋" w:eastAsia="仿宋" w:cs="仿宋"/>
                <w:b w:val="0"/>
                <w:bCs/>
                <w:sz w:val="21"/>
                <w:szCs w:val="21"/>
                <w:vertAlign w:val="baseline"/>
                <w:lang w:val="en-US" w:eastAsia="zh-CN" w:bidi="ar"/>
              </w:rPr>
            </w:pPr>
            <w:r>
              <w:rPr>
                <w:rStyle w:val="7"/>
                <w:rFonts w:hint="eastAsia" w:ascii="仿宋" w:hAnsi="仿宋" w:eastAsia="仿宋" w:cs="仿宋"/>
                <w:b w:val="0"/>
                <w:bCs/>
                <w:sz w:val="21"/>
                <w:szCs w:val="21"/>
                <w:vertAlign w:val="baseline"/>
                <w:lang w:val="en-US" w:eastAsia="zh-CN" w:bidi="ar"/>
              </w:rPr>
              <w:t>到货日期</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vertAlign w:val="baseline"/>
                <w:lang w:val="en-US" w:eastAsia="zh-CN" w:bidi="ar"/>
              </w:rPr>
              <w:t>Tanggal kedatangan</w:t>
            </w:r>
          </w:p>
        </w:tc>
        <w:tc>
          <w:tcPr>
            <w:tcW w:w="2076" w:type="dxa"/>
            <w:vAlign w:val="center"/>
          </w:tcPr>
          <w:p>
            <w:pPr>
              <w:widowControl/>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备注</w:t>
            </w:r>
          </w:p>
          <w:p>
            <w:pPr>
              <w:widowControl/>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rPr>
              <w:t>Catatan</w:t>
            </w:r>
          </w:p>
        </w:tc>
        <w:tc>
          <w:tcPr>
            <w:tcW w:w="1374" w:type="dxa"/>
            <w:vAlign w:val="center"/>
          </w:tcPr>
          <w:p>
            <w:pPr>
              <w:widowControl/>
              <w:jc w:val="center"/>
              <w:textAlignment w:val="center"/>
              <w:rPr>
                <w:rFonts w:hint="eastAsia" w:ascii="仿宋" w:hAnsi="仿宋" w:eastAsia="仿宋" w:cs="仿宋"/>
                <w:b w:val="0"/>
                <w:bCs/>
                <w:color w:val="000000"/>
                <w:szCs w:val="21"/>
              </w:rPr>
            </w:pPr>
            <w:r>
              <w:rPr>
                <w:rFonts w:hint="eastAsia" w:ascii="仿宋" w:hAnsi="仿宋" w:eastAsia="仿宋" w:cs="仿宋"/>
                <w:b w:val="0"/>
                <w:bCs/>
                <w:color w:val="000000"/>
                <w:szCs w:val="21"/>
                <w:lang w:val="en-US" w:eastAsia="zh-CN"/>
              </w:rPr>
              <w:t>品牌及</w:t>
            </w:r>
            <w:r>
              <w:rPr>
                <w:rFonts w:hint="eastAsia" w:ascii="仿宋" w:hAnsi="仿宋" w:eastAsia="仿宋" w:cs="仿宋"/>
                <w:b w:val="0"/>
                <w:bCs/>
                <w:color w:val="000000"/>
                <w:szCs w:val="21"/>
              </w:rPr>
              <w:t>图片</w:t>
            </w:r>
          </w:p>
          <w:p>
            <w:pPr>
              <w:widowControl/>
              <w:jc w:val="center"/>
              <w:textAlignment w:val="center"/>
              <w:rPr>
                <w:rFonts w:hint="default" w:ascii="仿宋" w:hAnsi="仿宋" w:eastAsia="仿宋" w:cs="仿宋"/>
                <w:b w:val="0"/>
                <w:bCs/>
                <w:color w:val="000000"/>
                <w:szCs w:val="21"/>
              </w:rPr>
            </w:pPr>
            <w:r>
              <w:rPr>
                <w:rFonts w:hint="default" w:ascii="仿宋" w:hAnsi="仿宋" w:eastAsia="仿宋" w:cs="仿宋"/>
                <w:b w:val="0"/>
                <w:bCs/>
                <w:color w:val="000000"/>
                <w:szCs w:val="21"/>
              </w:rPr>
              <w:t>Merek dan gambar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6" w:hRule="atLeast"/>
        </w:trPr>
        <w:tc>
          <w:tcPr>
            <w:tcW w:w="59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166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电动蝶阀（裸阀）</w:t>
            </w:r>
          </w:p>
        </w:tc>
        <w:tc>
          <w:tcPr>
            <w:tcW w:w="5504" w:type="dxa"/>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DN300 PN10 WCB 1871</w:t>
            </w:r>
          </w:p>
        </w:tc>
        <w:tc>
          <w:tcPr>
            <w:tcW w:w="42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推荐：上海电建阀门，郑州高压阀门，河北远大阀门。质保两年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76910" cy="409575"/>
                  <wp:effectExtent l="0" t="0" r="8890" b="1905"/>
                  <wp:docPr id="1" name="图片 1" descr="ee080cf735bae8efe3d49342dd25eb1a"/>
                  <wp:cNvGraphicFramePr/>
                  <a:graphic xmlns:a="http://schemas.openxmlformats.org/drawingml/2006/main">
                    <a:graphicData uri="http://schemas.openxmlformats.org/drawingml/2006/picture">
                      <pic:pic xmlns:pic="http://schemas.openxmlformats.org/drawingml/2006/picture">
                        <pic:nvPicPr>
                          <pic:cNvPr id="1" name="图片 1" descr="ee080cf735bae8efe3d49342dd25eb1a"/>
                          <pic:cNvPicPr/>
                        </pic:nvPicPr>
                        <pic:blipFill>
                          <a:blip r:embed="rId4"/>
                          <a:stretch>
                            <a:fillRect/>
                          </a:stretch>
                        </pic:blipFill>
                        <pic:spPr>
                          <a:xfrm>
                            <a:off x="0" y="0"/>
                            <a:ext cx="676910" cy="4095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166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电动蝶阀（裸阀）</w:t>
            </w:r>
          </w:p>
        </w:tc>
        <w:tc>
          <w:tcPr>
            <w:tcW w:w="5504" w:type="dxa"/>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DN150 PN10 WCB 1904</w:t>
            </w:r>
          </w:p>
        </w:tc>
        <w:tc>
          <w:tcPr>
            <w:tcW w:w="42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推荐：上海电建阀门，郑州高压阀门，河北远大阀门。质保两年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64210" cy="422275"/>
                  <wp:effectExtent l="0" t="0" r="6350" b="4445"/>
                  <wp:docPr id="2" name="图片 2" descr="607b9e2e4bfe7225ad7398d480b47cb4"/>
                  <wp:cNvGraphicFramePr/>
                  <a:graphic xmlns:a="http://schemas.openxmlformats.org/drawingml/2006/main">
                    <a:graphicData uri="http://schemas.openxmlformats.org/drawingml/2006/picture">
                      <pic:pic xmlns:pic="http://schemas.openxmlformats.org/drawingml/2006/picture">
                        <pic:nvPicPr>
                          <pic:cNvPr id="2" name="图片 2" descr="607b9e2e4bfe7225ad7398d480b47cb4"/>
                          <pic:cNvPicPr/>
                        </pic:nvPicPr>
                        <pic:blipFill>
                          <a:blip r:embed="rId5"/>
                          <a:stretch>
                            <a:fillRect/>
                          </a:stretch>
                        </pic:blipFill>
                        <pic:spPr>
                          <a:xfrm>
                            <a:off x="0" y="0"/>
                            <a:ext cx="664210" cy="4222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碳钢对夹蝶式止回阀</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H76H-16C，DN300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空压机油管</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M315-W8-2S（配套软管（编号：85561868）</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原厂采购：英格索兰，质保两年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空压机油管</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M315-W8-2S（配套软管（编号：85561918）</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原厂采购：英格索兰，质保两年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空压机油管</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M315-W8-2S（配套软管（编号：24436313）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原厂采购：英格索兰，质保两年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空压机油管</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M315-W8-2S（配套软管（编号：49193915）</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原厂采购：英格索兰，质保两年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空压机油管</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M315-W8-2S（配套软管（编号：49193931）</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原厂采购：英格索兰，质保两年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空压机油管</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M315-W8-2S（配套软管（编号：85563633）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原厂采购：英格索兰，质保两年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梅花块</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GR48 PUR</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内径50mm，外径105，厚度21mm。</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708660" cy="403225"/>
                  <wp:effectExtent l="0" t="0" r="7620" b="8255"/>
                  <wp:docPr id="3" name="图片 3" descr="0a3479eb309118b63c4060dbffb9ae16"/>
                  <wp:cNvGraphicFramePr/>
                  <a:graphic xmlns:a="http://schemas.openxmlformats.org/drawingml/2006/main">
                    <a:graphicData uri="http://schemas.openxmlformats.org/drawingml/2006/picture">
                      <pic:pic xmlns:pic="http://schemas.openxmlformats.org/drawingml/2006/picture">
                        <pic:nvPicPr>
                          <pic:cNvPr id="3" name="图片 3" descr="0a3479eb309118b63c4060dbffb9ae16"/>
                          <pic:cNvPicPr/>
                        </pic:nvPicPr>
                        <pic:blipFill>
                          <a:blip r:embed="rId6"/>
                          <a:stretch>
                            <a:fillRect/>
                          </a:stretch>
                        </pic:blipFill>
                        <pic:spPr>
                          <a:xfrm>
                            <a:off x="0" y="0"/>
                            <a:ext cx="708660" cy="4032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11</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滤芯</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BORA233-KL80配套滤芯</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原厂采购：石家庄博纳风机技术有限公司</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12</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骨架油封</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210*240*15</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质保一年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13</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骨架油封</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55*85*12</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质保一年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14</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SKF6412</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质保一年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88975" cy="447675"/>
                  <wp:effectExtent l="0" t="0" r="12065" b="9525"/>
                  <wp:docPr id="4" name="图片 4" descr="2ef256563f196cdabf469b8230b04954"/>
                  <wp:cNvGraphicFramePr/>
                  <a:graphic xmlns:a="http://schemas.openxmlformats.org/drawingml/2006/main">
                    <a:graphicData uri="http://schemas.openxmlformats.org/drawingml/2006/picture">
                      <pic:pic xmlns:pic="http://schemas.openxmlformats.org/drawingml/2006/picture">
                        <pic:nvPicPr>
                          <pic:cNvPr id="4" name="图片 4" descr="2ef256563f196cdabf469b8230b04954"/>
                          <pic:cNvPicPr/>
                        </pic:nvPicPr>
                        <pic:blipFill>
                          <a:blip r:embed="rId7"/>
                          <a:stretch>
                            <a:fillRect/>
                          </a:stretch>
                        </pic:blipFill>
                        <pic:spPr>
                          <a:xfrm flipV="1">
                            <a:off x="0" y="0"/>
                            <a:ext cx="688975" cy="4476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15</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非金属异径膨胀节</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DN200变DN150 PN10（法兰316L不锈钢）</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16</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气动双插板阀（含执行器）</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DN150 PN10,温度400°C供货满足以下要求：                                                1.耐温400℃。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2.采用双闸板双面合金密封结构，阀腔内喷涂碳化钨耐磨层。</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3.阀体材质：锻造CF8。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4.阀板材质：2205双相不锈钢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5.阀板、阀座密封：碳化硼钨合金，厚度≥15mm，硬度HRC≥64。闸板迎风面需镶嵌5Y氧化锆陶瓷板。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6.流道内衬：5Y氧化锆陶瓷，厚度10mm。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7.阀轴材质：17-4PH不锈钢。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8.阀轴密封材料：多层V型四氟密封和多层异型石墨盘根组合密封。内置复合铜+石墨轴套和Y型耐高温防尘圈。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9.阀体密封和流道耐磨密封件采用可互换装置进行调整互换。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10.阀体设置检修孔，可以进行阀体内部的密封调换。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11.所有密封件与阀体及阀板链接方式采用收边互嵌方式。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12.气动执行器：亚德客耐高温气缸，气缸配备缓冲装置，内置电磁感应器、快排阀、消声器，压力传感器。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13.质保二年，使用寿命5年以上。</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推荐：1.郑州三众能源有限公司；2.河南铭凯机械有限公司；3.郑州旭升电力科技有限公司。</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17</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气动双插板阀（含执行器）</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DN125 PN10,温度400°C供货满足以下要求：                                    1.耐温400℃。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2.采用双闸板双面合金密封结构，阀腔内喷涂碳化钨耐磨层。</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3.阀体材质：锻造CF8。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4.阀板材质：2205双相不锈钢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5.阀板、阀座密封：碳化硼钨合金，厚度≥15mm，硬度HRC≥64。闸板迎风面需镶嵌5Y氧化锆陶瓷板。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6.流道内衬：5Y氧化锆陶瓷，厚度10mm。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7.阀轴材质：17-4PH不锈钢。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8.阀轴密封材料：多层V型四氟密封和多层异型石墨盘根组合密封。内置复合铜+石墨轴套和Y型耐高温防尘圈。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9.阀体密封和流道耐磨密封件采用可互换装置进行调整互换。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10.阀体设置检修孔，可以进行阀体内部的密封调换。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11.所有密封件与阀体及阀板链接方式采用收边互嵌方式。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12.气动执行器：亚德客耐高温气缸，气缸配备缓冲装置，内置电磁感应器、快排阀、消声器，压力传感器。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13.质保二年，使用寿命5年以上。</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推荐：1.郑州三众能源有限公司；2.河南明凯机械有限公司；</w:t>
            </w:r>
            <w:r>
              <w:rPr>
                <w:rFonts w:hint="eastAsia" w:ascii="宋体" w:hAnsi="宋体" w:cs="宋体"/>
                <w:i w:val="0"/>
                <w:color w:val="000000"/>
                <w:kern w:val="0"/>
                <w:sz w:val="20"/>
                <w:szCs w:val="20"/>
                <w:u w:val="none"/>
                <w:lang w:val="en-US" w:eastAsia="zh-CN" w:bidi="ar"/>
              </w:rPr>
              <w:t>3</w:t>
            </w:r>
            <w:r>
              <w:rPr>
                <w:rFonts w:hint="eastAsia" w:ascii="宋体" w:hAnsi="宋体" w:eastAsia="宋体" w:cs="宋体"/>
                <w:i w:val="0"/>
                <w:color w:val="000000"/>
                <w:kern w:val="0"/>
                <w:sz w:val="20"/>
                <w:szCs w:val="20"/>
                <w:u w:val="none"/>
                <w:lang w:val="en-US" w:eastAsia="zh-CN" w:bidi="ar"/>
              </w:rPr>
              <w:t>.郑州旭升电力科技有限公司。</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18</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气动双插板阀（含执行器）</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DN100 PN10,温度400°C供货满足以下要求：                            1.耐温400℃。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2.采用双闸板双面合金密封结构，阀腔内喷涂碳化钨耐磨层。</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3.阀体材质：锻造CF8。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4.阀板材质：2205双相不锈钢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5.阀板、阀座密封：碳化硼钨合金，厚度≥15mm，硬度HRC≥64。闸板迎风面需镶嵌5Y氧化锆陶瓷板。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6.流道内衬：5Y氧化锆陶瓷，厚度10mm。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7.阀轴材质：17-4PH不锈钢。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8.阀轴密封材料：多层V型四氟密封和多层异型石墨盘根组合密封。内置复合铜+石墨轴套和Y型耐高温防尘圈。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9.阀体密封和流道耐磨密封件采用可互换装置进行调整互换。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10.阀体设置检修孔，可以进行阀体内部的密封调换。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11.所有密封件与阀体及阀板链接方式采用收边互嵌方式。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12.气动执行器：亚德客耐高温气缸，气缸配备缓冲装置，内置电磁感应器、快排阀、消声器，压力传感器。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13.质保二年，使用寿命5年以上。</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推荐：1.郑州三众能源有限公司；2.河南明凯机械有限公司；</w:t>
            </w:r>
            <w:r>
              <w:rPr>
                <w:rFonts w:hint="eastAsia" w:ascii="宋体" w:hAnsi="宋体" w:cs="宋体"/>
                <w:i w:val="0"/>
                <w:color w:val="000000"/>
                <w:kern w:val="0"/>
                <w:sz w:val="20"/>
                <w:szCs w:val="20"/>
                <w:u w:val="none"/>
                <w:lang w:val="en-US" w:eastAsia="zh-CN" w:bidi="ar"/>
              </w:rPr>
              <w:t>3</w:t>
            </w:r>
            <w:r>
              <w:rPr>
                <w:rFonts w:hint="eastAsia" w:ascii="宋体" w:hAnsi="宋体" w:eastAsia="宋体" w:cs="宋体"/>
                <w:i w:val="0"/>
                <w:color w:val="000000"/>
                <w:kern w:val="0"/>
                <w:sz w:val="20"/>
                <w:szCs w:val="20"/>
                <w:u w:val="none"/>
                <w:lang w:val="en-US" w:eastAsia="zh-CN" w:bidi="ar"/>
              </w:rPr>
              <w:t>.郑州旭升电力科技有限公司。</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19</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气动双插板阀（含执行器）</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DN100 PN10,温度400°C供货满足以下要求：                            1.耐温400℃。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2.采用双闸板双面合金密封结构，阀腔内喷涂碳化钨耐磨层。</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3.阀体材质：锻造CF8。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4.阀板材质：2205双相不锈钢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5.阀板、阀座密封：碳化硼钨合金，厚度≥15mm，硬度HRC≥64。闸板迎风面需镶嵌5Y氧化锆陶瓷板。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6.流道内衬：5Y氧化锆陶瓷，厚度10mm。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7.阀轴材质：17-4PH不锈钢。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8.阀轴密封材料：多层V型四氟密封和多层异型石墨盘根组合密封。内置复合铜+石墨轴套和Y型耐高温防尘圈。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9.阀体密封和流道耐磨密封件采用可互换装置进行调整互换。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10.阀体设置检修孔，可以进行阀体内部的密封调换。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11.所有密封件与阀体及阀板链接方式采用收边互嵌方式。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12.气动执行器：亚德客耐高温气缸，气缸配备缓冲装置，内置电磁感应器、快排阀、消声器，压力传感器。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13.质保二年，使用寿命5年以上。</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推荐：1.郑州三众能源有限公司；2.河南明凯机械有限公司；</w:t>
            </w:r>
            <w:r>
              <w:rPr>
                <w:rFonts w:hint="eastAsia" w:ascii="宋体" w:hAnsi="宋体" w:cs="宋体"/>
                <w:i w:val="0"/>
                <w:color w:val="000000"/>
                <w:kern w:val="0"/>
                <w:sz w:val="20"/>
                <w:szCs w:val="20"/>
                <w:u w:val="none"/>
                <w:lang w:val="en-US" w:eastAsia="zh-CN" w:bidi="ar"/>
              </w:rPr>
              <w:t>3</w:t>
            </w:r>
            <w:r>
              <w:rPr>
                <w:rFonts w:hint="eastAsia" w:ascii="宋体" w:hAnsi="宋体" w:eastAsia="宋体" w:cs="宋体"/>
                <w:i w:val="0"/>
                <w:color w:val="000000"/>
                <w:kern w:val="0"/>
                <w:sz w:val="20"/>
                <w:szCs w:val="20"/>
                <w:u w:val="none"/>
                <w:lang w:val="en-US" w:eastAsia="zh-CN" w:bidi="ar"/>
              </w:rPr>
              <w:t>.郑州旭升电力科技有限公司。</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气动双插板阀（含执行器）</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DN80 PN10,温度400°C供货满足以下要求：                            1.耐温400℃。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2.采用双闸板双面合金密封结构，阀腔内喷涂碳化钨耐磨层。</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3.阀体材质：锻造CF8。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4.阀板材质：2205双相不锈钢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5.阀板、阀座密封：碳化硼钨合金，厚度≥15mm，硬度HRC≥64。闸板迎风面需镶嵌5Y氧化锆陶瓷板。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6.流道内衬：5Y氧化锆陶瓷，厚度10mm。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7.阀轴材质：17-4PH不锈钢。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8.阀轴密封材料：多层V型四氟密封和多层异型石墨盘根组合密封。内置复合铜+石墨轴套和Y型耐高温防尘圈。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9.阀体密封和流道耐磨密封件采用可互换装置进行调整互换。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10.阀体设置检修孔，可以进行阀体内部的密封调换。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11.所有密封件与阀体及阀板链接方式采用收边互嵌方式。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12.气动执行器：亚德客耐高温气缸，气缸配备缓冲装置，内置电磁感应器、快排阀、消声器，压力传感器。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13.质保二年，使用寿命5年以上。</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推荐：1.郑州三众能源有限公司；2.河南铭凯机械有限公司；</w:t>
            </w:r>
            <w:r>
              <w:rPr>
                <w:rFonts w:hint="eastAsia" w:ascii="宋体" w:hAnsi="宋体" w:cs="宋体"/>
                <w:i w:val="0"/>
                <w:color w:val="000000"/>
                <w:kern w:val="0"/>
                <w:sz w:val="20"/>
                <w:szCs w:val="20"/>
                <w:u w:val="none"/>
                <w:lang w:val="en-US" w:eastAsia="zh-CN" w:bidi="ar"/>
              </w:rPr>
              <w:t>3</w:t>
            </w:r>
            <w:r>
              <w:rPr>
                <w:rFonts w:hint="eastAsia" w:ascii="宋体" w:hAnsi="宋体" w:eastAsia="宋体" w:cs="宋体"/>
                <w:i w:val="0"/>
                <w:color w:val="000000"/>
                <w:kern w:val="0"/>
                <w:sz w:val="20"/>
                <w:szCs w:val="20"/>
                <w:u w:val="none"/>
                <w:lang w:val="en-US" w:eastAsia="zh-CN" w:bidi="ar"/>
              </w:rPr>
              <w:t>.郑州旭升电力科技有限公司。</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21</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FGD出口膨胀节蒙皮 </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5500x9550x700(结构由内到外:9层 ：第一层：3.0mm杜邦氟橡胶（双面氟橡胶）第二层：3.0mm杜邦氟橡胶（双面氟橡胶）第三层：24目 0.3mm316L不锈钢网第四层：2.5mm夹丝陶瓷布第五层：0.5mm特氟龙布第六层：1.5mm铝箔纤维布第七层：0.3mm聚四氟乙烯膜层第八层：2.5mm陶瓷纤维毯第九层：2.0mm夹丝氟橡胶配送压条，螺栓，排水短接（短接材质：不锈钢2205，连接螺栓材质：1.4529），密封胶，密封条，安装工具；现场指导安装。质保：五年。在质保期内出现质量问题免费更换。</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推荐：1.山东元更电力科技有限责任公司      2.宁夏熠鑫达自动化设备有限公司</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3.武汉晨阳新复合材料有限公司</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22</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回油滤芯</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捞渣机驱动油站回油滤芯：编号41401030020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原厂采购：青岛达能</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23</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Y型过滤器（法兰式)</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DN25，PN16,材质CF8 滤芯材质：304，目数：40目。每件另配送2个备用滤芯。</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质保2年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24</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手动球阀</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DN25 CF8 PN10 </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推荐：上海电建阀门，郑州高压阀门，河北远大阀门。质保两年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25</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手动球阀</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DN40 WCB PN10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推荐：上海电建阀门，郑州高压阀门，河北远大阀门。质保两年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26</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手动截止阀</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J41W-10P F304 PN10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推荐：上海电建阀门，郑州高压阀门，河北远大阀门。质保两年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27</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电动球阀（裸阀）</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Q941F-16C DN50 WCB PN10 （空压机M315-W8-2S冷却水进水阀执行器配套）</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推荐：上海电建阀门，郑州高压阀门，河北远大阀门。质保两年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28</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电动球阀（裸阀）</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Q941F-16C DN40 WCB PN10 （SDZW-70冷却水进水阀执行器配套）</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推荐：上海电建阀门，郑州高压阀门，河北远大阀门。质保两年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29</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料位计</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散装机HSZ-100伸缩袋配套料位计总成</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原厂采购：无锡荣毅</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30</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比例换向阀（总成）</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捞渣机驱动油站配套（编号：HN86000347）随机配送驱动油站内部油管一套</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原厂采购：青岛达能</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990600" cy="717550"/>
                  <wp:effectExtent l="0" t="0" r="0" b="13970"/>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a:stretch>
                            <a:fillRect/>
                          </a:stretch>
                        </pic:blipFill>
                        <pic:spPr>
                          <a:xfrm>
                            <a:off x="0" y="0"/>
                            <a:ext cx="990600" cy="7175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31</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气动闸板阀</w:t>
            </w:r>
          </w:p>
        </w:tc>
        <w:tc>
          <w:tcPr>
            <w:tcW w:w="5504"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QHZ-250 DN250(配气缸）</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31</w:t>
            </w:r>
          </w:p>
        </w:tc>
        <w:tc>
          <w:tcPr>
            <w:tcW w:w="20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推荐：聊城宇通电力、聊城晨丰机械、冠县卓宏机械，质保2年。</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32</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右侧升降平台#5主梁01</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CGPT型锅炉炉膛检修平台</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731520" cy="516890"/>
                  <wp:effectExtent l="0" t="0" r="0" b="1270"/>
                  <wp:docPr id="14" name="图片 14" descr="7f677a8671b130cdc10396d753815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f677a8671b130cdc10396d7538154e"/>
                          <pic:cNvPicPr>
                            <a:picLocks noChangeAspect="1"/>
                          </pic:cNvPicPr>
                        </pic:nvPicPr>
                        <pic:blipFill>
                          <a:blip r:embed="rId9"/>
                          <a:stretch>
                            <a:fillRect/>
                          </a:stretch>
                        </pic:blipFill>
                        <pic:spPr>
                          <a:xfrm>
                            <a:off x="0" y="0"/>
                            <a:ext cx="731520" cy="51689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33</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右侧升降平台#5主梁02</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CGPT型锅炉炉膛检修平台</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728980" cy="516890"/>
                  <wp:effectExtent l="0" t="0" r="2540" b="1270"/>
                  <wp:docPr id="15" name="图片 15" descr="c4c1dc1159d7c18a9511cdb62995e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4c1dc1159d7c18a9511cdb62995e72"/>
                          <pic:cNvPicPr>
                            <a:picLocks noChangeAspect="1"/>
                          </pic:cNvPicPr>
                        </pic:nvPicPr>
                        <pic:blipFill>
                          <a:blip r:embed="rId10"/>
                          <a:stretch>
                            <a:fillRect/>
                          </a:stretch>
                        </pic:blipFill>
                        <pic:spPr>
                          <a:xfrm>
                            <a:off x="0" y="0"/>
                            <a:ext cx="728980" cy="51689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34</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升降平台围栏横杆</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DN40×6000mm镀锌钢管</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15</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非工作面</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35</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升降平台围栏立柱</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CGPT型锅炉炉膛检修平台</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非工作面</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901700" cy="463550"/>
                  <wp:effectExtent l="0" t="0" r="12700" b="8890"/>
                  <wp:docPr id="6" name="图片 3" descr="IMG_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0651"/>
                          <pic:cNvPicPr>
                            <a:picLocks noChangeAspect="1"/>
                          </pic:cNvPicPr>
                        </pic:nvPicPr>
                        <pic:blipFill>
                          <a:blip r:embed="rId11"/>
                          <a:srcRect/>
                          <a:stretch>
                            <a:fillRect/>
                          </a:stretch>
                        </pic:blipFill>
                        <pic:spPr>
                          <a:xfrm>
                            <a:off x="0" y="0"/>
                            <a:ext cx="901700" cy="4635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36</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升降平台围栏T型三通</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CGPT型锅炉炉膛检修平台</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850900" cy="361950"/>
                  <wp:effectExtent l="0" t="0" r="2540" b="3810"/>
                  <wp:docPr id="7" name="图片 5" descr="IMG_0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0686"/>
                          <pic:cNvPicPr>
                            <a:picLocks noChangeAspect="1"/>
                          </pic:cNvPicPr>
                        </pic:nvPicPr>
                        <pic:blipFill>
                          <a:blip r:embed="rId12"/>
                          <a:srcRect/>
                          <a:stretch>
                            <a:fillRect/>
                          </a:stretch>
                        </pic:blipFill>
                        <pic:spPr>
                          <a:xfrm>
                            <a:off x="0" y="0"/>
                            <a:ext cx="850900" cy="3619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37</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升降平台直角三通</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CGPT型锅炉炉膛检修平台</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844550" cy="374650"/>
                  <wp:effectExtent l="0" t="0" r="8890" b="6350"/>
                  <wp:docPr id="8" name="图片 4" descr="IMG_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0687"/>
                          <pic:cNvPicPr>
                            <a:picLocks noChangeAspect="1"/>
                          </pic:cNvPicPr>
                        </pic:nvPicPr>
                        <pic:blipFill>
                          <a:blip r:embed="rId13"/>
                          <a:srcRect/>
                          <a:stretch>
                            <a:fillRect/>
                          </a:stretch>
                        </pic:blipFill>
                        <pic:spPr>
                          <a:xfrm>
                            <a:off x="0" y="0"/>
                            <a:ext cx="844550" cy="3746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38</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边框双面固定板（带管座）</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CGPT型锅炉炉膛检修平台</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965200" cy="438150"/>
                  <wp:effectExtent l="0" t="0" r="10160" b="3810"/>
                  <wp:docPr id="9" name="IM 40"/>
                  <wp:cNvGraphicFramePr/>
                  <a:graphic xmlns:a="http://schemas.openxmlformats.org/drawingml/2006/main">
                    <a:graphicData uri="http://schemas.openxmlformats.org/drawingml/2006/picture">
                      <pic:pic xmlns:pic="http://schemas.openxmlformats.org/drawingml/2006/picture">
                        <pic:nvPicPr>
                          <pic:cNvPr id="9" name="IM 40"/>
                          <pic:cNvPicPr/>
                        </pic:nvPicPr>
                        <pic:blipFill>
                          <a:blip r:embed="rId14"/>
                          <a:srcRect/>
                          <a:stretch>
                            <a:fillRect/>
                          </a:stretch>
                        </pic:blipFill>
                        <pic:spPr>
                          <a:xfrm>
                            <a:off x="0" y="0"/>
                            <a:ext cx="965200" cy="4381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39</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边框固定板</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CGPT型锅炉炉膛检修平台</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965200" cy="438150"/>
                  <wp:effectExtent l="0" t="0" r="10160" b="3810"/>
                  <wp:docPr id="10" name="IM 48"/>
                  <wp:cNvGraphicFramePr/>
                  <a:graphic xmlns:a="http://schemas.openxmlformats.org/drawingml/2006/main">
                    <a:graphicData uri="http://schemas.openxmlformats.org/drawingml/2006/picture">
                      <pic:pic xmlns:pic="http://schemas.openxmlformats.org/drawingml/2006/picture">
                        <pic:nvPicPr>
                          <pic:cNvPr id="10" name="IM 48"/>
                          <pic:cNvPicPr/>
                        </pic:nvPicPr>
                        <pic:blipFill>
                          <a:blip r:embed="rId15"/>
                          <a:srcRect/>
                          <a:stretch>
                            <a:fillRect/>
                          </a:stretch>
                        </pic:blipFill>
                        <pic:spPr>
                          <a:xfrm>
                            <a:off x="0" y="0"/>
                            <a:ext cx="965200" cy="4381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40</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边框单面固定板（带管座）</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CGPT型锅炉炉膛检修平台</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990600" cy="463550"/>
                  <wp:effectExtent l="0" t="0" r="0" b="8890"/>
                  <wp:docPr id="11" name="IM 42"/>
                  <wp:cNvGraphicFramePr/>
                  <a:graphic xmlns:a="http://schemas.openxmlformats.org/drawingml/2006/main">
                    <a:graphicData uri="http://schemas.openxmlformats.org/drawingml/2006/picture">
                      <pic:pic xmlns:pic="http://schemas.openxmlformats.org/drawingml/2006/picture">
                        <pic:nvPicPr>
                          <pic:cNvPr id="11" name="IM 42"/>
                          <pic:cNvPicPr/>
                        </pic:nvPicPr>
                        <pic:blipFill>
                          <a:blip r:embed="rId16"/>
                          <a:srcRect/>
                          <a:stretch>
                            <a:fillRect/>
                          </a:stretch>
                        </pic:blipFill>
                        <pic:spPr>
                          <a:xfrm>
                            <a:off x="0" y="0"/>
                            <a:ext cx="990600" cy="4635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41</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管座</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CGPT型锅炉炉膛检修平台</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1003300" cy="469900"/>
                  <wp:effectExtent l="0" t="0" r="2540" b="2540"/>
                  <wp:docPr id="12" name="IM 50"/>
                  <wp:cNvGraphicFramePr/>
                  <a:graphic xmlns:a="http://schemas.openxmlformats.org/drawingml/2006/main">
                    <a:graphicData uri="http://schemas.openxmlformats.org/drawingml/2006/picture">
                      <pic:pic xmlns:pic="http://schemas.openxmlformats.org/drawingml/2006/picture">
                        <pic:nvPicPr>
                          <pic:cNvPr id="12" name="IM 50"/>
                          <pic:cNvPicPr/>
                        </pic:nvPicPr>
                        <pic:blipFill>
                          <a:blip r:embed="rId17"/>
                          <a:srcRect/>
                          <a:stretch>
                            <a:fillRect/>
                          </a:stretch>
                        </pic:blipFill>
                        <pic:spPr>
                          <a:xfrm>
                            <a:off x="0" y="0"/>
                            <a:ext cx="1003300" cy="4699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42</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控制电缆收纳箱</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CGPT型锅炉炉膛检修平台</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1022350" cy="476250"/>
                  <wp:effectExtent l="0" t="0" r="13970" b="11430"/>
                  <wp:docPr id="13" name="图片 10"/>
                  <wp:cNvGraphicFramePr/>
                  <a:graphic xmlns:a="http://schemas.openxmlformats.org/drawingml/2006/main">
                    <a:graphicData uri="http://schemas.openxmlformats.org/drawingml/2006/picture">
                      <pic:pic xmlns:pic="http://schemas.openxmlformats.org/drawingml/2006/picture">
                        <pic:nvPicPr>
                          <pic:cNvPr id="13" name="图片 10"/>
                          <pic:cNvPicPr/>
                        </pic:nvPicPr>
                        <pic:blipFill>
                          <a:blip r:embed="rId18"/>
                          <a:srcRect/>
                          <a:stretch>
                            <a:fillRect/>
                          </a:stretch>
                        </pic:blipFill>
                        <pic:spPr>
                          <a:xfrm>
                            <a:off x="0" y="0"/>
                            <a:ext cx="1022350" cy="4762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43</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空预器冷端径向三叉密封（含紧固件）</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351YR41-0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jc w:val="cente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pPr>
          </w:p>
          <w:p>
            <w:pPr>
              <w:keepNext w:val="0"/>
              <w:keepLines w:val="0"/>
              <w:widowControl/>
              <w:suppressLineNumbers w:val="0"/>
              <w:jc w:val="center"/>
              <w:textAlignment w:val="center"/>
            </w:pPr>
            <w:r>
              <w:drawing>
                <wp:inline distT="0" distB="0" distL="114300" distR="114300">
                  <wp:extent cx="532765" cy="339090"/>
                  <wp:effectExtent l="0" t="0" r="635" b="11430"/>
                  <wp:docPr id="16" name="图片 12" descr="空预器名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descr="空预器名牌"/>
                          <pic:cNvPicPr>
                            <a:picLocks noChangeAspect="1"/>
                          </pic:cNvPicPr>
                        </pic:nvPicPr>
                        <pic:blipFill>
                          <a:blip r:embed="rId19"/>
                          <a:srcRect/>
                          <a:stretch>
                            <a:fillRect/>
                          </a:stretch>
                        </pic:blipFill>
                        <pic:spPr>
                          <a:xfrm>
                            <a:off x="0" y="0"/>
                            <a:ext cx="532765" cy="339090"/>
                          </a:xfrm>
                          <a:prstGeom prst="rect">
                            <a:avLst/>
                          </a:prstGeom>
                          <a:noFill/>
                          <a:ln>
                            <a:noFill/>
                          </a:ln>
                        </pic:spPr>
                      </pic:pic>
                    </a:graphicData>
                  </a:graphic>
                </wp:inline>
              </w:drawing>
            </w:r>
          </w:p>
          <w:p>
            <w:pPr>
              <w:keepNext w:val="0"/>
              <w:keepLines w:val="0"/>
              <w:widowControl/>
              <w:suppressLineNumbers w:val="0"/>
              <w:jc w:val="center"/>
              <w:textAlignment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44</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屏式过热器防磨瓦</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117N254-5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材质：SA240GR309S</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230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45</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屏式过热器压板</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117N254-9</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材质：SA240GR309S</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500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46</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屏式过热器防磨瓦</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177N254-3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材质：SA240GR309S</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47</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屏式过热器防磨瓦</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177N254-9</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材质：SA240GR309S</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48</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高温过热器防磨瓦</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117N254-7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材质：SA240GR309S</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220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49</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高温过热器压板</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117N254-11</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材质：SA240GR309S</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220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trPr>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50</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高温过热器防磨瓦</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117N254-2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材质：SA240GR309S</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76</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6" w:hRule="atLeast"/>
        </w:trPr>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51</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高温再热器防磨装置</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177N-255-1-0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138</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52</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高温再热器防磨装置</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177N-255-2-0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276</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53</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高温再热器防磨装置</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177N-255-6-0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138</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54</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高温再热器防磨装置</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177N-255-10-0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68</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55</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水冷壁进口集箱端盖</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图号：177N9812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（φ127x22;Dk=0；S=30;B=55;R15）（TGP00643）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56</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锅炉排气阀</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J6IY-760V DN20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57</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锅炉排气阀</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J6IY-760 DN20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58</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无缝钢管</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 φ33.4×3.8 15CrMoG</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kg</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59</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磨煤机碳晶密封环(含弹簧)</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ZGM113G-II</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参考：北京电力设备总厂有限公司</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36270" cy="323850"/>
                  <wp:effectExtent l="0" t="0" r="3810" b="11430"/>
                  <wp:docPr id="17" name="图片 20" descr="磨煤机铭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0" descr="磨煤机铭牌"/>
                          <pic:cNvPicPr>
                            <a:picLocks noChangeAspect="1"/>
                          </pic:cNvPicPr>
                        </pic:nvPicPr>
                        <pic:blipFill>
                          <a:blip r:embed="rId20"/>
                          <a:srcRect/>
                          <a:stretch>
                            <a:fillRect/>
                          </a:stretch>
                        </pic:blipFill>
                        <pic:spPr>
                          <a:xfrm>
                            <a:off x="0" y="0"/>
                            <a:ext cx="636270" cy="3238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60</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磨煤机加载液压缸密封件</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型号：HC-D250-110-300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出厂序列号：1909F65</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61</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磨煤机拉杆密封件</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ZGM113G-II</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9</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参考：北京电力设备总厂有限公司</w:t>
            </w:r>
          </w:p>
        </w:tc>
        <w:tc>
          <w:tcPr>
            <w:tcW w:w="1374" w:type="dxa"/>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97865" cy="224155"/>
                  <wp:effectExtent l="0" t="0" r="3175" b="4445"/>
                  <wp:docPr id="18" name="图片 1" descr="19a371b47f37700227f8fe3ff693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19a371b47f37700227f8fe3ff6930b0"/>
                          <pic:cNvPicPr>
                            <a:picLocks noChangeAspect="1"/>
                          </pic:cNvPicPr>
                        </pic:nvPicPr>
                        <pic:blipFill>
                          <a:blip r:embed="rId21"/>
                          <a:srcRect/>
                          <a:stretch>
                            <a:fillRect/>
                          </a:stretch>
                        </pic:blipFill>
                        <pic:spPr>
                          <a:xfrm>
                            <a:off x="0" y="0"/>
                            <a:ext cx="697865" cy="22415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62</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齿轮油泵铁壳骨架油封</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391-2883-058（43*26*8）</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jc w:val="cente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330200" cy="267970"/>
                  <wp:effectExtent l="0" t="0" r="5080" b="6350"/>
                  <wp:docPr id="19" name="图片 3"/>
                  <wp:cNvGraphicFramePr/>
                  <a:graphic xmlns:a="http://schemas.openxmlformats.org/drawingml/2006/main">
                    <a:graphicData uri="http://schemas.openxmlformats.org/drawingml/2006/picture">
                      <pic:pic xmlns:pic="http://schemas.openxmlformats.org/drawingml/2006/picture">
                        <pic:nvPicPr>
                          <pic:cNvPr id="19" name="图片 3"/>
                          <pic:cNvPicPr/>
                        </pic:nvPicPr>
                        <pic:blipFill>
                          <a:blip r:embed="rId22"/>
                          <a:srcRect/>
                          <a:stretch>
                            <a:fillRect/>
                          </a:stretch>
                        </pic:blipFill>
                        <pic:spPr>
                          <a:xfrm>
                            <a:off x="0" y="0"/>
                            <a:ext cx="330200" cy="2679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63</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闭式水泵梅花垫</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145*70.5*26</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64</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风机油泵梅花垫</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GR28</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jc w:val="cente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459105" cy="151130"/>
                  <wp:effectExtent l="0" t="0" r="13335"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23"/>
                          <a:srcRect/>
                          <a:stretch>
                            <a:fillRect/>
                          </a:stretch>
                        </pic:blipFill>
                        <pic:spPr>
                          <a:xfrm>
                            <a:off x="0" y="0"/>
                            <a:ext cx="459105" cy="15113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65</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给煤机骨架油封</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42*62*8</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66</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NTN 6013</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67</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空预器超越离合器</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10010408</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参考：RENOLD</w:t>
            </w:r>
          </w:p>
        </w:tc>
        <w:tc>
          <w:tcPr>
            <w:tcW w:w="1374" w:type="dxa"/>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508000" cy="320675"/>
                  <wp:effectExtent l="0" t="0" r="10160" b="1460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24"/>
                          <a:srcRect/>
                          <a:stretch>
                            <a:fillRect/>
                          </a:stretch>
                        </pic:blipFill>
                        <pic:spPr>
                          <a:xfrm>
                            <a:off x="0" y="0"/>
                            <a:ext cx="508000" cy="3206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68</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空预器超越离合器销子</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M12*112</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36</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300355" cy="226060"/>
                  <wp:effectExtent l="0" t="0" r="4445" b="254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25"/>
                          <a:srcRect/>
                          <a:stretch>
                            <a:fillRect/>
                          </a:stretch>
                        </pic:blipFill>
                        <pic:spPr>
                          <a:xfrm>
                            <a:off x="0" y="0"/>
                            <a:ext cx="300355" cy="226060"/>
                          </a:xfrm>
                          <a:prstGeom prst="rect">
                            <a:avLst/>
                          </a:prstGeom>
                          <a:noFill/>
                          <a:ln>
                            <a:noFill/>
                          </a:ln>
                        </pic:spPr>
                      </pic:pic>
                    </a:graphicData>
                  </a:graphic>
                </wp:inline>
              </w:drawing>
            </w:r>
            <w:r>
              <w:drawing>
                <wp:inline distT="0" distB="0" distL="114300" distR="114300">
                  <wp:extent cx="224155" cy="235585"/>
                  <wp:effectExtent l="0" t="0" r="4445" b="8255"/>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26"/>
                          <a:srcRect/>
                          <a:stretch>
                            <a:fillRect/>
                          </a:stretch>
                        </pic:blipFill>
                        <pic:spPr>
                          <a:xfrm>
                            <a:off x="0" y="0"/>
                            <a:ext cx="224155" cy="23558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69</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吹灰蒸汽调节阀气缸隔膜膜片</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K-G300-185-200-90-KIT-A20-1662</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参考：kentintrol</w:t>
            </w: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463550" cy="209550"/>
                  <wp:effectExtent l="0" t="0" r="8890" b="3810"/>
                  <wp:docPr id="24" name="图片 1" descr="60237c30ab9155c43b454c50b9f7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descr="60237c30ab9155c43b454c50b9f7def"/>
                          <pic:cNvPicPr>
                            <a:picLocks noChangeAspect="1"/>
                          </pic:cNvPicPr>
                        </pic:nvPicPr>
                        <pic:blipFill>
                          <a:blip r:embed="rId27"/>
                          <a:srcRect/>
                          <a:stretch>
                            <a:fillRect/>
                          </a:stretch>
                        </pic:blipFill>
                        <pic:spPr>
                          <a:xfrm>
                            <a:off x="0" y="0"/>
                            <a:ext cx="463550" cy="2095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70</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磨煤机加载油泵铁壳油封</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391-2883-058（43*26*8）</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71</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磨煤机液压油站扣压胶管</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16III-1500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4</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25</w:t>
            </w:r>
          </w:p>
        </w:tc>
        <w:tc>
          <w:tcPr>
            <w:tcW w:w="2076" w:type="dxa"/>
            <w:shd w:val="clear" w:color="auto" w:fill="auto"/>
            <w:vAlign w:val="center"/>
          </w:tcPr>
          <w:p>
            <w:pPr>
              <w:jc w:val="cente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72</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给煤机称重皮带</w:t>
            </w:r>
          </w:p>
        </w:tc>
        <w:tc>
          <w:tcPr>
            <w:tcW w:w="5504"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HD-BSC26</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件</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1</w:t>
            </w:r>
          </w:p>
        </w:tc>
        <w:tc>
          <w:tcPr>
            <w:tcW w:w="2076" w:type="dxa"/>
            <w:shd w:val="clear" w:color="auto" w:fill="auto"/>
            <w:vAlign w:val="center"/>
          </w:tcPr>
          <w:p>
            <w:pPr>
              <w:jc w:val="cente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793750" cy="121285"/>
                  <wp:effectExtent l="0" t="0" r="13970" b="635"/>
                  <wp:docPr id="25" name="图片 4" descr="5795938543a97320bb4d878013bd537"/>
                  <wp:cNvGraphicFramePr/>
                  <a:graphic xmlns:a="http://schemas.openxmlformats.org/drawingml/2006/main">
                    <a:graphicData uri="http://schemas.openxmlformats.org/drawingml/2006/picture">
                      <pic:pic xmlns:pic="http://schemas.openxmlformats.org/drawingml/2006/picture">
                        <pic:nvPicPr>
                          <pic:cNvPr id="25" name="图片 4" descr="5795938543a97320bb4d878013bd537"/>
                          <pic:cNvPicPr/>
                        </pic:nvPicPr>
                        <pic:blipFill>
                          <a:blip r:embed="rId28"/>
                          <a:srcRect/>
                          <a:stretch>
                            <a:fillRect/>
                          </a:stretch>
                        </pic:blipFill>
                        <pic:spPr>
                          <a:xfrm>
                            <a:off x="0" y="0"/>
                            <a:ext cx="793750" cy="12128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73</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气缸</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 xml:space="preserve">AIRCYL FOR 19061102-40 </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30</w:t>
            </w:r>
          </w:p>
        </w:tc>
        <w:tc>
          <w:tcPr>
            <w:tcW w:w="2076"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原厂采购：济南乐富门流体控制设备有限公司</w:t>
            </w:r>
          </w:p>
        </w:tc>
        <w:tc>
          <w:tcPr>
            <w:tcW w:w="1374" w:type="dxa"/>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330200" cy="330200"/>
                  <wp:effectExtent l="0" t="0" r="5080" b="508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29"/>
                          <a:srcRect/>
                          <a:stretch>
                            <a:fillRect/>
                          </a:stretch>
                        </pic:blipFill>
                        <pic:spPr>
                          <a:xfrm>
                            <a:off x="0" y="0"/>
                            <a:ext cx="330200" cy="3302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74</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不锈钢(304)对夹式衬氟蝶阀</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D371F46-16C DN80mmPN1.6MPa  要求：阀座氟橡胶密封</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30</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75</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不锈钢波纹管截止阀</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WJ15F1.6P DN50 法兰连接 阀门长度228mm</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30</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76</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O型圈</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Φ6.07（内径）×1.78          材质：氟橡胶（黑色）</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30</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77</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O型圈</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Φ17（内径）×2.65          材质：氟橡胶（黑色）</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60</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30</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78</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金属软管</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图号：75D.554.1Z-11            规格：DN10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30</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79</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金属软管</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图号：CHK03.554.2Z-1             规格：DN10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30</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80</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金属软管</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图号：CCH02A.554.3Z-2         规格：DN10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30</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81</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金属软管</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图号：CCH02A.554.2Z-2         规格：DN10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30</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82</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金属软管</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图号：73B.554.1Z-31         规格：DN10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30</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83</w:t>
            </w:r>
          </w:p>
        </w:tc>
        <w:tc>
          <w:tcPr>
            <w:tcW w:w="166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金属软管</w:t>
            </w:r>
          </w:p>
        </w:tc>
        <w:tc>
          <w:tcPr>
            <w:tcW w:w="5504"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图号：75D.554.2Z-11         规格：DN10</w:t>
            </w:r>
          </w:p>
        </w:tc>
        <w:tc>
          <w:tcPr>
            <w:tcW w:w="42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62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811"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756" w:type="dxa"/>
            <w:vAlign w:val="center"/>
          </w:tcPr>
          <w:p>
            <w:pPr>
              <w:keepNext w:val="0"/>
              <w:keepLines w:val="0"/>
              <w:widowControl/>
              <w:suppressLineNumbers w:val="0"/>
              <w:jc w:val="center"/>
              <w:textAlignment w:val="center"/>
              <w:rPr>
                <w:rStyle w:val="7"/>
                <w:rFonts w:hint="default" w:ascii="仿宋" w:hAnsi="仿宋" w:eastAsia="仿宋" w:cs="仿宋"/>
                <w:b w:val="0"/>
                <w:bCs/>
                <w:sz w:val="21"/>
                <w:szCs w:val="21"/>
                <w:vertAlign w:val="baseline"/>
                <w:lang w:bidi="ar"/>
              </w:rPr>
            </w:pPr>
          </w:p>
        </w:tc>
        <w:tc>
          <w:tcPr>
            <w:tcW w:w="117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30</w:t>
            </w:r>
          </w:p>
        </w:tc>
        <w:tc>
          <w:tcPr>
            <w:tcW w:w="2076" w:type="dxa"/>
            <w:shd w:val="clear" w:color="auto" w:fill="auto"/>
            <w:vAlign w:val="center"/>
          </w:tcPr>
          <w:p>
            <w:pPr>
              <w:rPr>
                <w:rFonts w:hint="default" w:ascii="宋体" w:hAnsi="宋体" w:eastAsia="宋体" w:cs="宋体"/>
                <w:i w:val="0"/>
                <w:iCs w:val="0"/>
                <w:color w:val="000000"/>
                <w:kern w:val="0"/>
                <w:sz w:val="20"/>
                <w:szCs w:val="20"/>
                <w:u w:val="none"/>
                <w:lang w:val="en-US" w:eastAsia="zh-CN" w:bidi="ar"/>
              </w:rPr>
            </w:pPr>
          </w:p>
        </w:tc>
        <w:tc>
          <w:tcPr>
            <w:tcW w:w="137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31" w:type="dxa"/>
            <w:gridSpan w:val="6"/>
            <w:shd w:val="clear" w:color="auto" w:fill="auto"/>
            <w:vAlign w:val="center"/>
          </w:tcPr>
          <w:p>
            <w:pPr>
              <w:rPr>
                <w:rStyle w:val="7"/>
                <w:rFonts w:hint="default" w:ascii="仿宋" w:hAnsi="仿宋" w:eastAsia="仿宋" w:cs="仿宋"/>
                <w:b w:val="0"/>
                <w:bCs/>
                <w:sz w:val="21"/>
                <w:szCs w:val="21"/>
                <w:vertAlign w:val="baseline"/>
                <w:lang w:bidi="ar"/>
              </w:rPr>
            </w:pPr>
            <w:r>
              <w:rPr>
                <w:rFonts w:hint="eastAsia" w:ascii="仿宋" w:hAnsi="仿宋" w:eastAsia="仿宋" w:cs="仿宋"/>
                <w:color w:val="000000"/>
                <w:kern w:val="0"/>
                <w:szCs w:val="21"/>
                <w:vertAlign w:val="baseline"/>
                <w:lang w:val="en-US" w:eastAsia="zh-CN" w:bidi="ar"/>
              </w:rPr>
              <w:t>小计</w:t>
            </w:r>
          </w:p>
        </w:tc>
        <w:tc>
          <w:tcPr>
            <w:tcW w:w="5382" w:type="dxa"/>
            <w:gridSpan w:val="4"/>
            <w:shd w:val="clear" w:color="auto" w:fill="auto"/>
            <w:vAlign w:val="center"/>
          </w:tcPr>
          <w:p>
            <w:pPr>
              <w:rPr>
                <w:rFonts w:hint="eastAsia" w:ascii="仿宋" w:hAnsi="仿宋" w:eastAsia="仿宋" w:cs="仿宋"/>
                <w:color w:val="000000"/>
                <w:kern w:val="0"/>
                <w:szCs w:val="2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31" w:type="dxa"/>
            <w:gridSpan w:val="6"/>
            <w:shd w:val="clear" w:color="auto" w:fill="auto"/>
            <w:vAlign w:val="center"/>
          </w:tcPr>
          <w:p>
            <w:pPr>
              <w:rPr>
                <w:rStyle w:val="7"/>
                <w:rFonts w:hint="default" w:ascii="仿宋" w:hAnsi="仿宋" w:eastAsia="仿宋" w:cs="仿宋"/>
                <w:b w:val="0"/>
                <w:bCs/>
                <w:sz w:val="21"/>
                <w:szCs w:val="21"/>
                <w:vertAlign w:val="baseline"/>
                <w:lang w:bidi="ar"/>
              </w:rPr>
            </w:pPr>
            <w:r>
              <w:rPr>
                <w:rFonts w:hint="eastAsia" w:ascii="仿宋" w:hAnsi="仿宋" w:eastAsia="仿宋" w:cs="仿宋"/>
                <w:color w:val="000000"/>
                <w:kern w:val="0"/>
                <w:szCs w:val="21"/>
                <w:vertAlign w:val="baseline"/>
                <w:lang w:val="en-US" w:eastAsia="zh-CN" w:bidi="ar"/>
              </w:rPr>
              <w:t>PPN11%</w:t>
            </w:r>
          </w:p>
        </w:tc>
        <w:tc>
          <w:tcPr>
            <w:tcW w:w="5382" w:type="dxa"/>
            <w:gridSpan w:val="4"/>
            <w:shd w:val="clear" w:color="auto" w:fill="auto"/>
            <w:vAlign w:val="center"/>
          </w:tcPr>
          <w:p>
            <w:pPr>
              <w:rPr>
                <w:rFonts w:hint="eastAsia" w:ascii="仿宋" w:hAnsi="仿宋" w:eastAsia="仿宋" w:cs="仿宋"/>
                <w:color w:val="000000"/>
                <w:kern w:val="0"/>
                <w:szCs w:val="2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31" w:type="dxa"/>
            <w:gridSpan w:val="6"/>
            <w:shd w:val="clear" w:color="auto" w:fill="auto"/>
            <w:vAlign w:val="center"/>
          </w:tcPr>
          <w:p>
            <w:pPr>
              <w:rPr>
                <w:rStyle w:val="7"/>
                <w:rFonts w:hint="default" w:ascii="仿宋" w:hAnsi="仿宋" w:eastAsia="仿宋" w:cs="仿宋"/>
                <w:b w:val="0"/>
                <w:bCs/>
                <w:sz w:val="21"/>
                <w:szCs w:val="21"/>
                <w:vertAlign w:val="baseline"/>
                <w:lang w:bidi="ar"/>
              </w:rPr>
            </w:pPr>
            <w:r>
              <w:rPr>
                <w:rFonts w:hint="eastAsia" w:ascii="仿宋" w:hAnsi="仿宋" w:eastAsia="仿宋" w:cs="仿宋"/>
                <w:color w:val="000000"/>
                <w:kern w:val="0"/>
                <w:szCs w:val="21"/>
                <w:vertAlign w:val="baseline"/>
                <w:lang w:val="en-US" w:eastAsia="zh-CN" w:bidi="ar"/>
              </w:rPr>
              <w:t>总计</w:t>
            </w:r>
          </w:p>
        </w:tc>
        <w:tc>
          <w:tcPr>
            <w:tcW w:w="5382" w:type="dxa"/>
            <w:gridSpan w:val="4"/>
            <w:shd w:val="clear" w:color="auto" w:fill="auto"/>
            <w:vAlign w:val="center"/>
          </w:tcPr>
          <w:p>
            <w:pPr>
              <w:rPr>
                <w:rFonts w:hint="eastAsia" w:ascii="仿宋" w:hAnsi="仿宋" w:eastAsia="仿宋" w:cs="仿宋"/>
                <w:color w:val="000000"/>
                <w:kern w:val="0"/>
                <w:szCs w:val="2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3"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Pengiriman tepat waktu</w:t>
            </w:r>
          </w:p>
        </w:tc>
        <w:tc>
          <w:tcPr>
            <w:tcW w:w="5930" w:type="dxa"/>
            <w:gridSpan w:val="2"/>
            <w:shd w:val="clear" w:color="auto" w:fill="auto"/>
            <w:vAlign w:val="center"/>
          </w:tcPr>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p>
        </w:tc>
        <w:tc>
          <w:tcPr>
            <w:tcW w:w="2194" w:type="dxa"/>
            <w:gridSpan w:val="3"/>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Nama Pemasok</w:t>
            </w:r>
          </w:p>
        </w:tc>
        <w:tc>
          <w:tcPr>
            <w:tcW w:w="4626" w:type="dxa"/>
            <w:gridSpan w:val="3"/>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3"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Alamat Kontak</w:t>
            </w:r>
          </w:p>
        </w:tc>
        <w:tc>
          <w:tcPr>
            <w:tcW w:w="12750" w:type="dxa"/>
            <w:gridSpan w:val="8"/>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3" w:type="dxa"/>
            <w:gridSpan w:val="10"/>
          </w:tcPr>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备注：1. 报价人应签字盖章扫描后上传到报价专用邮箱。</w:t>
            </w:r>
          </w:p>
          <w:p>
            <w:pPr>
              <w:pStyle w:val="14"/>
              <w:widowControl/>
              <w:numPr>
                <w:ilvl w:val="0"/>
                <w:numId w:val="1"/>
              </w:numPr>
              <w:adjustRightInd w:val="0"/>
              <w:snapToGrid w:val="0"/>
              <w:spacing w:line="240" w:lineRule="auto"/>
              <w:ind w:hanging="15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报价人应附上营业执照、税务登记证、法人身份证明文件扫描件</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如需清晰的需求图片，请联系商务人员。</w:t>
            </w:r>
          </w:p>
          <w:p>
            <w:pPr>
              <w:pStyle w:val="14"/>
              <w:widowControl/>
              <w:numPr>
                <w:ilvl w:val="0"/>
                <w:numId w:val="1"/>
              </w:numPr>
              <w:adjustRightInd w:val="0"/>
              <w:snapToGrid w:val="0"/>
              <w:spacing w:line="240" w:lineRule="auto"/>
              <w:ind w:hanging="153"/>
              <w:jc w:val="left"/>
              <w:textAlignment w:val="top"/>
              <w:rPr>
                <w:rStyle w:val="7"/>
                <w:rFonts w:hint="default" w:ascii="仿宋" w:hAnsi="仿宋" w:eastAsia="仿宋" w:cs="仿宋"/>
                <w:b w:val="0"/>
                <w:bCs/>
                <w:sz w:val="21"/>
                <w:szCs w:val="21"/>
                <w:highlight w:val="none"/>
                <w:lang w:bidi="ar"/>
              </w:rPr>
            </w:pPr>
            <w:r>
              <w:rPr>
                <w:rStyle w:val="7"/>
                <w:rFonts w:hint="eastAsia" w:ascii="仿宋" w:hAnsi="仿宋" w:eastAsia="仿宋" w:cs="仿宋"/>
                <w:b w:val="0"/>
                <w:bCs/>
                <w:sz w:val="21"/>
                <w:szCs w:val="21"/>
                <w:highlight w:val="none"/>
                <w:lang w:val="en-US" w:eastAsia="zh-CN" w:bidi="ar"/>
              </w:rPr>
              <w:t>报价表备注中标注了原厂采购的按照报价表要求执行；提供了推荐厂家的需在推荐厂家或与推荐厂家同等品牌中选择，并在报价时明确标注所报价格为哪个厂家；标注参考厂家的仅供报价人在无法找到货物时进行参考。</w:t>
            </w:r>
          </w:p>
          <w:p>
            <w:pPr>
              <w:pStyle w:val="14"/>
              <w:widowControl/>
              <w:numPr>
                <w:ilvl w:val="0"/>
                <w:numId w:val="0"/>
              </w:numPr>
              <w:adjustRightInd w:val="0"/>
              <w:snapToGrid w:val="0"/>
              <w:spacing w:line="240" w:lineRule="auto"/>
              <w:ind w:left="567" w:leftChars="0"/>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ind w:left="993" w:hanging="99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numPr>
                <w:ilvl w:val="0"/>
                <w:numId w:val="2"/>
              </w:numPr>
              <w:ind w:left="630" w:leftChars="0" w:firstLine="0" w:firstLineChars="0"/>
              <w:rPr>
                <w:rStyle w:val="7"/>
                <w:rFonts w:hint="eastAsia" w:ascii="仿宋" w:hAnsi="仿宋" w:eastAsia="仿宋" w:cs="仿宋"/>
                <w:b w:val="0"/>
                <w:bCs/>
                <w:sz w:val="21"/>
                <w:szCs w:val="21"/>
                <w:lang w:eastAsia="zh-CN" w:bidi="ar"/>
              </w:rPr>
            </w:pPr>
            <w:r>
              <w:rPr>
                <w:rStyle w:val="7"/>
                <w:rFonts w:hint="default" w:ascii="仿宋" w:hAnsi="仿宋" w:eastAsia="仿宋" w:cs="仿宋"/>
                <w:b w:val="0"/>
                <w:bCs/>
                <w:sz w:val="21"/>
                <w:szCs w:val="21"/>
                <w:lang w:bidi="ar"/>
              </w:rPr>
              <w:t>Penyedia penawaran wajib melampirkan salinan yang telah dipindai dari izin usaha, sertifikat pendaftaran pajak, dan dokumen identitas wakil hukum</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u</w:t>
            </w:r>
            <w:r>
              <w:rPr>
                <w:rStyle w:val="7"/>
                <w:rFonts w:hint="eastAsia" w:ascii="仿宋" w:hAnsi="仿宋" w:eastAsia="仿宋" w:cs="仿宋"/>
                <w:b w:val="0"/>
                <w:bCs/>
                <w:sz w:val="21"/>
                <w:szCs w:val="21"/>
                <w:lang w:eastAsia="zh-CN" w:bidi="ar"/>
              </w:rPr>
              <w:t>ntuk gambar yang lebih jelas, silakan hubungi staf penjualan kami.</w:t>
            </w:r>
          </w:p>
          <w:p>
            <w:pPr>
              <w:numPr>
                <w:ilvl w:val="0"/>
                <w:numId w:val="0"/>
              </w:numPr>
              <w:ind w:left="630" w:leftChars="0"/>
              <w:rPr>
                <w:rStyle w:val="7"/>
                <w:rFonts w:hint="default" w:ascii="仿宋" w:hAnsi="仿宋" w:eastAsia="仿宋" w:cs="仿宋"/>
                <w:b w:val="0"/>
                <w:bCs/>
                <w:sz w:val="21"/>
                <w:szCs w:val="21"/>
                <w:lang w:eastAsia="zh-CN" w:bidi="ar"/>
              </w:rPr>
            </w:pPr>
            <w:r>
              <w:rPr>
                <w:rStyle w:val="7"/>
                <w:rFonts w:hint="eastAsia" w:ascii="仿宋" w:hAnsi="仿宋" w:eastAsia="仿宋" w:cs="仿宋"/>
                <w:b w:val="0"/>
                <w:bCs/>
                <w:sz w:val="21"/>
                <w:szCs w:val="21"/>
                <w:lang w:val="en-US" w:eastAsia="zh-CN" w:bidi="ar"/>
              </w:rPr>
              <w:t>3.</w:t>
            </w:r>
            <w:r>
              <w:rPr>
                <w:rStyle w:val="7"/>
                <w:rFonts w:hint="default" w:ascii="仿宋" w:hAnsi="仿宋" w:eastAsia="仿宋" w:cs="仿宋"/>
                <w:b w:val="0"/>
                <w:bCs/>
                <w:sz w:val="21"/>
                <w:szCs w:val="21"/>
                <w:lang w:eastAsia="zh-CN" w:bidi="ar"/>
              </w:rPr>
              <w:t xml:space="preserve"> Dalam hal pada kolom keterangan Daftar Penawaran dicantumkan bahwa pengadaan harus berasal dari pabrikan asli, maka pelaksanaannya wajib mengikuti ketentuan dalam Daftar Penawaran tersebut.Apabila dicantumkan pabrikan yang direkomendasikan, maka pemilihan harus dilakukan dari pabrikan yang direkomendasikan tersebut atau dari merek lain yang setara dengan pabrikan yang direkomendasikan, serta pada saat penyampaian penawaran wajib secara jelas mencantumkan pabrikan yang menjadi dasar harga yang ditawarkan.Pabrikan yang dicantumkan sebagai referensi hanya digunakan sebagai acuan bagi peserta penawaran dalam hal tidak dapat menemukan barang yang dimaksud.</w:t>
            </w:r>
          </w:p>
        </w:tc>
      </w:tr>
    </w:tbl>
    <w:p>
      <w:pPr>
        <w:rPr>
          <w:rStyle w:val="7"/>
          <w:rFonts w:hint="default" w:ascii="仿宋" w:hAnsi="仿宋" w:eastAsia="仿宋" w:cs="仿宋"/>
          <w:b w:val="0"/>
          <w:bCs/>
          <w:sz w:val="21"/>
          <w:szCs w:val="21"/>
          <w:lang w:bidi="ar"/>
        </w:rPr>
      </w:pPr>
    </w:p>
    <w:p/>
    <w:p/>
    <w:p/>
    <w:p/>
    <w:p/>
    <w:sectPr>
      <w:pgSz w:w="16838" w:h="11906" w:orient="landscape"/>
      <w:pgMar w:top="1134" w:right="907"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FB8E672"/>
    <w:multiLevelType w:val="singleLevel"/>
    <w:tmpl w:val="7FB8E672"/>
    <w:lvl w:ilvl="0" w:tentative="0">
      <w:start w:val="2"/>
      <w:numFmt w:val="decimal"/>
      <w:suff w:val="space"/>
      <w:lvlText w:val="%1."/>
      <w:lvlJc w:val="left"/>
      <w:pPr>
        <w:ind w:left="63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00172A27"/>
    <w:rsid w:val="000B5FD3"/>
    <w:rsid w:val="002752BF"/>
    <w:rsid w:val="00843864"/>
    <w:rsid w:val="008D6C82"/>
    <w:rsid w:val="00CC18EC"/>
    <w:rsid w:val="01B35DB0"/>
    <w:rsid w:val="01E63F21"/>
    <w:rsid w:val="028D7421"/>
    <w:rsid w:val="03C90751"/>
    <w:rsid w:val="03F30484"/>
    <w:rsid w:val="045A2629"/>
    <w:rsid w:val="04967979"/>
    <w:rsid w:val="051819FB"/>
    <w:rsid w:val="066C6A06"/>
    <w:rsid w:val="0A0E320D"/>
    <w:rsid w:val="0E547877"/>
    <w:rsid w:val="0EBC0BA3"/>
    <w:rsid w:val="11E44E89"/>
    <w:rsid w:val="130909AC"/>
    <w:rsid w:val="166511CC"/>
    <w:rsid w:val="1C771079"/>
    <w:rsid w:val="1E217D91"/>
    <w:rsid w:val="22050570"/>
    <w:rsid w:val="226A1E01"/>
    <w:rsid w:val="25E02FB7"/>
    <w:rsid w:val="276A1679"/>
    <w:rsid w:val="2A136040"/>
    <w:rsid w:val="2C51664C"/>
    <w:rsid w:val="2C5E6FB2"/>
    <w:rsid w:val="2F911241"/>
    <w:rsid w:val="2FC85622"/>
    <w:rsid w:val="30236782"/>
    <w:rsid w:val="319F4902"/>
    <w:rsid w:val="36794B8A"/>
    <w:rsid w:val="3727044B"/>
    <w:rsid w:val="37E14762"/>
    <w:rsid w:val="38EA5886"/>
    <w:rsid w:val="394D79ED"/>
    <w:rsid w:val="3BD75AB3"/>
    <w:rsid w:val="3BE405C3"/>
    <w:rsid w:val="3DBD2AD4"/>
    <w:rsid w:val="3EAD6931"/>
    <w:rsid w:val="3F1A65D4"/>
    <w:rsid w:val="3F640352"/>
    <w:rsid w:val="40555132"/>
    <w:rsid w:val="458F482B"/>
    <w:rsid w:val="48C43D5F"/>
    <w:rsid w:val="4A7F0F60"/>
    <w:rsid w:val="4C33633A"/>
    <w:rsid w:val="4C79581F"/>
    <w:rsid w:val="4F8355D4"/>
    <w:rsid w:val="50E44BA3"/>
    <w:rsid w:val="51327AEA"/>
    <w:rsid w:val="55FA661E"/>
    <w:rsid w:val="56C55A7B"/>
    <w:rsid w:val="58135ACF"/>
    <w:rsid w:val="583A34BA"/>
    <w:rsid w:val="58E122B8"/>
    <w:rsid w:val="5A070155"/>
    <w:rsid w:val="5B6053D6"/>
    <w:rsid w:val="5B7B286E"/>
    <w:rsid w:val="5C0D5892"/>
    <w:rsid w:val="60810D7D"/>
    <w:rsid w:val="609D7D3E"/>
    <w:rsid w:val="63A455A9"/>
    <w:rsid w:val="6450114F"/>
    <w:rsid w:val="647F6DA6"/>
    <w:rsid w:val="64D3348E"/>
    <w:rsid w:val="65BE1566"/>
    <w:rsid w:val="661D0604"/>
    <w:rsid w:val="668E7D1E"/>
    <w:rsid w:val="69A40054"/>
    <w:rsid w:val="6AF22EF5"/>
    <w:rsid w:val="6D1907DE"/>
    <w:rsid w:val="6D2A03FC"/>
    <w:rsid w:val="6FB11E38"/>
    <w:rsid w:val="71C46B08"/>
    <w:rsid w:val="725B6795"/>
    <w:rsid w:val="73801BA4"/>
    <w:rsid w:val="77791736"/>
    <w:rsid w:val="77830040"/>
    <w:rsid w:val="7A483F39"/>
    <w:rsid w:val="7B291F13"/>
    <w:rsid w:val="7CBD13DA"/>
    <w:rsid w:val="7D385889"/>
    <w:rsid w:val="7DFF4AA4"/>
    <w:rsid w:val="7E6E060E"/>
    <w:rsid w:val="7F7B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
    <w:name w:val="FollowedHyperlink"/>
    <w:basedOn w:val="4"/>
    <w:qFormat/>
    <w:uiPriority w:val="0"/>
    <w:rPr>
      <w:color w:val="954F72" w:themeColor="followedHyperlink"/>
      <w:u w:val="single"/>
      <w14:textFill>
        <w14:solidFill>
          <w14:schemeClr w14:val="folHlink"/>
        </w14:solidFill>
      </w14:textFill>
    </w:rPr>
  </w:style>
  <w:style w:type="character" w:styleId="6">
    <w:name w:val="Hyperlink"/>
    <w:basedOn w:val="4"/>
    <w:qFormat/>
    <w:uiPriority w:val="0"/>
    <w:rPr>
      <w:color w:val="0563C1" w:themeColor="hyperlink"/>
      <w:u w:val="single"/>
      <w14:textFill>
        <w14:solidFill>
          <w14:schemeClr w14:val="hlink"/>
        </w14:solidFill>
      </w14:textFill>
    </w:rPr>
  </w:style>
  <w:style w:type="character" w:customStyle="1" w:styleId="7">
    <w:name w:val="font41"/>
    <w:basedOn w:val="4"/>
    <w:qFormat/>
    <w:uiPriority w:val="0"/>
    <w:rPr>
      <w:rFonts w:hint="eastAsia" w:ascii="宋体" w:hAnsi="宋体" w:eastAsia="宋体" w:cs="宋体"/>
      <w:b/>
      <w:color w:val="000000"/>
      <w:sz w:val="24"/>
      <w:szCs w:val="24"/>
      <w:u w:val="none"/>
    </w:rPr>
  </w:style>
  <w:style w:type="paragraph" w:customStyle="1" w:styleId="8">
    <w:name w:val="引言二级条标题"/>
    <w:basedOn w:val="9"/>
    <w:next w:val="10"/>
    <w:qFormat/>
    <w:uiPriority w:val="0"/>
    <w:pPr>
      <w:tabs>
        <w:tab w:val="left" w:pos="900"/>
      </w:tabs>
      <w:ind w:left="0" w:firstLine="0"/>
    </w:pPr>
  </w:style>
  <w:style w:type="paragraph" w:customStyle="1" w:styleId="9">
    <w:name w:val="引言一级条标题"/>
    <w:basedOn w:val="1"/>
    <w:next w:val="10"/>
    <w:qFormat/>
    <w:uiPriority w:val="0"/>
    <w:pPr>
      <w:tabs>
        <w:tab w:val="left" w:pos="900"/>
      </w:tabs>
      <w:ind w:left="900" w:hanging="900"/>
    </w:pPr>
    <w:rPr>
      <w:rFonts w:ascii="Times New Roman" w:hAnsi="Times New Roman" w:eastAsia="黑体"/>
      <w:b/>
    </w:rPr>
  </w:style>
  <w:style w:type="paragraph" w:customStyle="1" w:styleId="10">
    <w:name w:val="段"/>
    <w:basedOn w:val="1"/>
    <w:qFormat/>
    <w:uiPriority w:val="0"/>
    <w:pPr>
      <w:ind w:firstLine="200"/>
    </w:pPr>
    <w:rPr>
      <w:rFonts w:ascii="宋体" w:hAnsi="宋体" w:cs="宋体"/>
      <w:szCs w:val="21"/>
    </w:rPr>
  </w:style>
  <w:style w:type="character" w:customStyle="1" w:styleId="11">
    <w:name w:val="font91"/>
    <w:basedOn w:val="4"/>
    <w:qFormat/>
    <w:uiPriority w:val="0"/>
    <w:rPr>
      <w:rFonts w:hint="eastAsia" w:ascii="微软雅黑" w:hAnsi="微软雅黑" w:eastAsia="微软雅黑" w:cs="微软雅黑"/>
      <w:b/>
      <w:color w:val="000000"/>
      <w:sz w:val="20"/>
      <w:szCs w:val="20"/>
      <w:u w:val="none"/>
    </w:rPr>
  </w:style>
  <w:style w:type="paragraph" w:customStyle="1" w:styleId="12">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3">
    <w:name w:val="Unresolved Mention"/>
    <w:basedOn w:val="4"/>
    <w:semiHidden/>
    <w:unhideWhenUsed/>
    <w:qFormat/>
    <w:uiPriority w:val="99"/>
    <w:rPr>
      <w:color w:val="605E5C"/>
      <w:shd w:val="clear" w:color="auto" w:fill="E1DFDD"/>
    </w:rPr>
  </w:style>
  <w:style w:type="paragraph" w:styleId="14">
    <w:name w:val="List Paragraph"/>
    <w:basedOn w:val="1"/>
    <w:unhideWhenUsed/>
    <w:qFormat/>
    <w:uiPriority w:val="99"/>
    <w:pPr>
      <w:ind w:left="720"/>
      <w:contextualSpacing/>
    </w:pPr>
  </w:style>
  <w:style w:type="character" w:customStyle="1" w:styleId="15">
    <w:name w:val="font21"/>
    <w:basedOn w:val="4"/>
    <w:qFormat/>
    <w:uiPriority w:val="0"/>
    <w:rPr>
      <w:rFonts w:hint="default" w:ascii="Times New Roman" w:hAnsi="Times New Roman" w:cs="Times New Roman"/>
      <w:color w:val="000000"/>
      <w:sz w:val="24"/>
      <w:szCs w:val="24"/>
      <w:u w:val="none"/>
    </w:rPr>
  </w:style>
  <w:style w:type="character" w:customStyle="1" w:styleId="16">
    <w:name w:val="font71"/>
    <w:basedOn w:val="4"/>
    <w:qFormat/>
    <w:uiPriority w:val="0"/>
    <w:rPr>
      <w:rFonts w:hint="eastAsia" w:ascii="宋体" w:hAnsi="宋体" w:eastAsia="宋体" w:cs="宋体"/>
      <w:color w:val="000000"/>
      <w:sz w:val="24"/>
      <w:szCs w:val="24"/>
      <w:u w:val="none"/>
    </w:rPr>
  </w:style>
  <w:style w:type="character" w:customStyle="1" w:styleId="17">
    <w:name w:val="font81"/>
    <w:basedOn w:val="4"/>
    <w:qFormat/>
    <w:uiPriority w:val="0"/>
    <w:rPr>
      <w:rFonts w:hint="eastAsia" w:ascii="宋体" w:hAnsi="宋体" w:eastAsia="宋体" w:cs="宋体"/>
      <w:color w:val="000000"/>
      <w:sz w:val="24"/>
      <w:szCs w:val="24"/>
      <w:u w:val="none"/>
    </w:rPr>
  </w:style>
  <w:style w:type="character" w:customStyle="1" w:styleId="18">
    <w:name w:val="font31"/>
    <w:basedOn w:val="4"/>
    <w:qFormat/>
    <w:uiPriority w:val="0"/>
    <w:rPr>
      <w:rFonts w:hint="default" w:ascii="仿宋_GB2312" w:eastAsia="仿宋_GB2312" w:cs="仿宋_GB2312"/>
      <w:color w:val="000000"/>
      <w:sz w:val="24"/>
      <w:szCs w:val="24"/>
      <w:u w:val="none"/>
    </w:rPr>
  </w:style>
  <w:style w:type="character" w:customStyle="1" w:styleId="19">
    <w:name w:val="font51"/>
    <w:basedOn w:val="4"/>
    <w:qFormat/>
    <w:uiPriority w:val="0"/>
    <w:rPr>
      <w:rFonts w:hint="default" w:ascii="仿宋_GB2312" w:eastAsia="仿宋_GB2312" w:cs="仿宋_GB2312"/>
      <w:color w:val="000000"/>
      <w:sz w:val="24"/>
      <w:szCs w:val="24"/>
      <w:u w:val="none"/>
    </w:rPr>
  </w:style>
  <w:style w:type="character" w:customStyle="1" w:styleId="20">
    <w:name w:val="font61"/>
    <w:basedOn w:val="4"/>
    <w:qFormat/>
    <w:uiPriority w:val="0"/>
    <w:rPr>
      <w:rFonts w:hint="eastAsia" w:ascii="宋体" w:hAnsi="宋体" w:eastAsia="宋体" w:cs="宋体"/>
      <w:color w:val="000000"/>
      <w:sz w:val="24"/>
      <w:szCs w:val="24"/>
      <w:u w:val="none"/>
    </w:rPr>
  </w:style>
  <w:style w:type="character" w:customStyle="1" w:styleId="21">
    <w:name w:val="font112"/>
    <w:basedOn w:val="4"/>
    <w:qFormat/>
    <w:uiPriority w:val="0"/>
    <w:rPr>
      <w:rFonts w:ascii="Calibri" w:hAnsi="Calibri" w:cs="Calibri"/>
      <w:color w:val="000000"/>
      <w:sz w:val="20"/>
      <w:szCs w:val="20"/>
      <w:u w:val="none"/>
    </w:rPr>
  </w:style>
  <w:style w:type="character" w:customStyle="1" w:styleId="22">
    <w:name w:val="font11"/>
    <w:basedOn w:val="4"/>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pn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pn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15</Pages>
  <Words>5477</Words>
  <Characters>10779</Characters>
  <Lines>33</Lines>
  <Paragraphs>9</Paragraphs>
  <TotalTime>84</TotalTime>
  <ScaleCrop>false</ScaleCrop>
  <LinksUpToDate>false</LinksUpToDate>
  <CharactersWithSpaces>11698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Elizabeth</cp:lastModifiedBy>
  <dcterms:modified xsi:type="dcterms:W3CDTF">2026-02-25T00:41:41Z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05794CCEE3EB45A3B2A26DC3B5DCA195_13</vt:lpwstr>
  </property>
  <property fmtid="{D5CDD505-2E9C-101B-9397-08002B2CF9AE}" pid="4" name="KSOTemplateDocerSaveRecord">
    <vt:lpwstr>eyJoZGlkIjoiODViY2JkMjU3NGYzZTEwMzZmMGFkZWViYmNkYWU3NDIiLCJ1c2VySWQiOiIzMTI0Nzk0ODQifQ==</vt:lpwstr>
  </property>
</Properties>
</file>