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center"/>
        <w:rPr>
          <w:rFonts w:hint="default" w:ascii="方正小标宋简体" w:hAnsi="黑体" w:eastAsia="方正小标宋简体"/>
          <w:sz w:val="36"/>
          <w:szCs w:val="36"/>
          <w:lang w:val="en-US"/>
        </w:rPr>
      </w:pPr>
      <w:r>
        <w:rPr>
          <w:rFonts w:hint="eastAsia" w:ascii="方正小标宋简体" w:hAnsi="黑体" w:eastAsia="方正小标宋简体"/>
          <w:sz w:val="36"/>
          <w:szCs w:val="36"/>
          <w:lang w:eastAsia="zh-CN"/>
        </w:rPr>
        <w:t>2026年1月</w:t>
      </w:r>
      <w:r>
        <w:rPr>
          <w:rFonts w:hint="eastAsia" w:ascii="方正小标宋简体" w:hAnsi="黑体" w:eastAsia="方正小标宋简体"/>
          <w:sz w:val="36"/>
          <w:szCs w:val="36"/>
          <w:lang w:val="en-US" w:eastAsia="zh-CN"/>
        </w:rPr>
        <w:t>备品备件采购询比文件</w:t>
      </w: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Dokumen permintaan pengadaan suku cadang untuk Januari 2026</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tcMar>
              <w:top w:w="9" w:type="dxa"/>
              <w:left w:w="9" w:type="dxa"/>
              <w:right w:w="9" w:type="dxa"/>
            </w:tcMar>
            <w:vAlign w:val="center"/>
          </w:tcPr>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一、基本情况</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 Informasi Dasar</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highlight w:val="none"/>
                <w:lang w:val="en-US" w:eastAsia="zh-CN" w:bidi="ar"/>
              </w:rPr>
            </w:pPr>
            <w:r>
              <w:rPr>
                <w:rStyle w:val="7"/>
                <w:rFonts w:hint="default" w:ascii="仿宋" w:hAnsi="仿宋" w:eastAsia="仿宋" w:cs="仿宋"/>
                <w:b w:val="0"/>
                <w:bCs/>
                <w:sz w:val="21"/>
                <w:szCs w:val="21"/>
                <w:highlight w:val="none"/>
                <w:lang w:bidi="ar"/>
              </w:rPr>
              <w:t xml:space="preserve">1. </w:t>
            </w:r>
            <w:r>
              <w:rPr>
                <w:rStyle w:val="7"/>
                <w:rFonts w:ascii="仿宋" w:hAnsi="仿宋" w:eastAsia="仿宋" w:cs="仿宋"/>
                <w:b w:val="0"/>
                <w:sz w:val="21"/>
                <w:szCs w:val="21"/>
                <w:highlight w:val="none"/>
              </w:rPr>
              <w:t>采购人：</w:t>
            </w:r>
            <w:r>
              <w:rPr>
                <w:rStyle w:val="7"/>
                <w:rFonts w:hint="eastAsia" w:ascii="仿宋" w:hAnsi="仿宋" w:eastAsia="仿宋" w:cs="仿宋"/>
                <w:b w:val="0"/>
                <w:sz w:val="21"/>
                <w:szCs w:val="21"/>
                <w:highlight w:val="none"/>
                <w:lang w:val="en-US" w:eastAsia="zh-CN"/>
              </w:rPr>
              <w:t>印尼华瑞电力有限公司</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highlight w:val="yellow"/>
              </w:rPr>
            </w:pPr>
            <w:r>
              <w:rPr>
                <w:rStyle w:val="7"/>
                <w:rFonts w:hint="default" w:ascii="仿宋" w:hAnsi="仿宋" w:eastAsia="仿宋" w:cs="仿宋"/>
                <w:b w:val="0"/>
                <w:sz w:val="21"/>
                <w:szCs w:val="21"/>
                <w:highlight w:val="none"/>
              </w:rPr>
              <w:t>1.</w:t>
            </w:r>
            <w:r>
              <w:rPr>
                <w:highlight w:val="none"/>
              </w:rPr>
              <w:t xml:space="preserve"> </w:t>
            </w:r>
            <w:r>
              <w:rPr>
                <w:rStyle w:val="7"/>
                <w:rFonts w:hint="default" w:ascii="仿宋" w:hAnsi="仿宋" w:eastAsia="仿宋" w:cs="仿宋"/>
                <w:b w:val="0"/>
                <w:sz w:val="21"/>
                <w:szCs w:val="21"/>
                <w:highlight w:val="none"/>
              </w:rPr>
              <w:t xml:space="preserve">Pembeli: </w:t>
            </w:r>
            <w:r>
              <w:rPr>
                <w:b/>
                <w:sz w:val="24"/>
                <w:szCs w:val="24"/>
                <w:highlight w:val="none"/>
              </w:rPr>
              <w:t xml:space="preserve"> </w:t>
            </w:r>
            <w:r>
              <w:rPr>
                <w:rStyle w:val="7"/>
                <w:rFonts w:hint="eastAsia" w:ascii="仿宋" w:hAnsi="仿宋" w:eastAsia="仿宋" w:cs="仿宋"/>
                <w:b w:val="0"/>
                <w:sz w:val="21"/>
                <w:szCs w:val="21"/>
                <w:highlight w:val="none"/>
              </w:rPr>
              <w:t>PT PEMBANGKITAN LISTRIK PINTAR ENERGI</w:t>
            </w:r>
          </w:p>
          <w:p>
            <w:pPr>
              <w:widowControl/>
              <w:adjustRightInd w:val="0"/>
              <w:snapToGrid w:val="0"/>
              <w:spacing w:line="320" w:lineRule="exact"/>
              <w:ind w:left="284" w:hanging="284"/>
              <w:textAlignment w:val="center"/>
              <w:rPr>
                <w:rStyle w:val="7"/>
                <w:rFonts w:hint="eastAsia" w:ascii="仿宋" w:hAnsi="仿宋" w:eastAsia="仿宋" w:cs="仿宋"/>
                <w:b w:val="0"/>
                <w:sz w:val="21"/>
                <w:szCs w:val="21"/>
                <w:highlight w:val="none"/>
                <w:lang w:val="en-US" w:eastAsia="zh-CN"/>
              </w:rPr>
            </w:pPr>
            <w:r>
              <w:rPr>
                <w:rStyle w:val="7"/>
                <w:rFonts w:hint="default" w:ascii="仿宋" w:hAnsi="仿宋" w:eastAsia="仿宋" w:cs="仿宋"/>
                <w:b w:val="0"/>
                <w:sz w:val="21"/>
                <w:szCs w:val="21"/>
              </w:rPr>
              <w:t>2. 联系人：技术</w:t>
            </w:r>
            <w:r>
              <w:rPr>
                <w:rStyle w:val="7"/>
                <w:rFonts w:hint="eastAsia" w:ascii="仿宋" w:hAnsi="仿宋" w:eastAsia="仿宋" w:cs="仿宋"/>
                <w:b w:val="0"/>
                <w:sz w:val="21"/>
                <w:szCs w:val="21"/>
                <w:lang w:eastAsia="zh-CN"/>
              </w:rPr>
              <w:t>：</w:t>
            </w:r>
            <w:r>
              <w:rPr>
                <w:rStyle w:val="7"/>
                <w:rFonts w:hint="eastAsia" w:ascii="仿宋" w:hAnsi="仿宋" w:eastAsia="仿宋" w:cs="仿宋"/>
                <w:b w:val="0"/>
                <w:sz w:val="21"/>
                <w:szCs w:val="21"/>
                <w:highlight w:val="none"/>
                <w:lang w:val="en-US" w:eastAsia="zh-CN"/>
              </w:rPr>
              <w:t>贾光华</w:t>
            </w:r>
            <w:r>
              <w:rPr>
                <w:rStyle w:val="7"/>
                <w:rFonts w:hint="default" w:ascii="仿宋" w:hAnsi="仿宋" w:eastAsia="仿宋" w:cs="仿宋"/>
                <w:b w:val="0"/>
                <w:sz w:val="21"/>
                <w:szCs w:val="21"/>
                <w:highlight w:val="none"/>
              </w:rPr>
              <w:t>，商务</w:t>
            </w:r>
            <w:r>
              <w:rPr>
                <w:rStyle w:val="7"/>
                <w:rFonts w:hint="eastAsia" w:ascii="仿宋" w:hAnsi="仿宋" w:eastAsia="仿宋" w:cs="仿宋"/>
                <w:b w:val="0"/>
                <w:sz w:val="21"/>
                <w:szCs w:val="21"/>
                <w:highlight w:val="none"/>
                <w:lang w:eastAsia="zh-CN"/>
              </w:rPr>
              <w:t>：</w:t>
            </w:r>
            <w:r>
              <w:rPr>
                <w:rStyle w:val="7"/>
                <w:rFonts w:hint="eastAsia" w:ascii="仿宋" w:hAnsi="仿宋" w:eastAsia="仿宋" w:cs="仿宋"/>
                <w:b w:val="0"/>
                <w:sz w:val="21"/>
                <w:szCs w:val="21"/>
                <w:highlight w:val="none"/>
                <w:lang w:val="en-US" w:eastAsia="zh-CN"/>
              </w:rPr>
              <w:t>于再军</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highlight w:val="none"/>
              </w:rPr>
              <w:t>2.</w:t>
            </w:r>
            <w:r>
              <w:rPr>
                <w:highlight w:val="none"/>
              </w:rPr>
              <w:t xml:space="preserve"> </w:t>
            </w:r>
            <w:r>
              <w:rPr>
                <w:rStyle w:val="7"/>
                <w:rFonts w:hint="default" w:ascii="仿宋" w:hAnsi="仿宋" w:eastAsia="仿宋" w:cs="仿宋"/>
                <w:b w:val="0"/>
                <w:sz w:val="21"/>
                <w:szCs w:val="21"/>
                <w:highlight w:val="none"/>
              </w:rPr>
              <w:t>Kontak: Teknis</w:t>
            </w:r>
            <w:r>
              <w:rPr>
                <w:rStyle w:val="7"/>
                <w:rFonts w:hint="eastAsia" w:ascii="仿宋" w:hAnsi="仿宋" w:eastAsia="仿宋" w:cs="仿宋"/>
                <w:b w:val="0"/>
                <w:sz w:val="21"/>
                <w:szCs w:val="21"/>
                <w:highlight w:val="none"/>
                <w:lang w:eastAsia="zh-CN"/>
              </w:rPr>
              <w:t>：</w:t>
            </w:r>
            <w:r>
              <w:rPr>
                <w:rStyle w:val="7"/>
                <w:rFonts w:hint="eastAsia" w:ascii="仿宋" w:hAnsi="仿宋" w:eastAsia="仿宋" w:cs="仿宋"/>
                <w:b w:val="0"/>
                <w:sz w:val="21"/>
                <w:szCs w:val="21"/>
                <w:highlight w:val="none"/>
                <w:lang w:val="en-US" w:eastAsia="zh-CN"/>
              </w:rPr>
              <w:t>Jia GuangHua</w:t>
            </w:r>
            <w:r>
              <w:rPr>
                <w:rStyle w:val="7"/>
                <w:rFonts w:hint="default" w:ascii="仿宋" w:hAnsi="仿宋" w:eastAsia="仿宋" w:cs="仿宋"/>
                <w:b w:val="0"/>
                <w:sz w:val="21"/>
                <w:szCs w:val="21"/>
                <w:highlight w:val="none"/>
              </w:rPr>
              <w:t xml:space="preserve"> </w:t>
            </w:r>
            <w:r>
              <w:rPr>
                <w:rStyle w:val="7"/>
                <w:rFonts w:hint="default" w:ascii="仿宋" w:hAnsi="仿宋" w:eastAsia="仿宋" w:cs="仿宋"/>
                <w:b w:val="0"/>
                <w:sz w:val="21"/>
                <w:szCs w:val="21"/>
              </w:rPr>
              <w:t>Komersial</w:t>
            </w:r>
            <w:r>
              <w:rPr>
                <w:rStyle w:val="7"/>
                <w:rFonts w:hint="eastAsia" w:ascii="仿宋" w:hAnsi="仿宋" w:eastAsia="仿宋" w:cs="仿宋"/>
                <w:b w:val="0"/>
                <w:sz w:val="21"/>
                <w:szCs w:val="21"/>
                <w:lang w:val="en-US" w:eastAsia="zh-CN"/>
              </w:rPr>
              <w:t>:Yu ZaiJun</w:t>
            </w:r>
            <w:r>
              <w:rPr>
                <w:rStyle w:val="7"/>
                <w:rFonts w:hint="default" w:ascii="仿宋" w:hAnsi="仿宋" w:eastAsia="仿宋" w:cs="仿宋"/>
                <w:b w:val="0"/>
                <w:sz w:val="21"/>
                <w:szCs w:val="21"/>
              </w:rPr>
              <w:t xml:space="preserve"> </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3. 报价专用邮箱：731465071@qq.com</w:t>
            </w:r>
            <w:r>
              <w:rPr>
                <w:rStyle w:val="7"/>
                <w:rFonts w:ascii="仿宋" w:hAnsi="仿宋" w:eastAsia="仿宋" w:cs="仿宋"/>
                <w:b w:val="0"/>
                <w:sz w:val="21"/>
                <w:szCs w:val="21"/>
              </w:rPr>
              <w:t>。最终报价文件只能发送该邮箱，否则不予认可，且邮件标题名称必须为“玻雅项目</w:t>
            </w:r>
            <w:r>
              <w:rPr>
                <w:rStyle w:val="7"/>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3.</w:t>
            </w:r>
            <w:r>
              <w:t xml:space="preserve"> </w:t>
            </w:r>
            <w:r>
              <w:rPr>
                <w:rStyle w:val="7"/>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ascii="仿宋" w:hAnsi="仿宋" w:eastAsia="仿宋" w:cs="仿宋"/>
                <w:b w:val="0"/>
                <w:sz w:val="21"/>
                <w:szCs w:val="21"/>
              </w:rPr>
              <w:t>澄清专用邮箱：</w:t>
            </w:r>
            <w:r>
              <w:rPr>
                <w:rStyle w:val="7"/>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highlight w:val="yellow"/>
              </w:rPr>
            </w:pPr>
            <w:r>
              <w:rPr>
                <w:rStyle w:val="7"/>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ascii="仿宋" w:hAnsi="仿宋" w:eastAsia="仿宋" w:cs="仿宋"/>
                <w:b w:val="0"/>
                <w:sz w:val="21"/>
                <w:szCs w:val="21"/>
              </w:rPr>
              <w:t>采购内容：详见报价表。</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4.</w:t>
            </w:r>
            <w:r>
              <w:t xml:space="preserve"> </w:t>
            </w:r>
            <w:r>
              <w:rPr>
                <w:rStyle w:val="7"/>
                <w:rFonts w:hint="default" w:ascii="仿宋" w:hAnsi="仿宋" w:eastAsia="仿宋" w:cs="仿宋"/>
                <w:b w:val="0"/>
                <w:sz w:val="21"/>
                <w:szCs w:val="21"/>
              </w:rPr>
              <w:t>Ruang Lingkup Pengadaan: Seperti tercantum dalam jadwal penawaran.</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ascii="仿宋" w:hAnsi="仿宋" w:eastAsia="仿宋" w:cs="仿宋"/>
                <w:b w:val="0"/>
                <w:sz w:val="21"/>
                <w:szCs w:val="21"/>
              </w:rPr>
              <w:t>采购方式：公开询比。</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5. Metode Pengadaan: Tender Terbuka dan Perbandingan.</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ascii="仿宋" w:hAnsi="仿宋" w:eastAsia="仿宋" w:cs="仿宋"/>
                <w:b w:val="0"/>
                <w:sz w:val="21"/>
                <w:szCs w:val="21"/>
              </w:rPr>
              <w:t>评审方法：经评审的最低价法，按照满足采购需求且报价最低原则按顺序推荐候选成交供应商。</w:t>
            </w:r>
          </w:p>
          <w:p>
            <w:pPr>
              <w:widowControl/>
              <w:adjustRightInd w:val="0"/>
              <w:snapToGrid w:val="0"/>
              <w:spacing w:line="320" w:lineRule="exact"/>
              <w:ind w:left="284" w:hanging="284"/>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rPr>
            </w:pPr>
            <w:r>
              <w:rPr>
                <w:rStyle w:val="7"/>
                <w:rFonts w:ascii="仿宋" w:hAnsi="仿宋" w:eastAsia="仿宋" w:cs="仿宋"/>
                <w:b w:val="0"/>
                <w:bCs/>
                <w:sz w:val="21"/>
                <w:szCs w:val="21"/>
              </w:rPr>
              <w:t>报价截止时间：</w:t>
            </w:r>
            <w:bookmarkStart w:id="0" w:name="OLE_LINK1"/>
            <w:r>
              <w:rPr>
                <w:rStyle w:val="7"/>
                <w:rFonts w:hint="eastAsia" w:ascii="仿宋" w:hAnsi="仿宋" w:eastAsia="仿宋" w:cs="仿宋"/>
                <w:b w:val="0"/>
                <w:bCs/>
                <w:sz w:val="21"/>
                <w:szCs w:val="21"/>
                <w:highlight w:val="none"/>
                <w:lang w:val="en-US" w:eastAsia="zh-CN"/>
              </w:rPr>
              <w:t>2026</w:t>
            </w:r>
            <w:r>
              <w:rPr>
                <w:rStyle w:val="7"/>
                <w:rFonts w:hint="default" w:ascii="仿宋" w:hAnsi="仿宋" w:eastAsia="仿宋" w:cs="仿宋"/>
                <w:b w:val="0"/>
                <w:bCs/>
                <w:sz w:val="21"/>
                <w:szCs w:val="21"/>
                <w:highlight w:val="none"/>
              </w:rPr>
              <w:t>年</w:t>
            </w:r>
            <w:r>
              <w:rPr>
                <w:rStyle w:val="7"/>
                <w:rFonts w:hint="eastAsia" w:ascii="仿宋" w:hAnsi="仿宋" w:eastAsia="仿宋" w:cs="仿宋"/>
                <w:b w:val="0"/>
                <w:bCs/>
                <w:sz w:val="21"/>
                <w:szCs w:val="21"/>
                <w:highlight w:val="none"/>
                <w:lang w:val="en-US" w:eastAsia="zh-CN"/>
              </w:rPr>
              <w:t>1</w:t>
            </w:r>
            <w:r>
              <w:rPr>
                <w:rStyle w:val="7"/>
                <w:rFonts w:hint="default" w:ascii="仿宋" w:hAnsi="仿宋" w:eastAsia="仿宋" w:cs="仿宋"/>
                <w:b w:val="0"/>
                <w:bCs/>
                <w:sz w:val="21"/>
                <w:szCs w:val="21"/>
                <w:highlight w:val="none"/>
              </w:rPr>
              <w:t>月</w:t>
            </w:r>
            <w:r>
              <w:rPr>
                <w:rStyle w:val="7"/>
                <w:rFonts w:hint="eastAsia" w:ascii="仿宋" w:hAnsi="仿宋" w:eastAsia="仿宋" w:cs="仿宋"/>
                <w:b w:val="0"/>
                <w:bCs/>
                <w:sz w:val="21"/>
                <w:szCs w:val="21"/>
                <w:highlight w:val="none"/>
                <w:lang w:val="en-US" w:eastAsia="zh-CN"/>
              </w:rPr>
              <w:t>24</w:t>
            </w:r>
            <w:r>
              <w:rPr>
                <w:rStyle w:val="7"/>
                <w:rFonts w:hint="default" w:ascii="仿宋" w:hAnsi="仿宋" w:eastAsia="仿宋" w:cs="仿宋"/>
                <w:b w:val="0"/>
                <w:bCs/>
                <w:sz w:val="21"/>
                <w:szCs w:val="21"/>
              </w:rPr>
              <w:t>日</w:t>
            </w:r>
            <w:r>
              <w:rPr>
                <w:rStyle w:val="7"/>
                <w:rFonts w:hint="eastAsia" w:ascii="仿宋" w:hAnsi="仿宋" w:eastAsia="仿宋" w:cs="仿宋"/>
                <w:b w:val="0"/>
                <w:bCs/>
                <w:sz w:val="21"/>
                <w:szCs w:val="21"/>
                <w:lang w:val="en-US" w:eastAsia="zh-CN"/>
              </w:rPr>
              <w:t>17</w:t>
            </w:r>
            <w:r>
              <w:rPr>
                <w:rStyle w:val="7"/>
                <w:rFonts w:hint="default" w:ascii="仿宋" w:hAnsi="仿宋" w:eastAsia="仿宋" w:cs="仿宋"/>
                <w:b w:val="0"/>
                <w:bCs/>
                <w:sz w:val="21"/>
                <w:szCs w:val="21"/>
              </w:rPr>
              <w:t>：</w:t>
            </w:r>
            <w:r>
              <w:rPr>
                <w:rStyle w:val="7"/>
                <w:rFonts w:hint="eastAsia" w:ascii="仿宋" w:hAnsi="仿宋" w:eastAsia="仿宋" w:cs="仿宋"/>
                <w:b w:val="0"/>
                <w:bCs/>
                <w:sz w:val="21"/>
                <w:szCs w:val="21"/>
                <w:lang w:eastAsia="zh-CN"/>
              </w:rPr>
              <w:t>0</w:t>
            </w:r>
            <w:r>
              <w:rPr>
                <w:rStyle w:val="7"/>
                <w:rFonts w:hint="eastAsia" w:ascii="仿宋" w:hAnsi="仿宋" w:eastAsia="仿宋" w:cs="仿宋"/>
                <w:b w:val="0"/>
                <w:bCs/>
                <w:sz w:val="21"/>
                <w:szCs w:val="21"/>
                <w:lang w:val="en-US" w:eastAsia="zh-CN"/>
              </w:rPr>
              <w:t>0</w:t>
            </w:r>
            <w:r>
              <w:rPr>
                <w:rStyle w:val="7"/>
                <w:rFonts w:hint="default" w:ascii="仿宋" w:hAnsi="仿宋" w:eastAsia="仿宋" w:cs="仿宋"/>
                <w:b w:val="0"/>
                <w:bCs/>
                <w:sz w:val="21"/>
                <w:szCs w:val="21"/>
              </w:rPr>
              <w:t>点前</w:t>
            </w:r>
            <w:bookmarkEnd w:id="0"/>
            <w:r>
              <w:rPr>
                <w:rStyle w:val="7"/>
                <w:rFonts w:hint="default" w:ascii="仿宋" w:hAnsi="仿宋" w:eastAsia="仿宋" w:cs="仿宋"/>
                <w:b w:val="0"/>
                <w:bCs/>
                <w:sz w:val="21"/>
                <w:szCs w:val="21"/>
              </w:rPr>
              <w:t>（雅加达时间）。</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rPr>
            </w:pPr>
            <w:r>
              <w:rPr>
                <w:rStyle w:val="7"/>
                <w:rFonts w:hint="default" w:ascii="仿宋" w:hAnsi="仿宋" w:eastAsia="仿宋" w:cs="仿宋"/>
                <w:b w:val="0"/>
                <w:bCs/>
                <w:sz w:val="21"/>
                <w:szCs w:val="21"/>
              </w:rPr>
              <w:t>7. Batas Waktu Penawaran: Sebelum pukul 1</w:t>
            </w:r>
            <w:r>
              <w:rPr>
                <w:rStyle w:val="7"/>
                <w:rFonts w:hint="eastAsia" w:ascii="仿宋" w:hAnsi="仿宋" w:eastAsia="仿宋" w:cs="仿宋"/>
                <w:b w:val="0"/>
                <w:bCs/>
                <w:sz w:val="21"/>
                <w:szCs w:val="21"/>
                <w:lang w:val="en-US" w:eastAsia="zh-CN"/>
              </w:rPr>
              <w:t>7</w:t>
            </w:r>
            <w:r>
              <w:rPr>
                <w:rStyle w:val="7"/>
                <w:rFonts w:hint="default" w:ascii="仿宋" w:hAnsi="仿宋" w:eastAsia="仿宋" w:cs="仿宋"/>
                <w:b w:val="0"/>
                <w:bCs/>
                <w:sz w:val="21"/>
                <w:szCs w:val="21"/>
              </w:rPr>
              <w:t xml:space="preserve">:00 pagi pada tanggal </w:t>
            </w:r>
            <w:r>
              <w:rPr>
                <w:rStyle w:val="7"/>
                <w:rFonts w:hint="eastAsia" w:ascii="仿宋" w:hAnsi="仿宋" w:eastAsia="仿宋" w:cs="仿宋"/>
                <w:b w:val="0"/>
                <w:bCs/>
                <w:sz w:val="21"/>
                <w:szCs w:val="21"/>
                <w:lang w:val="en-US" w:eastAsia="zh-CN"/>
              </w:rPr>
              <w:t>24</w:t>
            </w:r>
            <w:r>
              <w:rPr>
                <w:rStyle w:val="7"/>
                <w:rFonts w:hint="default" w:ascii="仿宋" w:hAnsi="仿宋" w:eastAsia="仿宋" w:cs="仿宋"/>
                <w:b w:val="0"/>
                <w:bCs/>
                <w:sz w:val="21"/>
                <w:szCs w:val="21"/>
              </w:rPr>
              <w:t xml:space="preserve"> Januari 2026 (Waktu Jakarta).</w:t>
            </w:r>
          </w:p>
          <w:p>
            <w:pPr>
              <w:widowControl/>
              <w:numPr>
                <w:ilvl w:val="-1"/>
                <w:numId w:val="0"/>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ascii="仿宋" w:hAnsi="仿宋" w:eastAsia="仿宋" w:cs="仿宋"/>
                <w:b w:val="0"/>
                <w:bCs/>
                <w:sz w:val="21"/>
                <w:szCs w:val="21"/>
              </w:rPr>
              <w:t>送货地址：</w:t>
            </w:r>
            <w:r>
              <w:rPr>
                <w:rStyle w:val="7"/>
                <w:rFonts w:hint="default" w:ascii="仿宋" w:hAnsi="仿宋" w:eastAsia="仿宋" w:cs="仿宋"/>
                <w:b w:val="0"/>
                <w:bCs/>
                <w:sz w:val="21"/>
                <w:szCs w:val="21"/>
              </w:rPr>
              <w:t>PT. CHD Power Plant Operation Indonesia" PLTU SUMSEL 8 Desa Tanjung Lalang, Tanjung Agung, Kabupaten Muara Enim, Sumatera Selata</w:t>
            </w:r>
            <w:r>
              <w:rPr>
                <w:rStyle w:val="7"/>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widowControl/>
              <w:adjustRightInd w:val="0"/>
              <w:snapToGrid w:val="0"/>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采购监督投诉受理邮箱</w:t>
            </w:r>
            <w:r>
              <w:rPr>
                <w:rStyle w:val="7"/>
                <w:rFonts w:hint="eastAsia" w:ascii="仿宋" w:hAnsi="仿宋" w:eastAsia="仿宋" w:cs="仿宋"/>
                <w:b w:val="0"/>
                <w:bCs/>
                <w:sz w:val="21"/>
                <w:szCs w:val="21"/>
                <w:lang w:val="en-US" w:eastAsia="zh-CN" w:bidi="ar"/>
              </w:rPr>
              <w:t>:</w:t>
            </w:r>
            <w:r>
              <w:rPr>
                <w:rStyle w:val="7"/>
                <w:rFonts w:hint="default" w:ascii="仿宋" w:hAnsi="仿宋" w:eastAsia="仿宋" w:cs="仿宋"/>
                <w:b w:val="0"/>
                <w:bCs/>
                <w:sz w:val="21"/>
                <w:szCs w:val="21"/>
                <w:lang w:bidi="ar"/>
              </w:rPr>
              <w:t>info-sumsel8@chdoc.co.id。</w:t>
            </w:r>
          </w:p>
          <w:p>
            <w:pPr>
              <w:widowControl/>
              <w:adjustRightInd w:val="0"/>
              <w:snapToGrid w:val="0"/>
              <w:spacing w:line="320" w:lineRule="exact"/>
              <w:ind w:left="284" w:hanging="284"/>
              <w:textAlignment w:val="center"/>
              <w:rPr>
                <w:rStyle w:val="4"/>
                <w:bCs/>
                <w:lang w:bidi="ar"/>
              </w:rPr>
            </w:pPr>
            <w:r>
              <w:rPr>
                <w:rStyle w:val="7"/>
                <w:rFonts w:hint="default" w:ascii="仿宋" w:hAnsi="仿宋" w:eastAsia="仿宋" w:cs="仿宋"/>
                <w:b w:val="0"/>
                <w:bCs/>
                <w:sz w:val="21"/>
                <w:szCs w:val="21"/>
                <w:lang w:bidi="ar"/>
              </w:rPr>
              <w:t>9. Alamat Email Pengaduan Pengawasan Pengadaan: info-sumsel8@chdoc.co.id.</w:t>
            </w:r>
          </w:p>
          <w:p>
            <w:pPr>
              <w:widowControl/>
              <w:adjustRightInd w:val="0"/>
              <w:snapToGrid w:val="0"/>
              <w:spacing w:line="320" w:lineRule="exact"/>
              <w:ind w:left="284" w:hanging="284"/>
              <w:textAlignment w:val="center"/>
              <w:rPr>
                <w:rFonts w:ascii="仿宋" w:hAnsi="仿宋" w:eastAsia="仿宋" w:cs="仿宋"/>
                <w:b/>
                <w:bCs/>
                <w:szCs w:val="21"/>
                <w:lang w:bidi="ar"/>
              </w:rPr>
            </w:pP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二、报价说明</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II. Spesifikasi Penawaran</w:t>
            </w:r>
          </w:p>
          <w:p>
            <w:pPr>
              <w:widowControl/>
              <w:adjustRightInd w:val="0"/>
              <w:snapToGrid w:val="0"/>
              <w:ind w:left="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widowControl/>
              <w:adjustRightInd w:val="0"/>
              <w:snapToGrid w:val="0"/>
              <w:ind w:left="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3. 供货周期：</w:t>
            </w:r>
            <w:r>
              <w:rPr>
                <w:rStyle w:val="7"/>
                <w:rFonts w:hint="eastAsia" w:ascii="仿宋" w:hAnsi="仿宋" w:eastAsia="仿宋" w:cs="仿宋"/>
                <w:b w:val="0"/>
                <w:bCs/>
                <w:sz w:val="21"/>
                <w:szCs w:val="21"/>
                <w:highlight w:val="none"/>
                <w:lang w:val="en-US" w:eastAsia="zh-CN" w:bidi="ar"/>
              </w:rPr>
              <w:t>以采购清单要求为准</w:t>
            </w:r>
            <w:r>
              <w:rPr>
                <w:rStyle w:val="7"/>
                <w:rFonts w:hint="default" w:ascii="仿宋" w:hAnsi="仿宋" w:eastAsia="仿宋" w:cs="仿宋"/>
                <w:b w:val="0"/>
                <w:bCs/>
                <w:sz w:val="21"/>
                <w:szCs w:val="21"/>
                <w:lang w:bidi="ar"/>
              </w:rPr>
              <w:t>，如有特殊产品交货期晚于该时间，经确认后可适当延长。</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3.</w:t>
            </w:r>
            <w:r>
              <w:rPr>
                <w:rStyle w:val="7"/>
                <w:rFonts w:hint="default" w:ascii="仿宋" w:hAnsi="仿宋" w:eastAsia="仿宋" w:cs="仿宋"/>
                <w:b w:val="0"/>
                <w:bCs/>
                <w:color w:val="auto"/>
                <w:sz w:val="21"/>
                <w:szCs w:val="21"/>
                <w:shd w:val="clear" w:color="auto" w:fill="auto"/>
                <w:lang w:bidi="ar"/>
              </w:rPr>
              <w:t xml:space="preserve"> Masa Pengiriman</w:t>
            </w:r>
            <w:r>
              <w:rPr>
                <w:rStyle w:val="7"/>
                <w:rFonts w:hint="eastAsia" w:ascii="仿宋" w:hAnsi="仿宋" w:eastAsia="仿宋" w:cs="仿宋"/>
                <w:b w:val="0"/>
                <w:bCs/>
                <w:color w:val="auto"/>
                <w:sz w:val="21"/>
                <w:szCs w:val="21"/>
                <w:lang w:val="en-US" w:eastAsia="zh-CN" w:bidi="ar"/>
              </w:rPr>
              <w:t>:</w:t>
            </w:r>
            <w:r>
              <w:rPr>
                <w:rStyle w:val="7"/>
                <w:rFonts w:hint="default" w:ascii="仿宋" w:hAnsi="仿宋" w:eastAsia="仿宋" w:cs="仿宋"/>
                <w:b w:val="0"/>
                <w:bCs/>
                <w:color w:val="auto"/>
                <w:sz w:val="21"/>
                <w:szCs w:val="21"/>
                <w:lang w:bidi="ar"/>
              </w:rPr>
              <w:t>Waktu pengiriman untuk produk khusus akan tunduk pada persyaratan daftar pembelian. Jika waktu pengiriman lebih lambat dari waktu yang ditentukan, waktu tersebut dapat diperpanjang sesuai kebutuhan setelah konfirmasi.</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5. 付款方式：</w:t>
            </w:r>
            <w:r>
              <w:rPr>
                <w:rStyle w:val="7"/>
                <w:rFonts w:hint="eastAsia" w:ascii="仿宋" w:hAnsi="仿宋" w:eastAsia="仿宋" w:cs="仿宋"/>
                <w:b w:val="0"/>
                <w:bCs/>
                <w:sz w:val="21"/>
                <w:szCs w:val="21"/>
                <w:lang w:val="en-US" w:eastAsia="zh-CN" w:bidi="ar"/>
              </w:rPr>
              <w:t>分批次付款，</w:t>
            </w:r>
            <w:r>
              <w:rPr>
                <w:rStyle w:val="7"/>
                <w:rFonts w:hint="default" w:ascii="仿宋" w:hAnsi="仿宋" w:eastAsia="仿宋" w:cs="仿宋"/>
                <w:b w:val="0"/>
                <w:bCs/>
                <w:sz w:val="21"/>
                <w:szCs w:val="21"/>
                <w:lang w:bidi="ar"/>
              </w:rPr>
              <w:t>货到验收合格后通过银行转账付款，报价人应具有银行对公账户。</w:t>
            </w:r>
            <w:bookmarkStart w:id="1" w:name="_GoBack"/>
            <w:bookmarkEnd w:id="1"/>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5. Metode Pembayaran: Pembayaran secara mencicil</w:t>
            </w:r>
            <w:r>
              <w:rPr>
                <w:rStyle w:val="7"/>
                <w:rFonts w:hint="eastAsia" w:ascii="仿宋" w:hAnsi="仿宋" w:eastAsia="仿宋" w:cs="仿宋"/>
                <w:b w:val="0"/>
                <w:bCs/>
                <w:sz w:val="21"/>
                <w:szCs w:val="21"/>
                <w:lang w:eastAsia="zh-CN" w:bidi="ar"/>
              </w:rPr>
              <w:t>，</w:t>
            </w:r>
            <w:r>
              <w:rPr>
                <w:rStyle w:val="7"/>
                <w:rFonts w:hint="eastAsia" w:ascii="仿宋" w:hAnsi="仿宋" w:eastAsia="仿宋" w:cs="仿宋"/>
                <w:b w:val="0"/>
                <w:bCs/>
                <w:sz w:val="21"/>
                <w:szCs w:val="21"/>
                <w:lang w:val="en-US" w:eastAsia="zh-CN" w:bidi="ar"/>
              </w:rPr>
              <w:t>p</w:t>
            </w:r>
            <w:r>
              <w:rPr>
                <w:rStyle w:val="7"/>
                <w:rFonts w:hint="default" w:ascii="仿宋" w:hAnsi="仿宋" w:eastAsia="仿宋" w:cs="仿宋"/>
                <w:b w:val="0"/>
                <w:bCs/>
                <w:sz w:val="21"/>
                <w:szCs w:val="21"/>
                <w:lang w:bidi="ar"/>
              </w:rPr>
              <w:t>embayaran akan dilakukan melalui transfer bank setelah pengiriman dan penerimaan barang berhasil. Penyedia penawaran harus memiliki rekening bank korporasi.</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val="en-US" w:eastAsia="zh-CN" w:bidi="ar"/>
              </w:rPr>
            </w:pPr>
            <w:r>
              <w:rPr>
                <w:rStyle w:val="7"/>
                <w:rFonts w:hint="default" w:ascii="仿宋" w:hAnsi="仿宋" w:eastAsia="仿宋" w:cs="仿宋"/>
                <w:b w:val="0"/>
                <w:bCs/>
                <w:sz w:val="21"/>
                <w:szCs w:val="21"/>
                <w:lang w:bidi="ar"/>
              </w:rPr>
              <w:t>6. 质保金</w:t>
            </w:r>
            <w:r>
              <w:rPr>
                <w:rStyle w:val="7"/>
                <w:rFonts w:hint="default" w:ascii="仿宋" w:hAnsi="仿宋" w:eastAsia="仿宋" w:cs="仿宋"/>
                <w:b w:val="0"/>
                <w:bCs/>
                <w:sz w:val="21"/>
                <w:szCs w:val="21"/>
                <w:highlight w:val="none"/>
                <w:lang w:bidi="ar"/>
              </w:rPr>
              <w:t>：</w:t>
            </w:r>
            <w:r>
              <w:rPr>
                <w:rStyle w:val="7"/>
                <w:rFonts w:hint="default" w:ascii="仿宋" w:hAnsi="仿宋" w:eastAsia="仿宋" w:cs="仿宋"/>
                <w:b w:val="0"/>
                <w:bCs/>
                <w:sz w:val="21"/>
                <w:szCs w:val="21"/>
                <w:highlight w:val="none"/>
                <w:lang w:bidi="ar"/>
              </w:rPr>
              <w:sym w:font="Wingdings 2" w:char="00A3"/>
            </w:r>
            <w:r>
              <w:rPr>
                <w:rStyle w:val="7"/>
                <w:rFonts w:hint="default" w:ascii="仿宋" w:hAnsi="仿宋" w:eastAsia="仿宋" w:cs="仿宋"/>
                <w:b w:val="0"/>
                <w:bCs/>
                <w:sz w:val="21"/>
                <w:szCs w:val="21"/>
                <w:highlight w:val="none"/>
                <w:lang w:bidi="ar"/>
              </w:rPr>
              <w:t>不适用。</w:t>
            </w:r>
            <w:r>
              <w:rPr>
                <w:rStyle w:val="7"/>
                <w:rFonts w:hint="default" w:ascii="仿宋" w:hAnsi="仿宋" w:eastAsia="仿宋" w:cs="仿宋"/>
                <w:b w:val="0"/>
                <w:bCs/>
                <w:sz w:val="21"/>
                <w:szCs w:val="21"/>
                <w:lang w:bidi="ar"/>
              </w:rPr>
              <w:sym w:font="Wingdings 2" w:char="0052"/>
            </w:r>
            <w:r>
              <w:rPr>
                <w:rStyle w:val="7"/>
                <w:rFonts w:hint="default" w:ascii="仿宋" w:hAnsi="仿宋" w:eastAsia="仿宋" w:cs="仿宋"/>
                <w:b w:val="0"/>
                <w:bCs/>
                <w:sz w:val="21"/>
                <w:szCs w:val="21"/>
                <w:lang w:bidi="ar"/>
              </w:rPr>
              <w:t>适用：合同总额的</w:t>
            </w:r>
            <w:r>
              <w:rPr>
                <w:rStyle w:val="7"/>
                <w:rFonts w:hint="eastAsia" w:ascii="仿宋" w:hAnsi="仿宋" w:eastAsia="仿宋" w:cs="仿宋"/>
                <w:b w:val="0"/>
                <w:bCs/>
                <w:sz w:val="21"/>
                <w:szCs w:val="21"/>
                <w:u w:val="single"/>
                <w:lang w:val="en-US" w:eastAsia="zh-CN" w:bidi="ar"/>
              </w:rPr>
              <w:t>3%</w:t>
            </w:r>
            <w:r>
              <w:rPr>
                <w:rStyle w:val="7"/>
                <w:rFonts w:hint="default" w:ascii="仿宋" w:hAnsi="仿宋" w:eastAsia="仿宋" w:cs="仿宋"/>
                <w:b w:val="0"/>
                <w:bCs/>
                <w:sz w:val="21"/>
                <w:szCs w:val="21"/>
                <w:lang w:bidi="ar"/>
              </w:rPr>
              <w:t>，期限</w:t>
            </w:r>
            <w:r>
              <w:rPr>
                <w:rStyle w:val="7"/>
                <w:rFonts w:hint="eastAsia" w:ascii="仿宋" w:hAnsi="仿宋" w:eastAsia="仿宋" w:cs="仿宋"/>
                <w:b w:val="0"/>
                <w:bCs/>
                <w:sz w:val="21"/>
                <w:szCs w:val="21"/>
                <w:u w:val="single"/>
                <w:lang w:val="en-US" w:eastAsia="zh-CN" w:bidi="ar"/>
              </w:rPr>
              <w:t>6个月</w:t>
            </w:r>
            <w:r>
              <w:rPr>
                <w:rStyle w:val="7"/>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 xml:space="preserve">6. Deposit Retensi: </w:t>
            </w:r>
            <w:r>
              <w:rPr>
                <w:rStyle w:val="7"/>
                <w:rFonts w:hint="default" w:ascii="仿宋" w:hAnsi="仿宋" w:eastAsia="仿宋" w:cs="仿宋"/>
                <w:b w:val="0"/>
                <w:bCs/>
                <w:sz w:val="21"/>
                <w:szCs w:val="21"/>
                <w:lang w:bidi="ar"/>
              </w:rPr>
              <w:sym w:font="Wingdings 2" w:char="00A3"/>
            </w:r>
            <w:r>
              <w:rPr>
                <w:rStyle w:val="7"/>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52"/>
            </w:r>
            <w:r>
              <w:rPr>
                <w:rStyle w:val="7"/>
                <w:rFonts w:hint="default" w:ascii="仿宋" w:hAnsi="仿宋" w:eastAsia="仿宋" w:cs="仿宋"/>
                <w:b w:val="0"/>
                <w:bCs/>
                <w:sz w:val="21"/>
                <w:szCs w:val="21"/>
                <w:lang w:bidi="ar"/>
              </w:rPr>
              <w:t xml:space="preserve"> Berlaku: </w:t>
            </w:r>
            <w:r>
              <w:rPr>
                <w:rStyle w:val="7"/>
                <w:rFonts w:hint="eastAsia" w:ascii="仿宋" w:hAnsi="仿宋" w:eastAsia="仿宋" w:cs="仿宋"/>
                <w:b w:val="0"/>
                <w:bCs/>
                <w:sz w:val="21"/>
                <w:szCs w:val="21"/>
                <w:lang w:val="en-US" w:eastAsia="zh-CN" w:bidi="ar"/>
              </w:rPr>
              <w:t>3% dari total nilai kontrak, dengan jangka waktu 6 bulan.</w:t>
            </w:r>
            <w:r>
              <w:rPr>
                <w:rStyle w:val="7"/>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Fonts w:ascii="仿宋" w:hAnsi="仿宋" w:eastAsia="仿宋" w:cs="仿宋"/>
                <w:bCs/>
                <w:color w:val="000000"/>
                <w:kern w:val="0"/>
                <w:szCs w:val="21"/>
                <w:lang w:bidi="ar"/>
              </w:rPr>
            </w:pPr>
            <w:r>
              <w:rPr>
                <w:rStyle w:val="7"/>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tc>
      </w:tr>
    </w:tbl>
    <w:p>
      <w:pPr>
        <w:widowControl/>
        <w:adjustRightInd w:val="0"/>
        <w:snapToGrid w:val="0"/>
        <w:spacing w:line="320" w:lineRule="exact"/>
        <w:textAlignment w:val="center"/>
        <w:rPr>
          <w:rStyle w:val="7"/>
          <w:rFonts w:hint="default" w:ascii="仿宋" w:hAnsi="仿宋" w:eastAsia="仿宋" w:cs="仿宋"/>
          <w:b w:val="0"/>
          <w:bCs/>
          <w:sz w:val="21"/>
          <w:szCs w:val="21"/>
          <w:lang w:bidi="ar"/>
        </w:rPr>
        <w:sectPr>
          <w:pgSz w:w="11906" w:h="16838"/>
          <w:pgMar w:top="907" w:right="850" w:bottom="1134" w:left="1134" w:header="851" w:footer="992" w:gutter="0"/>
          <w:cols w:space="425" w:num="1"/>
          <w:docGrid w:type="lines" w:linePitch="312" w:charSpace="0"/>
        </w:sectPr>
      </w:pPr>
    </w:p>
    <w:p>
      <w:pPr>
        <w:widowControl/>
        <w:adjustRightInd w:val="0"/>
        <w:snapToGrid w:val="0"/>
        <w:spacing w:line="320" w:lineRule="exact"/>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三、报价表</w:t>
      </w:r>
    </w:p>
    <w:p>
      <w:pP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III. Formulir Penawaran</w:t>
      </w:r>
    </w:p>
    <w:tbl>
      <w:tblPr>
        <w:tblStyle w:val="3"/>
        <w:tblW w:w="1501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1446"/>
        <w:gridCol w:w="2016"/>
        <w:gridCol w:w="1440"/>
        <w:gridCol w:w="1440"/>
        <w:gridCol w:w="1440"/>
        <w:gridCol w:w="1440"/>
        <w:gridCol w:w="1480"/>
        <w:gridCol w:w="1451"/>
        <w:gridCol w:w="1441"/>
        <w:tblGridChange w:id="0">
          <w:tblGrid>
            <w:gridCol w:w="1419"/>
            <w:gridCol w:w="1446"/>
            <w:gridCol w:w="2016"/>
            <w:gridCol w:w="1440"/>
            <w:gridCol w:w="1440"/>
            <w:gridCol w:w="1440"/>
            <w:gridCol w:w="1440"/>
            <w:gridCol w:w="1480"/>
            <w:gridCol w:w="1451"/>
            <w:gridCol w:w="1441"/>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No. Seri</w:t>
            </w:r>
          </w:p>
        </w:tc>
        <w:tc>
          <w:tcPr>
            <w:tcW w:w="1446"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Nama Barang</w:t>
            </w:r>
          </w:p>
        </w:tc>
        <w:tc>
          <w:tcPr>
            <w:tcW w:w="2016"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Spesifikasi/Model</w:t>
            </w:r>
          </w:p>
        </w:tc>
        <w:tc>
          <w:tcPr>
            <w:tcW w:w="1440"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Satuan</w:t>
            </w:r>
          </w:p>
        </w:tc>
        <w:tc>
          <w:tcPr>
            <w:tcW w:w="1440"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Cs/>
                <w:color w:val="000000"/>
                <w:szCs w:val="21"/>
              </w:rPr>
              <w:t>Jumlah</w:t>
            </w:r>
          </w:p>
        </w:tc>
        <w:tc>
          <w:tcPr>
            <w:tcW w:w="1440"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 w:val="0"/>
                <w:bCs/>
                <w:color w:val="000000"/>
                <w:szCs w:val="21"/>
                <w:lang w:bidi="ar"/>
              </w:rPr>
              <w:t>Harga Satuan (IDR)</w:t>
            </w:r>
          </w:p>
        </w:tc>
        <w:tc>
          <w:tcPr>
            <w:tcW w:w="1440" w:type="dxa"/>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Style w:val="11"/>
                <w:rFonts w:hint="default" w:ascii="仿宋" w:hAnsi="仿宋" w:eastAsia="仿宋" w:cs="仿宋"/>
                <w:b w:val="0"/>
                <w:bCs/>
                <w:sz w:val="21"/>
                <w:szCs w:val="21"/>
                <w:lang w:bidi="ar"/>
              </w:rPr>
              <w:t>Harga Total (IDR)</w:t>
            </w:r>
          </w:p>
        </w:tc>
        <w:tc>
          <w:tcPr>
            <w:tcW w:w="1480" w:type="dxa"/>
            <w:vAlign w:val="top"/>
          </w:tcPr>
          <w:p>
            <w:pPr>
              <w:widowControl/>
              <w:adjustRightInd w:val="0"/>
              <w:snapToGrid w:val="0"/>
              <w:spacing w:line="240" w:lineRule="auto"/>
              <w:jc w:val="center"/>
              <w:textAlignment w:val="center"/>
              <w:rPr>
                <w:rStyle w:val="7"/>
                <w:rFonts w:hint="eastAsia" w:ascii="仿宋" w:hAnsi="仿宋" w:eastAsia="仿宋" w:cs="仿宋"/>
                <w:b w:val="0"/>
                <w:bCs/>
                <w:sz w:val="21"/>
                <w:szCs w:val="21"/>
                <w:vertAlign w:val="baseline"/>
                <w:lang w:val="en-US" w:eastAsia="zh-CN" w:bidi="ar"/>
              </w:rPr>
            </w:pPr>
            <w:r>
              <w:rPr>
                <w:rStyle w:val="7"/>
                <w:rFonts w:hint="eastAsia" w:ascii="仿宋" w:hAnsi="仿宋" w:eastAsia="仿宋" w:cs="仿宋"/>
                <w:b w:val="0"/>
                <w:bCs/>
                <w:sz w:val="21"/>
                <w:szCs w:val="21"/>
                <w:vertAlign w:val="baseline"/>
                <w:lang w:val="en-US" w:eastAsia="zh-CN" w:bidi="ar"/>
              </w:rPr>
              <w:t>到货日期</w:t>
            </w:r>
          </w:p>
          <w:p>
            <w:pPr>
              <w:widowControl/>
              <w:adjustRightInd w:val="0"/>
              <w:snapToGrid w:val="0"/>
              <w:spacing w:line="240" w:lineRule="auto"/>
              <w:jc w:val="center"/>
              <w:textAlignment w:val="center"/>
              <w:rPr>
                <w:rStyle w:val="7"/>
                <w:rFonts w:hint="default" w:ascii="仿宋" w:hAnsi="仿宋" w:eastAsia="仿宋" w:cs="仿宋"/>
                <w:b w:val="0"/>
                <w:bCs/>
                <w:sz w:val="21"/>
                <w:szCs w:val="21"/>
                <w:vertAlign w:val="baseline"/>
                <w:lang w:bidi="ar"/>
              </w:rPr>
            </w:pPr>
            <w:r>
              <w:rPr>
                <w:rStyle w:val="7"/>
                <w:rFonts w:hint="default" w:ascii="仿宋" w:hAnsi="仿宋" w:eastAsia="仿宋" w:cs="仿宋"/>
                <w:b w:val="0"/>
                <w:bCs/>
                <w:sz w:val="21"/>
                <w:szCs w:val="21"/>
                <w:vertAlign w:val="baseline"/>
                <w:lang w:val="en-US" w:eastAsia="zh-CN" w:bidi="ar"/>
              </w:rPr>
              <w:t>Tanggal kedatangan</w:t>
            </w:r>
          </w:p>
        </w:tc>
        <w:tc>
          <w:tcPr>
            <w:tcW w:w="1451" w:type="dxa"/>
            <w:vAlign w:val="center"/>
          </w:tcPr>
          <w:p>
            <w:pPr>
              <w:widowControl/>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备注</w:t>
            </w:r>
          </w:p>
          <w:p>
            <w:pPr>
              <w:widowControl/>
              <w:jc w:val="center"/>
              <w:textAlignment w:val="center"/>
              <w:rPr>
                <w:rStyle w:val="7"/>
                <w:rFonts w:hint="default" w:ascii="仿宋" w:hAnsi="仿宋" w:eastAsia="仿宋" w:cs="仿宋"/>
                <w:b w:val="0"/>
                <w:bCs/>
                <w:sz w:val="21"/>
                <w:szCs w:val="21"/>
                <w:vertAlign w:val="baseline"/>
                <w:lang w:bidi="ar"/>
              </w:rPr>
            </w:pPr>
            <w:r>
              <w:rPr>
                <w:rFonts w:ascii="仿宋" w:hAnsi="仿宋" w:eastAsia="仿宋" w:cs="仿宋"/>
                <w:b w:val="0"/>
                <w:bCs/>
                <w:color w:val="000000"/>
                <w:szCs w:val="21"/>
              </w:rPr>
              <w:t>Catatan</w:t>
            </w:r>
          </w:p>
        </w:tc>
        <w:tc>
          <w:tcPr>
            <w:tcW w:w="1441" w:type="dxa"/>
            <w:vAlign w:val="center"/>
          </w:tcPr>
          <w:p>
            <w:pPr>
              <w:widowControl/>
              <w:jc w:val="center"/>
              <w:textAlignment w:val="center"/>
              <w:rPr>
                <w:rFonts w:hint="eastAsia" w:ascii="仿宋" w:hAnsi="仿宋" w:eastAsia="仿宋" w:cs="仿宋"/>
                <w:b w:val="0"/>
                <w:bCs/>
                <w:color w:val="000000"/>
                <w:szCs w:val="21"/>
              </w:rPr>
            </w:pPr>
            <w:r>
              <w:rPr>
                <w:rFonts w:hint="eastAsia" w:ascii="仿宋" w:hAnsi="仿宋" w:eastAsia="仿宋" w:cs="仿宋"/>
                <w:b w:val="0"/>
                <w:bCs/>
                <w:color w:val="000000"/>
                <w:szCs w:val="21"/>
                <w:lang w:val="en-US" w:eastAsia="zh-CN"/>
              </w:rPr>
              <w:t>品牌及</w:t>
            </w:r>
            <w:r>
              <w:rPr>
                <w:rFonts w:hint="eastAsia" w:ascii="仿宋" w:hAnsi="仿宋" w:eastAsia="仿宋" w:cs="仿宋"/>
                <w:b w:val="0"/>
                <w:bCs/>
                <w:color w:val="000000"/>
                <w:szCs w:val="21"/>
              </w:rPr>
              <w:t>图片</w:t>
            </w:r>
          </w:p>
          <w:p>
            <w:pPr>
              <w:widowControl/>
              <w:jc w:val="center"/>
              <w:textAlignment w:val="center"/>
              <w:rPr>
                <w:rFonts w:hint="default" w:ascii="仿宋" w:hAnsi="仿宋" w:eastAsia="仿宋" w:cs="仿宋"/>
                <w:b w:val="0"/>
                <w:bCs/>
                <w:color w:val="000000"/>
                <w:szCs w:val="21"/>
              </w:rPr>
            </w:pPr>
            <w:r>
              <w:rPr>
                <w:rFonts w:hint="default" w:ascii="仿宋" w:hAnsi="仿宋" w:eastAsia="仿宋" w:cs="仿宋"/>
                <w:b w:val="0"/>
                <w:bCs/>
                <w:color w:val="000000"/>
                <w:szCs w:val="21"/>
              </w:rPr>
              <w:t>Merek dan gambar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空侧密封油过滤器滤芯</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Z1e305766BB-01</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支</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41"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Style w:val="7"/>
                <w:rFonts w:hint="eastAsia" w:ascii="仿宋" w:hAnsi="仿宋" w:eastAsia="仿宋" w:cs="仿宋"/>
                <w:b w:val="0"/>
                <w:bCs/>
                <w:sz w:val="21"/>
                <w:szCs w:val="21"/>
                <w:lang w:val="en-US" w:eastAsia="zh-CN" w:bidi="ar"/>
              </w:rPr>
              <w:t>如需图片，请联系商务人员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3" w:hRule="atLeast"/>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氢侧密封油过滤器滤芯</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Z1e305766BB-02</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支</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（A、B）小机调节油滤芯（左、右）</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2Y-5685-9158-99</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支</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顶轴油泵入口滤芯</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SFX-500X10</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闭式水换热器密封条</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AN45L2-ISN 360条/套      材质：氟橡胶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条</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密封油站换热器密封条</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SR2MG-16EX/2  62条/套      材质：氟橡胶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条</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62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小机油站换热器密封条</w:t>
            </w:r>
          </w:p>
        </w:tc>
        <w:tc>
          <w:tcPr>
            <w:tcW w:w="2016" w:type="dxa"/>
            <w:shd w:val="clear" w:color="auto" w:fill="auto"/>
            <w:vAlign w:val="center"/>
          </w:tcPr>
          <w:p>
            <w:pPr>
              <w:keepNext w:val="0"/>
              <w:keepLines w:val="0"/>
              <w:widowControl/>
              <w:suppressLineNumbers w:val="0"/>
              <w:spacing w:after="0" w:afterAutospacing="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N35MGS-10EX/3  110条/套    材质：氟橡胶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条</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110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密封填料A Φ90/Φ70</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哈汽图号：CH01G.301.2.002</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密封填料B Φ90/Φ70</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哈汽图号：CH01G.301.2.001</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垫片</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哈汽图号：CCH01C.306.004-1</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密封垫片</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哈汽图号：CCH01C.306.006-1 </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双头螺栓M36</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G66.1403.005（反相6级）   材质：42CrMo-Ⅳ</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定位双头螺栓M36</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G66.1403.004（反相6级）    材质：42CrMo-Ⅳ</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双头螺栓M36</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G66.1403.003（反相6级）    材质：42CrMo-Ⅳ</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top"/>
          </w:tcPr>
          <w:p>
            <w:pPr>
              <w:keepNext w:val="0"/>
              <w:keepLines w:val="0"/>
              <w:widowControl/>
              <w:suppressLineNumbers w:val="0"/>
              <w:jc w:val="center"/>
              <w:textAlignment w:val="top"/>
              <w:rPr>
                <w:rFonts w:hint="default" w:ascii="宋体" w:hAnsi="宋体" w:eastAsia="宋体" w:cs="宋体"/>
                <w:b/>
                <w:bCs/>
                <w:i w:val="0"/>
                <w:iCs w:val="0"/>
                <w:color w:val="000000"/>
                <w:kern w:val="2"/>
                <w:sz w:val="22"/>
                <w:szCs w:val="22"/>
                <w:u w:val="none"/>
                <w:lang w:val="en-US" w:eastAsia="zh-CN" w:bidi="ar-SA"/>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六角螺栓M12×25</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CCH01.038.3.003-1                        材质：35CrMoA-Ⅱ</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金属石墨缠绕垫</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φ530×450×4mm   PN：2.0MPa</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金属缠绕垫</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φ570×500×4mm</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片</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金属缠绕垫</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φ375×345×3.2mm PN:4.0MPa</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片</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19</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金属缠绕垫</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φ156×122×4.5mm PN:6.0MPa</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片</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不锈钢管</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哈汽图号：CHO1G.328.002           规格：Φ28×4mm                    材质：06Cr19Ni10    耐压21MPa  </w:t>
            </w:r>
            <w:r>
              <w:rPr>
                <w:rFonts w:hint="eastAsia" w:ascii="宋体" w:hAnsi="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6米/根</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根</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21</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开式冷却水泵机封</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泵型号：OTS500-510B                       配套机械密封型号：     SPMC-510B-101</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闭式冷却水泵机封</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泵型号：OTS350-430                         配套机械密封型号：    SPMC-430A-101</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升降式止回阀</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H40-61YP91 PN4.0 DN40 550℃</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轴承</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SKF 6317</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轴承</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SKF 6316</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轴承</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SKF NU316</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截止阀</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J61Y-320                         PN: 32Mpa DN:32 介质温度：≤450℃</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支</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28</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内六角螺栓</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M16×55mm                           材质：25Cr2MoVA</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条</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29</w:t>
            </w:r>
          </w:p>
        </w:tc>
        <w:tc>
          <w:tcPr>
            <w:tcW w:w="144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不锈钢焊接波纹管截止阀</w:t>
            </w:r>
          </w:p>
        </w:tc>
        <w:tc>
          <w:tcPr>
            <w:tcW w:w="2016"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型号：DFAWJ25BW16   PN1.6MPa DN25            阀门长度150mm</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144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建议购置东方一力及同等质量阀门</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不锈钢波纹管截止阀</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WJ15F1.6P DN15 法兰连接 阀门长度128mm</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建议购置东方一力及同等质量阀门</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31</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不锈钢波纹管截止阀</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WJ15F1.6P DN50 法兰连接 阀门长度228mm</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建议购置东方一力及同等质量阀门</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轴承</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型号： SKF  3308 A</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轴承</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型号： SKF  NU 308 ECP</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2026-08-31</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磨煤机加载液压缸</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HC-D250-110-300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出厂编号：1909F68</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2026-05-01</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加载蓄能器皮囊</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与 NXQ-A-20/31.5N 蓄能器配套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2026-05-01</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磨煤机液压油站换热器</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5084284001</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2026-05-01</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电机接线柱</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加厚Y80-90</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电机接线柱</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加厚Y100-132</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电机接线柱</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加厚Y160-180</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电机接线柱</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加厚Y250-280</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电机接线柱</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加厚Y315-350</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电机接线柱</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加厚Y355-400</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43</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电机接线柱</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Y2-132</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电机接线柱</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Y2-160</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电机接线柱</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Y2-180方形</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46</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电动机风扇叶片</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Y80-4/内径19</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47</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电动机风扇叶片</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Y90-4/内径24</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电动机风扇叶片</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Y100-4/内径28</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电动机风扇叶片</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Y112-4/内径28</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电动机风扇叶片</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Y132-4/内径38</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电动机风扇叶片</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Y160-4/内径43</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电动机风扇叶片</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Y180-4/内径52</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53</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T8灯管</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T8灯管 18W</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中间继电器</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RXM4LB2P7  3A/250VAC (带底座 14脚)（继电器带灯）</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2026-04-10</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动力保险</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NGTC2 RS33    aR400A</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2026-04-10</w:t>
            </w:r>
          </w:p>
        </w:tc>
        <w:tc>
          <w:tcPr>
            <w:tcW w:w="1451" w:type="dxa"/>
            <w:shd w:val="clear" w:color="auto" w:fill="auto"/>
            <w:vAlign w:val="top"/>
          </w:tcPr>
          <w:p>
            <w:pPr>
              <w:keepNext w:val="0"/>
              <w:keepLines w:val="0"/>
              <w:widowControl/>
              <w:suppressLineNumbers w:val="0"/>
              <w:jc w:val="center"/>
              <w:textAlignment w:val="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原厂采购：青岛天德缘贸易有限公司。需向原供应商采购，否则将影响功能配套要求</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UPS IGBT驱动板</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2003-0086-0110（B板）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1D:31301788</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2026-04-10</w:t>
            </w:r>
          </w:p>
        </w:tc>
        <w:tc>
          <w:tcPr>
            <w:tcW w:w="1451" w:type="dxa"/>
            <w:shd w:val="clear" w:color="auto" w:fill="auto"/>
            <w:vAlign w:val="top"/>
          </w:tcPr>
          <w:p>
            <w:pPr>
              <w:keepNext w:val="0"/>
              <w:keepLines w:val="0"/>
              <w:widowControl/>
              <w:suppressLineNumbers w:val="0"/>
              <w:jc w:val="center"/>
              <w:textAlignment w:val="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原厂采购：青岛天德缘贸易有限公司。需向原供应商采购，否则将影响功能配套要求</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UPS IGBT驱动板</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2003-0085-0110（A板）</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2026-04-10</w:t>
            </w:r>
          </w:p>
        </w:tc>
        <w:tc>
          <w:tcPr>
            <w:tcW w:w="1451" w:type="dxa"/>
            <w:shd w:val="clear" w:color="auto" w:fill="auto"/>
            <w:vAlign w:val="top"/>
          </w:tcPr>
          <w:p>
            <w:pPr>
              <w:keepNext w:val="0"/>
              <w:keepLines w:val="0"/>
              <w:widowControl/>
              <w:suppressLineNumbers w:val="0"/>
              <w:jc w:val="center"/>
              <w:textAlignment w:val="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原厂采购：青岛天德缘贸易有限公司。需向原供应商采购，否则将影响功能配套要求</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58</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IGBT</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2MBI400VB-060-50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400A  600V</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2026-04-10</w:t>
            </w:r>
          </w:p>
        </w:tc>
        <w:tc>
          <w:tcPr>
            <w:tcW w:w="1451" w:type="dxa"/>
            <w:shd w:val="clear" w:color="auto" w:fill="auto"/>
            <w:vAlign w:val="top"/>
          </w:tcPr>
          <w:p>
            <w:pPr>
              <w:keepNext w:val="0"/>
              <w:keepLines w:val="0"/>
              <w:widowControl/>
              <w:suppressLineNumbers w:val="0"/>
              <w:jc w:val="center"/>
              <w:textAlignment w:val="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原厂采购：青岛天德缘贸易有限公司。需向原供应商采购，否则将影响功能配套要求</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59</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1"/>
                <w:szCs w:val="21"/>
                <w:u w:val="none"/>
                <w:lang w:val="en-US" w:eastAsia="zh-CN" w:bidi="ar"/>
              </w:rPr>
              <w:t>整流二极管模块</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NKD   160/16A   9U</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2026-04-10</w:t>
            </w:r>
          </w:p>
        </w:tc>
        <w:tc>
          <w:tcPr>
            <w:tcW w:w="1451" w:type="dxa"/>
            <w:shd w:val="clear" w:color="auto" w:fill="auto"/>
            <w:vAlign w:val="top"/>
          </w:tcPr>
          <w:p>
            <w:pPr>
              <w:keepNext w:val="0"/>
              <w:keepLines w:val="0"/>
              <w:widowControl/>
              <w:suppressLineNumbers w:val="0"/>
              <w:jc w:val="center"/>
              <w:textAlignment w:val="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原厂采购：青岛天德缘贸易有限公司。需向原供应商采购，否则将影响功能配套要求</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风扇</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AFX-155023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220/240V 0.24/27  50/60Hz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36/38W</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2026-04-10</w:t>
            </w:r>
          </w:p>
        </w:tc>
        <w:tc>
          <w:tcPr>
            <w:tcW w:w="1451" w:type="dxa"/>
            <w:shd w:val="clear" w:color="auto" w:fill="auto"/>
            <w:vAlign w:val="top"/>
          </w:tcPr>
          <w:p>
            <w:pPr>
              <w:keepNext w:val="0"/>
              <w:keepLines w:val="0"/>
              <w:widowControl/>
              <w:suppressLineNumbers w:val="0"/>
              <w:jc w:val="center"/>
              <w:textAlignment w:val="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原厂采购：青岛天德缘贸易有限公司。需向原供应商采购，否则将影响功能配套要求</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61</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1"/>
                <w:szCs w:val="21"/>
                <w:u w:val="none"/>
                <w:lang w:val="en-US" w:eastAsia="zh-CN" w:bidi="ar"/>
              </w:rPr>
              <w:t>接触器</w:t>
            </w:r>
          </w:p>
        </w:tc>
        <w:tc>
          <w:tcPr>
            <w:tcW w:w="2016" w:type="dxa"/>
            <w:shd w:val="clear" w:color="auto" w:fill="auto"/>
            <w:vAlign w:val="top"/>
          </w:tcPr>
          <w:p>
            <w:pPr>
              <w:keepNext w:val="0"/>
              <w:keepLines w:val="0"/>
              <w:widowControl/>
              <w:suppressLineNumbers w:val="0"/>
              <w:jc w:val="center"/>
              <w:textAlignment w:val="auto"/>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LC1  CJX2-D150                                       线圈电压：220/230V 50/60Hz</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2026-04-10</w:t>
            </w:r>
          </w:p>
        </w:tc>
        <w:tc>
          <w:tcPr>
            <w:tcW w:w="1451" w:type="dxa"/>
            <w:shd w:val="clear" w:color="auto" w:fill="auto"/>
            <w:vAlign w:val="top"/>
          </w:tcPr>
          <w:p>
            <w:pPr>
              <w:keepNext w:val="0"/>
              <w:keepLines w:val="0"/>
              <w:widowControl/>
              <w:suppressLineNumbers w:val="0"/>
              <w:jc w:val="center"/>
              <w:textAlignment w:val="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原厂采购：青岛天德缘贸易有限公司。需向原供应商采购，否则将影响功能配套要求</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1"/>
                <w:szCs w:val="21"/>
                <w:u w:val="none"/>
                <w:lang w:val="en-US" w:eastAsia="zh-CN" w:bidi="ar"/>
              </w:rPr>
              <w:t>接触器</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SC-E7P                                线圈电压：DC220V</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2026-04-10</w:t>
            </w:r>
          </w:p>
        </w:tc>
        <w:tc>
          <w:tcPr>
            <w:tcW w:w="1451" w:type="dxa"/>
            <w:shd w:val="clear" w:color="auto" w:fill="auto"/>
            <w:vAlign w:val="top"/>
          </w:tcPr>
          <w:p>
            <w:pPr>
              <w:keepNext w:val="0"/>
              <w:keepLines w:val="0"/>
              <w:widowControl/>
              <w:suppressLineNumbers w:val="0"/>
              <w:jc w:val="center"/>
              <w:textAlignment w:val="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原厂采购：青岛天德缘贸易有限公司。需向原供应商采购，否则将影响功能配套要求</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1"/>
                <w:szCs w:val="21"/>
                <w:u w:val="none"/>
                <w:lang w:val="en-US" w:eastAsia="zh-CN" w:bidi="ar"/>
              </w:rPr>
              <w:t>切换电阻板</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2002-0069-0110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SDP-PR-3E V1.1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ERP:31301704</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2026-04-10</w:t>
            </w:r>
          </w:p>
        </w:tc>
        <w:tc>
          <w:tcPr>
            <w:tcW w:w="1451" w:type="dxa"/>
            <w:shd w:val="clear" w:color="auto" w:fill="auto"/>
            <w:vAlign w:val="top"/>
          </w:tcPr>
          <w:p>
            <w:pPr>
              <w:keepNext w:val="0"/>
              <w:keepLines w:val="0"/>
              <w:widowControl/>
              <w:suppressLineNumbers w:val="0"/>
              <w:jc w:val="center"/>
              <w:textAlignment w:val="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原厂采购：青岛天德缘贸易有限公司。需向原供应商采购，否则将影响功能配套要求</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64</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1"/>
                <w:szCs w:val="21"/>
                <w:u w:val="none"/>
                <w:lang w:val="en-US" w:eastAsia="zh-CN" w:bidi="ar"/>
              </w:rPr>
              <w:t>软启电阻板</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2002-0019-0111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ID:31301859</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2026-04-10</w:t>
            </w:r>
          </w:p>
        </w:tc>
        <w:tc>
          <w:tcPr>
            <w:tcW w:w="1451" w:type="dxa"/>
            <w:shd w:val="clear" w:color="auto" w:fill="auto"/>
            <w:vAlign w:val="top"/>
          </w:tcPr>
          <w:p>
            <w:pPr>
              <w:keepNext w:val="0"/>
              <w:keepLines w:val="0"/>
              <w:widowControl/>
              <w:suppressLineNumbers w:val="0"/>
              <w:jc w:val="center"/>
              <w:textAlignment w:val="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原厂采购：青岛天德缘贸易有限公司。需向原供应商采购，否则将影响功能配套要求</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1"/>
                <w:szCs w:val="21"/>
                <w:u w:val="none"/>
                <w:lang w:val="en-US" w:eastAsia="zh-CN" w:bidi="ar"/>
              </w:rPr>
              <w:t>直流控制继电器板</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2012-0031-0110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ERP:31301513</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2026-04-10</w:t>
            </w:r>
          </w:p>
        </w:tc>
        <w:tc>
          <w:tcPr>
            <w:tcW w:w="1451" w:type="dxa"/>
            <w:shd w:val="clear" w:color="auto" w:fill="auto"/>
            <w:vAlign w:val="top"/>
          </w:tcPr>
          <w:p>
            <w:pPr>
              <w:keepNext w:val="0"/>
              <w:keepLines w:val="0"/>
              <w:widowControl/>
              <w:suppressLineNumbers w:val="0"/>
              <w:jc w:val="center"/>
              <w:textAlignment w:val="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原厂采购：青岛天德缘贸易有限公司。需向原供应商采购，否则将影响功能配套要求</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66</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1"/>
                <w:szCs w:val="21"/>
                <w:u w:val="none"/>
                <w:lang w:val="en-US" w:eastAsia="zh-CN" w:bidi="ar"/>
              </w:rPr>
              <w:t>软启电阻板</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20002-0054-0110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SDP-PR-3E V1.1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ERP:31301704</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2026-04-10</w:t>
            </w:r>
          </w:p>
        </w:tc>
        <w:tc>
          <w:tcPr>
            <w:tcW w:w="1451" w:type="dxa"/>
            <w:shd w:val="clear" w:color="auto" w:fill="auto"/>
            <w:vAlign w:val="top"/>
          </w:tcPr>
          <w:p>
            <w:pPr>
              <w:keepNext w:val="0"/>
              <w:keepLines w:val="0"/>
              <w:widowControl/>
              <w:suppressLineNumbers w:val="0"/>
              <w:jc w:val="center"/>
              <w:textAlignment w:val="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原厂采购：青岛天德缘贸易有限公司。需向原供应商采购，否则将影响功能配套要求</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67</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1"/>
                <w:szCs w:val="21"/>
                <w:u w:val="none"/>
                <w:lang w:val="en-US" w:eastAsia="zh-CN" w:bidi="ar"/>
              </w:rPr>
              <w:t>电源模块（V80）</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KS D211 B101</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1"/>
                <w:szCs w:val="21"/>
                <w:u w:val="none"/>
                <w:lang w:val="en-US" w:eastAsia="zh-CN" w:bidi="ar"/>
              </w:rPr>
              <w:t>电源模块（G100）</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QUINT-PS-100-240VAC/24VDC</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69</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1"/>
                <w:szCs w:val="21"/>
                <w:u w:val="none"/>
                <w:lang w:val="en-US" w:eastAsia="zh-CN" w:bidi="ar"/>
              </w:rPr>
              <w:t>电源模块（U100）</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SFN 4TX/FX ST</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70</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电源装置</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QUINT-PS/1AC/24DC/10               Input:100-240AC  output:24VDC 10A</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原厂采购：哈尔滨电机厂有限责任公司，需向原供应商采购，否则将影响功能配套要求</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71</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电源分配器</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MICO 4.6   通道数量4             </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原厂采购：哈尔滨电机厂有限责任公司，需向原供应商采购，否则将影响功能配套要求</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72</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继电器</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BJ8 BB 24VDC</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73</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1"/>
                <w:szCs w:val="21"/>
                <w:u w:val="none"/>
                <w:lang w:val="en-US" w:eastAsia="zh-CN" w:bidi="ar"/>
              </w:rPr>
              <w:t>中间继电器</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CR-M024DC3L(带底座)</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2026-01-30</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74</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中间继电器</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CR-M024DC3(带底座)（继电器带灯）</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2026-01-30</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接触器</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AF26-30-00-12(DC110V)（继电器带灯）</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2026-01-30</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76</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断路器</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MS132-4(设置电流范围：2.5-4.0A)（继电器带灯）</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2026-01-30</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77</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双位置继电器</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HBDLL-92B/2  DC110V</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bottom"/>
          </w:tcPr>
          <w:p>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请按现场实际图片及设备型号购买</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78</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平台灯</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GF9051/70W/LED</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参考厂家：紫光照明</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79</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密封垫</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01J3601G01S84</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原厂采购：哈尔滨电机厂有限责任公司</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挡风垫</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01J3601G01S84</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原厂采购：哈尔滨电机厂有限责任公司</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密封垫</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01J3601G01S84</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原厂采购：哈尔滨电机厂有限责任公司</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82</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密封垫</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01J3601G01S84</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原厂采购：哈尔滨电机厂有限责任公司</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绝缘螺杆</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07D4460</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原厂采购：哈尔滨电机厂有限责任公司</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84</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绝缘螺母</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07D4456</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原厂采购：哈尔滨电机厂有限责任公司</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85</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碟型垫圈</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07D4424</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原厂采购：哈尔滨电机厂有限责任公司</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86</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绝缘销</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07D4459</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原厂采购：哈尔滨电机厂有限责任公司</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87</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密封垫</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07D4252</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原厂采购：哈尔滨电机厂有限责任公司</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88</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隔板</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05C2037</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原厂采购：哈尔滨电机厂有限责任公司</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89</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楔板</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07D4568</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原厂采购：哈尔滨电机厂有限责任公司</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2mm涤波绳</w:t>
            </w:r>
          </w:p>
        </w:tc>
        <w:tc>
          <w:tcPr>
            <w:tcW w:w="2016" w:type="dxa"/>
            <w:shd w:val="clear" w:color="auto" w:fill="auto"/>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原厂采购：哈尔滨电机厂有限责任公司</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91</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止动垫圈</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03A6107S84   序号4</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原厂采购：哈尔滨电机厂有限责任公司</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92</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止动垫圈</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03A6107S84   序号6</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原厂采购：哈尔滨电机厂有限责任公司</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93</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内端盖中分面螺栓垫圈</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图号不详</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原厂采购：哈尔滨电机厂有限责任公司</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94</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外舌止动垫圈</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哈电图号：Z0c00085G03S84-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序号6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36/Q235</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原厂采购：哈尔滨电机厂有限责任公司</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95</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振动监测器</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申克 VIBROCONTROL 6000 COMPACT MONITOR</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参考厂家：德国申克</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96</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氧化锆</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Thermo scientific TXO-1000直插式</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支</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参考厂家：赛默飞</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97</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过滤器</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QAF2000+QAL2000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MAX PRESS 1.0MPA</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套 </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98</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油动机行程传感器LVDT</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HTACC-LT-609Z型油动机行程传感器 量程：0-250mm</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参考厂家：哈尔滨汽轮机厂与无锡市河垺传感器有限公司联合生产</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99</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普通型侧装式磁性液位计</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型号：UHZ-57/CUB-1880</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参考厂家：上海远望液位计有限公司</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位置转换模块</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JDPCM-XS</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参考厂家：天津市津达执行器有限公司</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24V电源模块</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HDR-30-24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输入:100～240VAC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输出:24VDC1.5A</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参考厂家：MEAN WELL</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电源切换装置  </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型号:依顿 EATS16.规格：200-240VAC，16A,50/60Hz</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参考厂家：品牌：依顿</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103</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声波发生器密封组件</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KZA30754</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参考厂家：北京万讯博汇能源技术有限公司</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104</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空气放大器密封组件</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KZA31048</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105</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逆止阀</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KZ 31056</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106</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泄压电磁阀维修包</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KZ033353</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107</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1/4寸高压管</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KZ030334</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108</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接触器控制模块</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JDJK-I（天津市津达执行器有限公司）</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109</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探头加热器</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PN：53010036</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CEMS采样探头  </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110</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转速探头</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ST00863-130-03-02-050  延长线：铠装4m，螺纹：M16X1</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参考厂家：江阴泰兰电子仪表有限公司</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111</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温度变送器</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型号：SIEMENS温度传感器QAA2071，壁挂式。输入电压：DC 13.5-35V，输出信号4-20mA.</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112</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电磁阀</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G553A018MS</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支</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113</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空预器间隙激光传感器</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型号：JGS-600 工作电压 DC4V 精度±0.5mm </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参考厂家：西安智通自动化技术开发公司  </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114</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电源模块</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空预器间隙传感器汽电源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GJCD-6-24</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115</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减压阀</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FISHER</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67CF-1663-38672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MAX 250PSI</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RANGE 0-125PSI</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电磁阀</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SCG531C017MS(单线包，线包插入孔径G1/4)</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参考厂家：ASCO</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117</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二次过滤器</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型号KM-G-02</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参考厂家：米格尔（定制）</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118</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光纤收发器</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HTB-1100S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10/100BASE-T TO 100BASE-FX</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119</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电减机含电机（阳极振打）</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XLED63 595-0.37/1P55减速机（每套配送偏心套1套，含轴承）</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2026-05-30</w:t>
            </w:r>
          </w:p>
        </w:tc>
        <w:tc>
          <w:tcPr>
            <w:tcW w:w="1451"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rPr>
              <w:t>原厂采购：常州市科协减速机制造有限公司，原厂购买，非原厂备件因尺寸差异与现场设备无法适配，供货商出具原厂证明，合格证，原厂供货单，不接受复制，替代。</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120</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电减机含电机（阴极振打）</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XLED63-1505--0.37/1P55减速机（每套配送偏心套1套，含轴承）</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2026-05-30</w:t>
            </w:r>
          </w:p>
        </w:tc>
        <w:tc>
          <w:tcPr>
            <w:tcW w:w="145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121</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吸收塔入口膨胀节蒙皮 </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13680x3990x500(结构由内到外: 9层        第一层：3.0mm杜邦氟橡胶（双面氟橡胶）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第二层：3.0mm杜邦氟橡胶（双面氟橡胶）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第三层：24目 0.3mm316L不锈钢网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第四层：2.5mm夹丝陶瓷布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第五层：0.5mm特氟龙布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第六层：1.5mm铝箔纤维布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第七层：0.3mm聚四氟乙烯膜层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第八层：2.5mm陶瓷纤维毯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第九层：2.0mm夹丝氟橡胶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配送压条，螺栓，排水短接（短接材质：不锈钢2205，连接螺栓材质：1.4529），密封胶，密封条，安装工具；现场指导安装。质保：五年。在质保期内出现质量问题免费更换。</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2026-05-30</w:t>
            </w:r>
          </w:p>
        </w:tc>
        <w:tc>
          <w:tcPr>
            <w:tcW w:w="1451"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推荐：1.山东元更电力科技有限责任公司      2.宁夏熠鑫达自动化设备有限公司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3.武汉晨阳新复合材料有限公司</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122</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吸收塔出口膨胀节蒙皮 </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11070x5290x600(结构由内到外:9层        第一层：3.0mm杜邦氟橡胶（双面氟橡胶）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第二层：3.0mm杜邦氟橡胶（双面氟橡胶）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第三层：24目 0.3mm316L不锈钢网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第四层：2.5mm夹丝陶瓷布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第五层：0.5mm特氟龙布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第六层：1.5mm铝箔纤维布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第七层：0.3mm聚四氟乙烯膜层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第八层：2.5mm陶瓷纤维毯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第九层：2.0mm夹丝氟橡胶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配送压条，螺栓，排水短接（短接材质：不锈钢2205，连接螺栓材质：1.4529），密封胶，密封条，安装工具；现场指导安装。质保：五年。在质保期内出现质量问题免费更换。</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2026-05-30</w:t>
            </w:r>
          </w:p>
        </w:tc>
        <w:tc>
          <w:tcPr>
            <w:tcW w:w="1451"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推荐：1.山东元更电力科技有限责任公司      2.宁夏熠鑫达自动化设备有限公司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3.武汉晨阳新复合材料有限公司</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123</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FGD出口膨胀节蒙皮 </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5500x9550x500(结构由内到外:9层        第一层：3.0mm杜邦氟橡胶（双面氟橡胶）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第二层：3.0mm杜邦氟橡胶（双面氟橡胶）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第三层：24目 0.3mm316L不锈钢网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第四层：2.5mm夹丝陶瓷布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第五层：0.5mm特氟龙布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第六层：1.5mm铝箔纤维布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第七层：0.3mm聚四氟乙烯膜层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第八层：2.5mm陶瓷纤维毯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第九层：2.0mm夹丝氟橡胶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配送压条，螺栓，排水短接（短接材质：不锈钢2205，连接螺栓材质：1.4529），密封胶，密封条，安装工具；现场指导安装。质保：五年。在质保期内出现质量问题免费更换。</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2026-05-30</w:t>
            </w:r>
          </w:p>
        </w:tc>
        <w:tc>
          <w:tcPr>
            <w:tcW w:w="1451"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推荐：1.山东元更电力科技有限责任公司      2.宁夏熠鑫达自动化设备有限公司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3.武汉晨阳新复合材料有限公司</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124</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捞渣机驱动马达高压软管（含接头）</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图号：G592E1DG332923-X</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2026-05-30</w:t>
            </w:r>
          </w:p>
        </w:tc>
        <w:tc>
          <w:tcPr>
            <w:tcW w:w="1451"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原厂采购:青岛达能，其他厂家备件因尺寸、材质差异与现场设备无法适配，供货商原厂发货盖章证明，原厂合格证，产品出厂检验报告</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125</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捞渣机驱动马达高压软管（含接头）</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图号：G592DBE1333323-X</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2026-05-30</w:t>
            </w:r>
          </w:p>
        </w:tc>
        <w:tc>
          <w:tcPr>
            <w:tcW w:w="1451"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原厂采购:青岛达能，其他厂家备件因尺寸、材质差异与现场设备无法适配，供货商原厂发货盖章证明，原厂合格证，产品出厂检验报告</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126</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捞渣机驱动马达高压软管（含接头）</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图号：G892E350363127-X</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2026-05-30</w:t>
            </w:r>
          </w:p>
        </w:tc>
        <w:tc>
          <w:tcPr>
            <w:tcW w:w="1451"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原厂采购:青岛达能，其他厂家备件因尺寸、材质差异与现场设备无法适配，供货商原厂发货盖章证明，原厂合格证，产品出厂检验报告</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127</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捞渣机驱动马达高压软管（含接头）</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G892DOE116327-X</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2026-05-30</w:t>
            </w:r>
          </w:p>
        </w:tc>
        <w:tc>
          <w:tcPr>
            <w:tcW w:w="1451"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原厂采购:青岛达能，其他厂家备件因尺寸、材质差异与现场设备无法适配，供货商原厂发货盖章证明，原厂合格证，产品出厂检验报告</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128</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浸水轮密封组件</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编号：020101090067配套组件</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2026-05-30</w:t>
            </w:r>
          </w:p>
        </w:tc>
        <w:tc>
          <w:tcPr>
            <w:tcW w:w="1451"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原厂采购:青岛达能，其他厂家备件因尺寸、材质差异与现场设备无法适配，供货商原厂发货盖章证明，原厂合格证，产品出厂检验报告</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129</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冷油器</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KAMUIFS（SAC-425UI T）PN1.2-1.6MPa</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2026-05-30</w:t>
            </w:r>
          </w:p>
        </w:tc>
        <w:tc>
          <w:tcPr>
            <w:tcW w:w="1451" w:type="dxa"/>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原厂采购：Foshan-Kanmui Exchanger Co，其他品牌备件因尺寸差异与现场设备无法适配，供货商原厂发货盖章证明，原厂合格证，产品出厂检验报告</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130</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Carel EVD 显示器（Carel EVD Display）</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EVD IS00CN0</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2026-03-31</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可当地采购</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131</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电子膨胀阀控制（Electronic Expansion  Valve Control ）</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EVD0000E10 EVD Evolution Universal</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2026-03-31</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可当地采购</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132</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风扇用三相异步电动机（Motor Fan）</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电机型号/TPeYSF.15006(1013325001144)输出功率/Output 1500W             效率/ET.79.8%（3级/Clzss 3)380V,50Hz，4.0A，924r\min</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2026-03-31</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133</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风阀执行器（Electric Valve Air Actuator）</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M9108-AGC-2               供电与功耗：AC/DC 24V，50/60Hz，功耗6.5VA。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扭矩与动作时间：输出扭矩8 N·m（70 in-lb），动作时间25~50秒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防护与环境：IP42防护等级，工作温度-20℃~50℃。</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2026-03-31</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可当地采购</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134</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电动膨胀阀（Electric Expansion Valve）</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E5VA2AST00</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2026-03-31</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135</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内丝90°弯头</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不锈钢304   DN25（1"）</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136</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内丝直接</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不锈钢304   DN25（1"）</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137</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外丝直接</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不锈钢304   DN25（1"）</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138</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内丝活接</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不锈钢304   DN25（1"）</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139</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内丝等径三通</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不锈钢304   DN25（1"）</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140</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内丝90°弯头</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不锈钢304   DN20(3/4〞)</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141</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内丝直接</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不锈钢304   DN20(3/4〞)</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142</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外丝直接</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不锈钢304   DN20(3/4〞)</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143</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内丝活接</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不锈钢304   DN20(3/4〞)</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144</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内丝等径三通</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不锈钢304   DN20(3/4〞)</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145</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不锈钢球阀</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DN20（3/4〞) </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146</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不锈钢球阀</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DN25（1"）  </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147</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不锈钢六角宝塔软管接头</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DN20 （3/4〞)-Φ20</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148</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不锈钢六角宝塔软管接头</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DN25  （1"）-Φ25</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件</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149</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不锈钢快速丝扣扣压接头</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DN25（1"） E型</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150</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不锈钢快速丝扣扣压接头</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DN25（1"） D型</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151</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夹持器</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HYJCQ-150</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152</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不锈钢管</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1",sch40</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153</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不锈钢承插焊球阀</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154</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不锈钢焊接弯头</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1",sch40</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155</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不锈钢三通</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1",sch40</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156</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轴承</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1208</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157</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消防栓按钮</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型号：J-XAP-M-M500HC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额定电压：24VCD </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158</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手动火灾报警按钮</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型号：J-SAP-M-M500KC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额定电压：24 VCD</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159</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密封可充电电池</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型号：NP7-12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12V7AH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免维护铅酸蓄电池UPS不间断电源电瓶</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160</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25X10X60电刷</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型号：D374N</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161</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25X32X60电刷</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型号：02/20 E-50</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162</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DB9连接线9针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RS232、485连接线</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型号：公对母（直连）铜镀金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（1.5米）</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条</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163</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DB9连接线9针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RS232、485连接线</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型号：母对母（直连）铜镀金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（1.5米）</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条</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164</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DB9连接线9针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RS232、486连接线</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型号：公对公（直连）铜镀金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（1.5米）</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条</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165</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DB25连接线232串口线</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型号：公对母（1.5米）</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条</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166</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DB25连接线232串口线</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型号：母对母（1.5米）</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条</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167</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DB25连接线232串口线</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型号：公对公（1.5米）</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条</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168</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室外防水光缆接头盒</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12芯光纤接续包室外防水一进一出</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169</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中式焊把线快速插头纯铜</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国标A级 中式DKJ-35插头（黑色）</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170</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中式焊把线快速插头纯铜</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国标A级 中式DKJ-35插头（红色）</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171</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电动机</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XD-200电动机（铝线）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220V 50HZ 400W 1.9A 13UF/450V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1320R/MIN B级绝缘 IP10防护 S2/5MIN</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1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172</w:t>
            </w:r>
          </w:p>
        </w:tc>
        <w:tc>
          <w:tcPr>
            <w:tcW w:w="144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电源模块</w:t>
            </w:r>
          </w:p>
        </w:tc>
        <w:tc>
          <w:tcPr>
            <w:tcW w:w="201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LSKL-0503B-02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INPUT 220V  AC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OUTPUT 5V 3A；12V 1A；16V 1A</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块</w:t>
            </w:r>
          </w:p>
        </w:tc>
        <w:tc>
          <w:tcPr>
            <w:tcW w:w="144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40" w:type="dxa"/>
            <w:vAlign w:val="center"/>
          </w:tcPr>
          <w:p>
            <w:pPr>
              <w:jc w:val="center"/>
              <w:rPr>
                <w:rStyle w:val="7"/>
                <w:rFonts w:hint="default" w:ascii="仿宋" w:hAnsi="仿宋" w:eastAsia="仿宋" w:cs="仿宋"/>
                <w:b w:val="0"/>
                <w:bCs/>
                <w:sz w:val="21"/>
                <w:szCs w:val="21"/>
                <w:vertAlign w:val="baseline"/>
                <w:lang w:bidi="ar"/>
              </w:rPr>
            </w:pPr>
          </w:p>
        </w:tc>
        <w:tc>
          <w:tcPr>
            <w:tcW w:w="148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2026-03-16</w:t>
            </w:r>
          </w:p>
        </w:tc>
        <w:tc>
          <w:tcPr>
            <w:tcW w:w="1451"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参考：保定隆胜电气有限公司</w:t>
            </w:r>
          </w:p>
        </w:tc>
        <w:tc>
          <w:tcPr>
            <w:tcW w:w="1441"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41" w:type="dxa"/>
            <w:gridSpan w:val="7"/>
            <w:shd w:val="clear" w:color="auto" w:fill="auto"/>
            <w:vAlign w:val="center"/>
          </w:tcPr>
          <w:p>
            <w:pPr>
              <w:widowControl/>
              <w:jc w:val="center"/>
              <w:textAlignment w:val="center"/>
              <w:rPr>
                <w:rFonts w:hint="default" w:ascii="仿宋" w:hAnsi="仿宋" w:eastAsia="仿宋" w:cs="仿宋"/>
                <w:color w:val="000000"/>
                <w:kern w:val="0"/>
                <w:sz w:val="21"/>
                <w:szCs w:val="21"/>
                <w:vertAlign w:val="baseline"/>
                <w:lang w:val="en-US" w:eastAsia="zh-CN" w:bidi="ar"/>
              </w:rPr>
            </w:pPr>
            <w:r>
              <w:rPr>
                <w:rFonts w:hint="eastAsia" w:ascii="仿宋" w:hAnsi="仿宋" w:eastAsia="仿宋" w:cs="仿宋"/>
                <w:color w:val="000000"/>
                <w:kern w:val="0"/>
                <w:szCs w:val="21"/>
                <w:vertAlign w:val="baseline"/>
                <w:lang w:val="en-US" w:eastAsia="zh-CN" w:bidi="ar"/>
              </w:rPr>
              <w:t>小计</w:t>
            </w:r>
          </w:p>
        </w:tc>
        <w:tc>
          <w:tcPr>
            <w:tcW w:w="4372" w:type="dxa"/>
            <w:gridSpan w:val="3"/>
          </w:tcPr>
          <w:p>
            <w:pPr>
              <w:rPr>
                <w:rStyle w:val="7"/>
                <w:rFonts w:hint="default" w:ascii="仿宋" w:hAnsi="仿宋" w:eastAsia="仿宋" w:cs="仿宋"/>
                <w:b w:val="0"/>
                <w:bCs/>
                <w:sz w:val="21"/>
                <w:szCs w:val="21"/>
                <w:vertAlign w:val="baseli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41" w:type="dxa"/>
            <w:gridSpan w:val="7"/>
            <w:shd w:val="clear" w:color="auto" w:fill="auto"/>
            <w:vAlign w:val="center"/>
          </w:tcPr>
          <w:p>
            <w:pPr>
              <w:widowControl/>
              <w:jc w:val="center"/>
              <w:textAlignment w:val="center"/>
              <w:rPr>
                <w:rFonts w:hint="default" w:ascii="仿宋" w:hAnsi="仿宋" w:eastAsia="仿宋" w:cs="仿宋"/>
                <w:color w:val="000000"/>
                <w:kern w:val="0"/>
                <w:sz w:val="21"/>
                <w:szCs w:val="21"/>
                <w:vertAlign w:val="baseline"/>
                <w:lang w:val="en-US" w:eastAsia="zh-CN" w:bidi="ar"/>
              </w:rPr>
            </w:pPr>
            <w:r>
              <w:rPr>
                <w:rFonts w:hint="eastAsia" w:ascii="仿宋" w:hAnsi="仿宋" w:eastAsia="仿宋" w:cs="仿宋"/>
                <w:color w:val="000000"/>
                <w:kern w:val="0"/>
                <w:szCs w:val="21"/>
                <w:vertAlign w:val="baseline"/>
                <w:lang w:val="en-US" w:eastAsia="zh-CN" w:bidi="ar"/>
              </w:rPr>
              <w:t>PPN11%</w:t>
            </w:r>
          </w:p>
        </w:tc>
        <w:tc>
          <w:tcPr>
            <w:tcW w:w="4372" w:type="dxa"/>
            <w:gridSpan w:val="3"/>
          </w:tcPr>
          <w:p>
            <w:pPr>
              <w:rPr>
                <w:rStyle w:val="7"/>
                <w:rFonts w:hint="default" w:ascii="仿宋" w:hAnsi="仿宋" w:eastAsia="仿宋" w:cs="仿宋"/>
                <w:b w:val="0"/>
                <w:bCs/>
                <w:sz w:val="21"/>
                <w:szCs w:val="21"/>
                <w:vertAlign w:val="baseli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41" w:type="dxa"/>
            <w:gridSpan w:val="7"/>
            <w:shd w:val="clear" w:color="auto" w:fill="auto"/>
            <w:vAlign w:val="center"/>
          </w:tcPr>
          <w:p>
            <w:pPr>
              <w:widowControl/>
              <w:jc w:val="center"/>
              <w:textAlignment w:val="center"/>
              <w:rPr>
                <w:rFonts w:hint="default" w:ascii="仿宋" w:hAnsi="仿宋" w:eastAsia="仿宋" w:cs="仿宋"/>
                <w:color w:val="000000"/>
                <w:kern w:val="0"/>
                <w:sz w:val="21"/>
                <w:szCs w:val="21"/>
                <w:vertAlign w:val="baseline"/>
                <w:lang w:val="en-US" w:eastAsia="zh-CN" w:bidi="ar"/>
              </w:rPr>
            </w:pPr>
            <w:r>
              <w:rPr>
                <w:rFonts w:hint="eastAsia" w:ascii="仿宋" w:hAnsi="仿宋" w:eastAsia="仿宋" w:cs="仿宋"/>
                <w:color w:val="000000"/>
                <w:kern w:val="0"/>
                <w:szCs w:val="21"/>
                <w:vertAlign w:val="baseline"/>
                <w:lang w:val="en-US" w:eastAsia="zh-CN" w:bidi="ar"/>
              </w:rPr>
              <w:t>总计</w:t>
            </w:r>
          </w:p>
        </w:tc>
        <w:tc>
          <w:tcPr>
            <w:tcW w:w="4372" w:type="dxa"/>
            <w:gridSpan w:val="3"/>
          </w:tcPr>
          <w:p>
            <w:pPr>
              <w:rPr>
                <w:rStyle w:val="7"/>
                <w:rFonts w:hint="default" w:ascii="仿宋" w:hAnsi="仿宋" w:eastAsia="仿宋" w:cs="仿宋"/>
                <w:b w:val="0"/>
                <w:bCs/>
                <w:sz w:val="21"/>
                <w:szCs w:val="21"/>
                <w:vertAlign w:val="baseli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65" w:type="dxa"/>
            <w:gridSpan w:val="2"/>
            <w:shd w:val="clear" w:color="auto" w:fill="auto"/>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交货期</w:t>
            </w:r>
          </w:p>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r>
              <w:rPr>
                <w:rStyle w:val="11"/>
                <w:rFonts w:hint="default" w:ascii="仿宋" w:hAnsi="仿宋" w:eastAsia="仿宋" w:cs="仿宋"/>
                <w:b w:val="0"/>
                <w:bCs/>
                <w:sz w:val="21"/>
                <w:szCs w:val="21"/>
                <w:lang w:bidi="ar"/>
              </w:rPr>
              <w:t>Pengiriman tepat waktu</w:t>
            </w:r>
          </w:p>
        </w:tc>
        <w:tc>
          <w:tcPr>
            <w:tcW w:w="3456" w:type="dxa"/>
            <w:gridSpan w:val="2"/>
            <w:shd w:val="clear" w:color="auto" w:fill="auto"/>
            <w:vAlign w:val="center"/>
          </w:tcPr>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p>
        </w:tc>
        <w:tc>
          <w:tcPr>
            <w:tcW w:w="4320" w:type="dxa"/>
            <w:gridSpan w:val="3"/>
            <w:shd w:val="clear" w:color="auto" w:fill="auto"/>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r>
              <w:rPr>
                <w:rStyle w:val="11"/>
                <w:rFonts w:hint="default" w:ascii="仿宋" w:hAnsi="仿宋" w:eastAsia="仿宋" w:cs="仿宋"/>
                <w:b w:val="0"/>
                <w:bCs/>
                <w:sz w:val="21"/>
                <w:szCs w:val="21"/>
                <w:lang w:bidi="ar"/>
              </w:rPr>
              <w:t>Nama Pemasok</w:t>
            </w:r>
          </w:p>
        </w:tc>
        <w:tc>
          <w:tcPr>
            <w:tcW w:w="4372" w:type="dxa"/>
            <w:gridSpan w:val="3"/>
            <w:shd w:val="clear" w:color="auto" w:fill="auto"/>
            <w:vAlign w:val="center"/>
          </w:tcPr>
          <w:p>
            <w:pPr>
              <w:widowControl/>
              <w:adjustRightInd w:val="0"/>
              <w:snapToGrid w:val="0"/>
              <w:spacing w:line="240" w:lineRule="auto"/>
              <w:jc w:val="center"/>
              <w:rPr>
                <w:rFonts w:hint="default" w:ascii="Calibri" w:hAnsi="Calibri" w:eastAsia="宋体" w:cs="Times New Roman"/>
                <w:kern w:val="2"/>
                <w:sz w:val="21"/>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65" w:type="dxa"/>
            <w:gridSpan w:val="2"/>
            <w:shd w:val="clear" w:color="auto" w:fill="auto"/>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Fonts w:hint="default" w:ascii="Calibri" w:hAnsi="Calibri" w:eastAsia="宋体" w:cs="Times New Roman"/>
                <w:kern w:val="2"/>
                <w:sz w:val="21"/>
                <w:szCs w:val="24"/>
                <w:vertAlign w:val="baseline"/>
                <w:lang w:val="en-US" w:eastAsia="zh-CN" w:bidi="ar-SA"/>
              </w:rPr>
            </w:pPr>
            <w:r>
              <w:rPr>
                <w:rStyle w:val="11"/>
                <w:rFonts w:hint="default" w:ascii="仿宋" w:hAnsi="仿宋" w:eastAsia="仿宋" w:cs="仿宋"/>
                <w:b w:val="0"/>
                <w:bCs/>
                <w:sz w:val="21"/>
                <w:szCs w:val="21"/>
                <w:lang w:bidi="ar"/>
              </w:rPr>
              <w:t>Alamat Kontak</w:t>
            </w:r>
          </w:p>
        </w:tc>
        <w:tc>
          <w:tcPr>
            <w:tcW w:w="12148" w:type="dxa"/>
            <w:gridSpan w:val="8"/>
            <w:shd w:val="clear" w:color="auto" w:fill="auto"/>
            <w:vAlign w:val="center"/>
          </w:tcPr>
          <w:p>
            <w:pPr>
              <w:widowControl/>
              <w:adjustRightInd w:val="0"/>
              <w:snapToGrid w:val="0"/>
              <w:spacing w:line="240" w:lineRule="auto"/>
              <w:jc w:val="center"/>
              <w:rPr>
                <w:rFonts w:hint="default" w:ascii="Calibri" w:hAnsi="Calibri" w:eastAsia="宋体" w:cs="Times New Roman"/>
                <w:kern w:val="2"/>
                <w:sz w:val="21"/>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013" w:type="dxa"/>
            <w:gridSpan w:val="10"/>
          </w:tcPr>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7"/>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备注：1. 报价人应签字盖章扫描后上传到报价专用邮箱。</w:t>
            </w:r>
          </w:p>
          <w:p>
            <w:pPr>
              <w:pStyle w:val="14"/>
              <w:widowControl/>
              <w:numPr>
                <w:ilvl w:val="0"/>
                <w:numId w:val="1"/>
              </w:numPr>
              <w:adjustRightInd w:val="0"/>
              <w:snapToGrid w:val="0"/>
              <w:spacing w:line="240" w:lineRule="auto"/>
              <w:ind w:hanging="153"/>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报价人应附上营业执照、税务登记证、法人身份证明文件扫描件</w:t>
            </w:r>
            <w:r>
              <w:rPr>
                <w:rStyle w:val="7"/>
                <w:rFonts w:hint="eastAsia" w:ascii="仿宋" w:hAnsi="仿宋" w:eastAsia="仿宋" w:cs="仿宋"/>
                <w:b w:val="0"/>
                <w:bCs/>
                <w:sz w:val="21"/>
                <w:szCs w:val="21"/>
                <w:lang w:eastAsia="zh-CN" w:bidi="ar"/>
              </w:rPr>
              <w:t>，</w:t>
            </w:r>
            <w:r>
              <w:rPr>
                <w:rStyle w:val="7"/>
                <w:rFonts w:hint="eastAsia" w:ascii="仿宋" w:hAnsi="仿宋" w:eastAsia="仿宋" w:cs="仿宋"/>
                <w:b w:val="0"/>
                <w:bCs/>
                <w:sz w:val="21"/>
                <w:szCs w:val="21"/>
                <w:lang w:val="en-US" w:eastAsia="zh-CN" w:bidi="ar"/>
              </w:rPr>
              <w:t>如需清晰的需求图片，请联系商务人员。</w:t>
            </w:r>
          </w:p>
          <w:p>
            <w:pPr>
              <w:widowControl/>
              <w:adjustRightInd w:val="0"/>
              <w:snapToGrid w:val="0"/>
              <w:spacing w:line="240" w:lineRule="auto"/>
              <w:ind w:left="993" w:hanging="993"/>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w:t>
            </w:r>
          </w:p>
          <w:p>
            <w:pPr>
              <w:rPr>
                <w:rStyle w:val="7"/>
                <w:rFonts w:hint="default" w:ascii="仿宋" w:hAnsi="仿宋" w:eastAsia="仿宋" w:cs="仿宋"/>
                <w:b w:val="0"/>
                <w:bCs/>
                <w:sz w:val="21"/>
                <w:szCs w:val="21"/>
                <w:vertAlign w:val="baseline"/>
                <w:lang w:bidi="ar"/>
              </w:rPr>
            </w:pPr>
            <w:r>
              <w:rPr>
                <w:rStyle w:val="7"/>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r>
              <w:rPr>
                <w:rStyle w:val="7"/>
                <w:rFonts w:hint="eastAsia" w:ascii="仿宋" w:hAnsi="仿宋" w:eastAsia="仿宋" w:cs="仿宋"/>
                <w:b w:val="0"/>
                <w:bCs/>
                <w:sz w:val="21"/>
                <w:szCs w:val="21"/>
                <w:lang w:eastAsia="zh-CN" w:bidi="ar"/>
              </w:rPr>
              <w:t>，</w:t>
            </w:r>
            <w:r>
              <w:rPr>
                <w:rStyle w:val="7"/>
                <w:rFonts w:hint="eastAsia" w:ascii="仿宋" w:hAnsi="仿宋" w:eastAsia="仿宋" w:cs="仿宋"/>
                <w:b w:val="0"/>
                <w:bCs/>
                <w:sz w:val="21"/>
                <w:szCs w:val="21"/>
                <w:lang w:val="en-US" w:eastAsia="zh-CN" w:bidi="ar"/>
              </w:rPr>
              <w:t>u</w:t>
            </w:r>
            <w:r>
              <w:rPr>
                <w:rStyle w:val="7"/>
                <w:rFonts w:hint="eastAsia" w:ascii="仿宋" w:hAnsi="仿宋" w:eastAsia="仿宋" w:cs="仿宋"/>
                <w:b w:val="0"/>
                <w:bCs/>
                <w:sz w:val="21"/>
                <w:szCs w:val="21"/>
                <w:lang w:eastAsia="zh-CN" w:bidi="ar"/>
              </w:rPr>
              <w:t>ntuk gambar yang lebih jelas, silakan hubungi staf penjualan kami.</w:t>
            </w:r>
          </w:p>
        </w:tc>
      </w:tr>
    </w:tbl>
    <w:p>
      <w:pPr>
        <w:rPr>
          <w:rStyle w:val="7"/>
          <w:rFonts w:hint="default" w:ascii="仿宋" w:hAnsi="仿宋" w:eastAsia="仿宋" w:cs="仿宋"/>
          <w:b w:val="0"/>
          <w:bCs/>
          <w:sz w:val="21"/>
          <w:szCs w:val="21"/>
          <w:lang w:bidi="ar"/>
        </w:rPr>
      </w:pPr>
    </w:p>
    <w:p/>
    <w:p/>
    <w:sectPr>
      <w:pgSz w:w="16838" w:h="11906" w:orient="landscape"/>
      <w:pgMar w:top="1134" w:right="907" w:bottom="85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3C90751"/>
    <w:rsid w:val="045A2629"/>
    <w:rsid w:val="066C6A06"/>
    <w:rsid w:val="0A0E320D"/>
    <w:rsid w:val="0EBC0BA3"/>
    <w:rsid w:val="114B2A24"/>
    <w:rsid w:val="11E44E89"/>
    <w:rsid w:val="1C771079"/>
    <w:rsid w:val="22050570"/>
    <w:rsid w:val="25E02FB7"/>
    <w:rsid w:val="2A136040"/>
    <w:rsid w:val="2D0059FC"/>
    <w:rsid w:val="30236782"/>
    <w:rsid w:val="37E14762"/>
    <w:rsid w:val="3BD75AB3"/>
    <w:rsid w:val="3F1A65D4"/>
    <w:rsid w:val="3F640352"/>
    <w:rsid w:val="40555132"/>
    <w:rsid w:val="4A7F0F60"/>
    <w:rsid w:val="51327AEA"/>
    <w:rsid w:val="55FA661E"/>
    <w:rsid w:val="57954E75"/>
    <w:rsid w:val="5A070155"/>
    <w:rsid w:val="5B6053D6"/>
    <w:rsid w:val="5B7B286E"/>
    <w:rsid w:val="5C0D5892"/>
    <w:rsid w:val="5D9E32D9"/>
    <w:rsid w:val="60810D7D"/>
    <w:rsid w:val="63A455A9"/>
    <w:rsid w:val="6450114F"/>
    <w:rsid w:val="647F6DA6"/>
    <w:rsid w:val="65BE1566"/>
    <w:rsid w:val="661D0604"/>
    <w:rsid w:val="73801BA4"/>
    <w:rsid w:val="73C3376E"/>
    <w:rsid w:val="77830040"/>
    <w:rsid w:val="78C67983"/>
    <w:rsid w:val="7D385889"/>
    <w:rsid w:val="7DFF4AA4"/>
    <w:rsid w:val="7E6E060E"/>
    <w:rsid w:val="7F7B3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4">
    <w:name w:val="Default Paragraph Font"/>
    <w:unhideWhenUsed/>
    <w:qFormat/>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5">
    <w:name w:val="FollowedHyperlink"/>
    <w:basedOn w:val="4"/>
    <w:qFormat/>
    <w:uiPriority w:val="0"/>
    <w:rPr>
      <w:color w:val="954F72" w:themeColor="followedHyperlink"/>
      <w:u w:val="single"/>
      <w14:textFill>
        <w14:solidFill>
          <w14:schemeClr w14:val="folHlink"/>
        </w14:solidFill>
      </w14:textFill>
    </w:rPr>
  </w:style>
  <w:style w:type="character" w:styleId="6">
    <w:name w:val="Hyperlink"/>
    <w:basedOn w:val="4"/>
    <w:qFormat/>
    <w:uiPriority w:val="0"/>
    <w:rPr>
      <w:color w:val="0563C1" w:themeColor="hyperlink"/>
      <w:u w:val="single"/>
      <w14:textFill>
        <w14:solidFill>
          <w14:schemeClr w14:val="hlink"/>
        </w14:solidFill>
      </w14:textFill>
    </w:rPr>
  </w:style>
  <w:style w:type="character" w:customStyle="1" w:styleId="7">
    <w:name w:val="font41"/>
    <w:basedOn w:val="4"/>
    <w:qFormat/>
    <w:uiPriority w:val="0"/>
    <w:rPr>
      <w:rFonts w:hint="eastAsia" w:ascii="宋体" w:hAnsi="宋体" w:eastAsia="宋体" w:cs="宋体"/>
      <w:b/>
      <w:color w:val="000000"/>
      <w:sz w:val="24"/>
      <w:szCs w:val="24"/>
      <w:u w:val="none"/>
    </w:rPr>
  </w:style>
  <w:style w:type="paragraph" w:customStyle="1" w:styleId="8">
    <w:name w:val="引言二级条标题"/>
    <w:basedOn w:val="9"/>
    <w:next w:val="10"/>
    <w:qFormat/>
    <w:uiPriority w:val="0"/>
    <w:pPr>
      <w:tabs>
        <w:tab w:val="left" w:pos="900"/>
      </w:tabs>
      <w:ind w:left="0" w:firstLine="0"/>
    </w:pPr>
  </w:style>
  <w:style w:type="paragraph" w:customStyle="1" w:styleId="9">
    <w:name w:val="引言一级条标题"/>
    <w:basedOn w:val="1"/>
    <w:next w:val="10"/>
    <w:qFormat/>
    <w:uiPriority w:val="0"/>
    <w:pPr>
      <w:tabs>
        <w:tab w:val="left" w:pos="900"/>
      </w:tabs>
      <w:ind w:left="900" w:hanging="900"/>
    </w:pPr>
    <w:rPr>
      <w:rFonts w:ascii="Times New Roman" w:hAnsi="Times New Roman" w:eastAsia="黑体"/>
      <w:b/>
    </w:rPr>
  </w:style>
  <w:style w:type="paragraph" w:customStyle="1" w:styleId="10">
    <w:name w:val="段"/>
    <w:basedOn w:val="1"/>
    <w:qFormat/>
    <w:uiPriority w:val="0"/>
    <w:pPr>
      <w:ind w:firstLine="200"/>
    </w:pPr>
    <w:rPr>
      <w:rFonts w:ascii="宋体" w:hAnsi="宋体" w:cs="宋体"/>
      <w:szCs w:val="21"/>
    </w:rPr>
  </w:style>
  <w:style w:type="character" w:customStyle="1" w:styleId="11">
    <w:name w:val="font91"/>
    <w:basedOn w:val="4"/>
    <w:qFormat/>
    <w:uiPriority w:val="0"/>
    <w:rPr>
      <w:rFonts w:hint="eastAsia" w:ascii="微软雅黑" w:hAnsi="微软雅黑" w:eastAsia="微软雅黑" w:cs="微软雅黑"/>
      <w:b/>
      <w:color w:val="000000"/>
      <w:sz w:val="20"/>
      <w:szCs w:val="20"/>
      <w:u w:val="none"/>
    </w:rPr>
  </w:style>
  <w:style w:type="paragraph" w:customStyle="1" w:styleId="12">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3">
    <w:name w:val="Unresolved Mention"/>
    <w:basedOn w:val="4"/>
    <w:semiHidden/>
    <w:unhideWhenUsed/>
    <w:qFormat/>
    <w:uiPriority w:val="99"/>
    <w:rPr>
      <w:color w:val="605E5C"/>
      <w:shd w:val="clear" w:color="auto" w:fill="E1DFDD"/>
    </w:rPr>
  </w:style>
  <w:style w:type="paragraph" w:styleId="14">
    <w:name w:val="List Paragraph"/>
    <w:basedOn w:val="1"/>
    <w:unhideWhenUsed/>
    <w:qFormat/>
    <w:uiPriority w:val="99"/>
    <w:pPr>
      <w:ind w:left="720"/>
      <w:contextualSpacing/>
    </w:pPr>
  </w:style>
  <w:style w:type="character" w:customStyle="1" w:styleId="15">
    <w:name w:val="font21"/>
    <w:basedOn w:val="4"/>
    <w:qFormat/>
    <w:uiPriority w:val="0"/>
    <w:rPr>
      <w:rFonts w:hint="default" w:ascii="Times New Roman" w:hAnsi="Times New Roman" w:cs="Times New Roman"/>
      <w:color w:val="000000"/>
      <w:sz w:val="24"/>
      <w:szCs w:val="24"/>
      <w:u w:val="none"/>
    </w:rPr>
  </w:style>
  <w:style w:type="character" w:customStyle="1" w:styleId="16">
    <w:name w:val="font71"/>
    <w:basedOn w:val="4"/>
    <w:qFormat/>
    <w:uiPriority w:val="0"/>
    <w:rPr>
      <w:rFonts w:hint="eastAsia" w:ascii="宋体" w:hAnsi="宋体" w:eastAsia="宋体" w:cs="宋体"/>
      <w:color w:val="000000"/>
      <w:sz w:val="24"/>
      <w:szCs w:val="24"/>
      <w:u w:val="none"/>
    </w:rPr>
  </w:style>
  <w:style w:type="character" w:customStyle="1" w:styleId="17">
    <w:name w:val="font81"/>
    <w:basedOn w:val="4"/>
    <w:qFormat/>
    <w:uiPriority w:val="0"/>
    <w:rPr>
      <w:rFonts w:hint="eastAsia" w:ascii="宋体" w:hAnsi="宋体" w:eastAsia="宋体" w:cs="宋体"/>
      <w:color w:val="000000"/>
      <w:sz w:val="24"/>
      <w:szCs w:val="24"/>
      <w:u w:val="none"/>
    </w:rPr>
  </w:style>
  <w:style w:type="character" w:customStyle="1" w:styleId="18">
    <w:name w:val="font31"/>
    <w:basedOn w:val="4"/>
    <w:qFormat/>
    <w:uiPriority w:val="0"/>
    <w:rPr>
      <w:rFonts w:hint="default" w:ascii="仿宋_GB2312" w:eastAsia="仿宋_GB2312" w:cs="仿宋_GB2312"/>
      <w:color w:val="000000"/>
      <w:sz w:val="24"/>
      <w:szCs w:val="24"/>
      <w:u w:val="none"/>
    </w:rPr>
  </w:style>
  <w:style w:type="character" w:customStyle="1" w:styleId="19">
    <w:name w:val="font51"/>
    <w:basedOn w:val="4"/>
    <w:qFormat/>
    <w:uiPriority w:val="0"/>
    <w:rPr>
      <w:rFonts w:hint="default" w:ascii="仿宋_GB2312" w:eastAsia="仿宋_GB2312" w:cs="仿宋_GB2312"/>
      <w:color w:val="000000"/>
      <w:sz w:val="24"/>
      <w:szCs w:val="24"/>
      <w:u w:val="none"/>
    </w:rPr>
  </w:style>
  <w:style w:type="character" w:customStyle="1" w:styleId="20">
    <w:name w:val="font61"/>
    <w:basedOn w:val="4"/>
    <w:qFormat/>
    <w:uiPriority w:val="0"/>
    <w:rPr>
      <w:rFonts w:hint="eastAsia" w:ascii="宋体" w:hAnsi="宋体" w:eastAsia="宋体" w:cs="宋体"/>
      <w:color w:val="000000"/>
      <w:sz w:val="24"/>
      <w:szCs w:val="24"/>
      <w:u w:val="none"/>
    </w:rPr>
  </w:style>
  <w:style w:type="character" w:customStyle="1" w:styleId="21">
    <w:name w:val="font112"/>
    <w:basedOn w:val="4"/>
    <w:qFormat/>
    <w:uiPriority w:val="0"/>
    <w:rPr>
      <w:rFonts w:ascii="Calibri" w:hAnsi="Calibri" w:cs="Calibri"/>
      <w:color w:val="000000"/>
      <w:sz w:val="20"/>
      <w:szCs w:val="20"/>
      <w:u w:val="none"/>
    </w:rPr>
  </w:style>
  <w:style w:type="character" w:customStyle="1" w:styleId="22">
    <w:name w:val="font11"/>
    <w:basedOn w:val="4"/>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30</Pages>
  <Words>3965</Words>
  <Characters>8399</Characters>
  <Lines>33</Lines>
  <Paragraphs>9</Paragraphs>
  <TotalTime>0</TotalTime>
  <ScaleCrop>false</ScaleCrop>
  <LinksUpToDate>false</LinksUpToDate>
  <CharactersWithSpaces>9293</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2026-01-16T01:59:16Z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2C474125F4224A85B0348ABF89967AF3_13</vt:lpwstr>
  </property>
  <property fmtid="{D5CDD505-2E9C-101B-9397-08002B2CF9AE}" pid="4" name="KSOTemplateDocerSaveRecord">
    <vt:lpwstr>eyJoZGlkIjoiZjNhOTQyYzY2ZTAzMWMwZDViNTc1OGNiYTM1NjVjNzkiLCJ1c2VySWQiOiI0ODI4NDQ4NzkifQ==</vt:lpwstr>
  </property>
</Properties>
</file>