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汽轮机主汽门和调节门垫片等物资</w:t>
      </w:r>
      <w:r>
        <w:rPr>
          <w:rFonts w:hint="eastAsia" w:ascii="方正小标宋简体" w:hAnsi="黑体" w:eastAsia="方正小标宋简体"/>
          <w:sz w:val="36"/>
          <w:szCs w:val="36"/>
        </w:rPr>
        <w:t>询价单</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Gasket katup uap utama turbin uap dan katup pengatur serta bahan lainnya</w:t>
      </w:r>
    </w:p>
    <w:p>
      <w:pPr>
        <w:adjustRightInd w:val="0"/>
        <w:snapToGrid w:val="0"/>
        <w:spacing w:after="0" w:line="240" w:lineRule="auto"/>
        <w:jc w:val="center"/>
        <w:rPr>
          <w:rFonts w:ascii="方正小标宋简体" w:hAnsi="黑体" w:eastAsia="方正小标宋简体"/>
          <w:sz w:val="36"/>
          <w:szCs w:val="36"/>
        </w:rPr>
      </w:pPr>
      <w:r>
        <w:rPr>
          <w:rFonts w:ascii="方正小标宋简体" w:hAnsi="黑体" w:eastAsia="方正小标宋简体"/>
          <w:sz w:val="36"/>
          <w:szCs w:val="36"/>
        </w:rPr>
        <w:t>Formulir Permohonan Pembelian</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80"/>
        <w:gridCol w:w="610"/>
        <w:gridCol w:w="740"/>
        <w:gridCol w:w="1322"/>
        <w:gridCol w:w="1368"/>
        <w:gridCol w:w="1584"/>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李长春</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Li ChangChun</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1</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4</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17</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17</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14</w:t>
            </w:r>
            <w:r>
              <w:rPr>
                <w:rStyle w:val="6"/>
                <w:rFonts w:hint="default" w:ascii="仿宋" w:hAnsi="仿宋" w:eastAsia="仿宋" w:cs="仿宋"/>
                <w:b w:val="0"/>
                <w:bCs/>
                <w:sz w:val="21"/>
                <w:szCs w:val="21"/>
              </w:rPr>
              <w:t xml:space="preserve"> November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ind w:firstLine="0"/>
              <w:rPr>
                <w:rStyle w:val="3"/>
                <w:bCs/>
                <w:lang w:bidi="ar"/>
              </w:rPr>
            </w:pPr>
            <w:r>
              <w:rPr>
                <w:rStyle w:val="6"/>
                <w:rFonts w:hint="default" w:ascii="仿宋" w:hAnsi="仿宋" w:eastAsia="仿宋" w:cs="仿宋"/>
                <w:b w:val="0"/>
                <w:bCs/>
                <w:sz w:val="21"/>
                <w:szCs w:val="21"/>
                <w:lang w:bidi="ar"/>
              </w:rPr>
              <w:t>9. Alamat Email Pengaduan Pengawasan Pengadaan: info-sumsel8@chdoc.co.id.</w:t>
            </w:r>
          </w:p>
          <w:p>
            <w:pPr>
              <w:pStyle w:val="9"/>
              <w:ind w:firstLine="0"/>
              <w:rPr>
                <w:rFonts w:ascii="仿宋" w:hAnsi="仿宋" w:eastAsia="仿宋" w:cs="仿宋"/>
                <w:b/>
                <w:bCs/>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w:t>
            </w:r>
            <w:bookmarkStart w:id="1" w:name="OLE_LINK3"/>
            <w:r>
              <w:rPr>
                <w:rStyle w:val="6"/>
                <w:rFonts w:hint="default" w:ascii="仿宋" w:hAnsi="仿宋" w:eastAsia="仿宋" w:cs="仿宋"/>
                <w:b w:val="0"/>
                <w:bCs/>
                <w:sz w:val="21"/>
                <w:szCs w:val="21"/>
                <w:lang w:bidi="ar"/>
              </w:rPr>
              <w:t>2025年</w:t>
            </w:r>
            <w:r>
              <w:rPr>
                <w:rStyle w:val="6"/>
                <w:rFonts w:hint="eastAsia" w:ascii="仿宋" w:hAnsi="仿宋" w:eastAsia="仿宋" w:cs="仿宋"/>
                <w:b w:val="0"/>
                <w:bCs/>
                <w:sz w:val="21"/>
                <w:szCs w:val="21"/>
                <w:lang w:val="en-US" w:eastAsia="zh-CN" w:bidi="ar"/>
              </w:rPr>
              <w:t>12</w:t>
            </w:r>
            <w:r>
              <w:rPr>
                <w:rStyle w:val="6"/>
                <w:rFonts w:hint="default" w:ascii="仿宋" w:hAnsi="仿宋" w:eastAsia="仿宋" w:cs="仿宋"/>
                <w:b w:val="0"/>
                <w:bCs/>
                <w:sz w:val="21"/>
                <w:szCs w:val="21"/>
                <w:lang w:bidi="ar"/>
              </w:rPr>
              <w:t>月</w:t>
            </w:r>
            <w:r>
              <w:rPr>
                <w:rStyle w:val="6"/>
                <w:rFonts w:hint="eastAsia" w:ascii="仿宋" w:hAnsi="仿宋" w:eastAsia="仿宋" w:cs="仿宋"/>
                <w:b w:val="0"/>
                <w:bCs/>
                <w:sz w:val="21"/>
                <w:szCs w:val="21"/>
                <w:lang w:val="en-US" w:eastAsia="zh-CN" w:bidi="ar"/>
              </w:rPr>
              <w:t>15</w:t>
            </w:r>
            <w:r>
              <w:rPr>
                <w:rStyle w:val="6"/>
                <w:rFonts w:hint="default" w:ascii="仿宋" w:hAnsi="仿宋" w:eastAsia="仿宋" w:cs="仿宋"/>
                <w:b w:val="0"/>
                <w:bCs/>
                <w:sz w:val="21"/>
                <w:szCs w:val="21"/>
                <w:lang w:bidi="ar"/>
              </w:rPr>
              <w:t>日之前</w:t>
            </w:r>
            <w:r>
              <w:rPr>
                <w:rStyle w:val="6"/>
                <w:rFonts w:hint="eastAsia" w:ascii="仿宋" w:hAnsi="仿宋" w:eastAsia="仿宋" w:cs="仿宋"/>
                <w:b w:val="0"/>
                <w:bCs/>
                <w:sz w:val="21"/>
                <w:szCs w:val="21"/>
                <w:lang w:val="en-US" w:eastAsia="zh-CN" w:bidi="ar"/>
              </w:rPr>
              <w:t>到货。</w:t>
            </w:r>
            <w:bookmarkEnd w:id="1"/>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 xml:space="preserve">Pengiriman diharapkan sebelum </w:t>
            </w:r>
            <w:r>
              <w:rPr>
                <w:rStyle w:val="6"/>
                <w:rFonts w:hint="eastAsia" w:ascii="仿宋" w:hAnsi="仿宋" w:eastAsia="仿宋" w:cs="仿宋"/>
                <w:b w:val="0"/>
                <w:bCs/>
                <w:color w:val="auto"/>
                <w:sz w:val="21"/>
                <w:szCs w:val="21"/>
                <w:lang w:val="en-US" w:eastAsia="zh-CN" w:bidi="ar"/>
              </w:rPr>
              <w:t>1</w:t>
            </w:r>
            <w:r>
              <w:rPr>
                <w:rStyle w:val="6"/>
                <w:rFonts w:hint="default" w:ascii="仿宋" w:hAnsi="仿宋" w:eastAsia="仿宋" w:cs="仿宋"/>
                <w:b w:val="0"/>
                <w:bCs/>
                <w:color w:val="auto"/>
                <w:sz w:val="21"/>
                <w:szCs w:val="21"/>
                <w:lang w:bidi="ar"/>
              </w:rPr>
              <w:t>5 Desember 2025</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 xml:space="preserve"> % dari total kontrak, angka waktu: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8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1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322"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368"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584"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c>
          <w:tcPr>
            <w:tcW w:w="559" w:type="dxa"/>
            <w:tcMar>
              <w:top w:w="9" w:type="dxa"/>
              <w:left w:w="9" w:type="dxa"/>
              <w:right w:w="9" w:type="dxa"/>
            </w:tcMar>
            <w:vAlign w:val="center"/>
          </w:tcPr>
          <w:p>
            <w:pPr>
              <w:widowControl/>
              <w:jc w:val="center"/>
              <w:textAlignment w:val="center"/>
              <w:rPr>
                <w:rFonts w:hint="default" w:ascii="仿宋" w:hAnsi="仿宋" w:eastAsia="仿宋" w:cs="仿宋"/>
                <w:b w:val="0"/>
                <w:bCs/>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密封填料A       Φ100/Φ80</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CCH01C.301.1.007-1</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片</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32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600</w:t>
            </w:r>
          </w:p>
        </w:tc>
        <w:tc>
          <w:tcPr>
            <w:tcW w:w="136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2400</w:t>
            </w:r>
          </w:p>
        </w:tc>
        <w:tc>
          <w:tcPr>
            <w:tcW w:w="1584"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密封填料B       Φ100/Φ80</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CCH01C.301.1.006-1</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片</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32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600</w:t>
            </w:r>
          </w:p>
        </w:tc>
        <w:tc>
          <w:tcPr>
            <w:tcW w:w="136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2400</w:t>
            </w:r>
          </w:p>
        </w:tc>
        <w:tc>
          <w:tcPr>
            <w:tcW w:w="1584"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齿型垫片</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CCH02A.301.1.054-2</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片</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w:t>
            </w:r>
          </w:p>
        </w:tc>
        <w:tc>
          <w:tcPr>
            <w:tcW w:w="132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1400</w:t>
            </w:r>
          </w:p>
        </w:tc>
        <w:tc>
          <w:tcPr>
            <w:tcW w:w="136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2800</w:t>
            </w:r>
          </w:p>
        </w:tc>
        <w:tc>
          <w:tcPr>
            <w:tcW w:w="1584"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密封填料A       Φ57/Φ37</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CH01G.301.7.017</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片</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32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480</w:t>
            </w:r>
          </w:p>
        </w:tc>
        <w:tc>
          <w:tcPr>
            <w:tcW w:w="136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1920</w:t>
            </w:r>
          </w:p>
        </w:tc>
        <w:tc>
          <w:tcPr>
            <w:tcW w:w="1584"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5</w:t>
            </w:r>
          </w:p>
        </w:tc>
        <w:tc>
          <w:tcPr>
            <w:tcW w:w="1202" w:type="dxa"/>
            <w:gridSpan w:val="2"/>
            <w:tcBorders>
              <w:bottom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密封填料B       Φ57/Φ38</w:t>
            </w:r>
          </w:p>
        </w:tc>
        <w:tc>
          <w:tcPr>
            <w:tcW w:w="2080" w:type="dxa"/>
            <w:tcBorders>
              <w:bottom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CH01G.301.7.014</w:t>
            </w:r>
          </w:p>
        </w:tc>
        <w:tc>
          <w:tcPr>
            <w:tcW w:w="610" w:type="dxa"/>
            <w:tcBorders>
              <w:bottom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片</w:t>
            </w:r>
          </w:p>
        </w:tc>
        <w:tc>
          <w:tcPr>
            <w:tcW w:w="740" w:type="dxa"/>
            <w:tcBorders>
              <w:bottom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322" w:type="dxa"/>
            <w:tcBorders>
              <w:bottom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480</w:t>
            </w:r>
          </w:p>
        </w:tc>
        <w:tc>
          <w:tcPr>
            <w:tcW w:w="1368" w:type="dxa"/>
            <w:tcBorders>
              <w:bottom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1920</w:t>
            </w:r>
          </w:p>
        </w:tc>
        <w:tc>
          <w:tcPr>
            <w:tcW w:w="1584" w:type="dxa"/>
            <w:tcBorders>
              <w:bottom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Borders>
              <w:bottom w:val="single" w:color="auto" w:sz="4" w:space="0"/>
            </w:tcBorders>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Borders>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6</w:t>
            </w:r>
          </w:p>
        </w:tc>
        <w:tc>
          <w:tcPr>
            <w:tcW w:w="1202" w:type="dxa"/>
            <w:gridSpan w:val="2"/>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石墨缠绕垫圈</w:t>
            </w:r>
          </w:p>
        </w:tc>
        <w:tc>
          <w:tcPr>
            <w:tcW w:w="2080"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CCH01E.301.1.026-1</w:t>
            </w:r>
          </w:p>
        </w:tc>
        <w:tc>
          <w:tcPr>
            <w:tcW w:w="610"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片</w:t>
            </w:r>
          </w:p>
        </w:tc>
        <w:tc>
          <w:tcPr>
            <w:tcW w:w="740"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322"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200</w:t>
            </w:r>
          </w:p>
        </w:tc>
        <w:tc>
          <w:tcPr>
            <w:tcW w:w="1368"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800</w:t>
            </w:r>
          </w:p>
        </w:tc>
        <w:tc>
          <w:tcPr>
            <w:tcW w:w="1584"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default" w:ascii="仿宋" w:hAnsi="仿宋" w:eastAsia="仿宋" w:cs="仿宋"/>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7</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垫片</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CCH02A.306.005-2</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片</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6</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600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3600</w:t>
            </w:r>
          </w:p>
        </w:tc>
        <w:tc>
          <w:tcPr>
            <w:tcW w:w="1584"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垫片</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CCH01C.306.006-1</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片</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4500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18000</w:t>
            </w:r>
          </w:p>
        </w:tc>
        <w:tc>
          <w:tcPr>
            <w:tcW w:w="1584"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垫片</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CCH02A.306.008-2</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片</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600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4800</w:t>
            </w:r>
          </w:p>
        </w:tc>
        <w:tc>
          <w:tcPr>
            <w:tcW w:w="1584"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密封填料</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CCHK02.306.004-3</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片</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710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2840</w:t>
            </w:r>
          </w:p>
        </w:tc>
        <w:tc>
          <w:tcPr>
            <w:tcW w:w="1584"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密封填料</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CCHK02.306.003-3</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片</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710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2840</w:t>
            </w:r>
          </w:p>
        </w:tc>
        <w:tc>
          <w:tcPr>
            <w:tcW w:w="1584"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齿轮油泵铁壳骨架油封</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391-2833-058（43*26*8）</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7</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90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630</w:t>
            </w: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635" cy="635"/>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635" cy="635"/>
                          </a:xfrm>
                          <a:prstGeom prst="rect">
                            <a:avLst/>
                          </a:prstGeom>
                          <a:noFill/>
                          <a:ln w="9525">
                            <a:noFill/>
                          </a:ln>
                        </pic:spPr>
                      </pic:pic>
                    </a:graphicData>
                  </a:graphic>
                </wp:inline>
              </w:drawing>
            </w:r>
            <w:r>
              <w:drawing>
                <wp:inline distT="0" distB="0" distL="114300" distR="114300">
                  <wp:extent cx="635" cy="63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635" cy="635"/>
                          </a:xfrm>
                          <a:prstGeom prst="rect">
                            <a:avLst/>
                          </a:prstGeom>
                          <a:noFill/>
                          <a:ln w="9525">
                            <a:noFill/>
                          </a:ln>
                        </pic:spPr>
                      </pic:pic>
                    </a:graphicData>
                  </a:graphic>
                </wp:inline>
              </w:drawing>
            </w:r>
            <w:r>
              <w:drawing>
                <wp:inline distT="0" distB="0" distL="114300" distR="114300">
                  <wp:extent cx="548640" cy="374650"/>
                  <wp:effectExtent l="0" t="0" r="0" b="635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5"/>
                          <a:stretch>
                            <a:fillRect/>
                          </a:stretch>
                        </pic:blipFill>
                        <pic:spPr>
                          <a:xfrm>
                            <a:off x="0" y="0"/>
                            <a:ext cx="548640" cy="374650"/>
                          </a:xfrm>
                          <a:prstGeom prst="rect">
                            <a:avLst/>
                          </a:prstGeom>
                          <a:noFill/>
                          <a:ln>
                            <a:noFill/>
                          </a:ln>
                        </pic:spPr>
                      </pic:pic>
                    </a:graphicData>
                  </a:graphic>
                </wp:inline>
              </w:drawing>
            </w:r>
            <w:r>
              <w:drawing>
                <wp:inline distT="0" distB="0" distL="114300" distR="114300">
                  <wp:extent cx="517525" cy="466090"/>
                  <wp:effectExtent l="0" t="0" r="635" b="635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6"/>
                          <a:stretch>
                            <a:fillRect/>
                          </a:stretch>
                        </pic:blipFill>
                        <pic:spPr>
                          <a:xfrm>
                            <a:off x="0" y="0"/>
                            <a:ext cx="517525" cy="466090"/>
                          </a:xfrm>
                          <a:prstGeom prst="rect">
                            <a:avLst/>
                          </a:prstGeom>
                          <a:noFill/>
                          <a:ln>
                            <a:noFill/>
                          </a:ln>
                        </pic:spPr>
                      </pic:pic>
                    </a:graphicData>
                  </a:graphic>
                </wp:inline>
              </w:drawing>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磨煤机锁紧气缸密封件</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SERIAL NO:00299383</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2,520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10080</w:t>
            </w: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87375" cy="356235"/>
                  <wp:effectExtent l="0" t="0" r="6985" b="9525"/>
                  <wp:docPr id="6" name="ID_CD9AFDDFA58E4DEB9CADF8F59D88D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D_CD9AFDDFA58E4DEB9CADF8F59D88D967"/>
                          <pic:cNvPicPr>
                            <a:picLocks noChangeAspect="1"/>
                          </pic:cNvPicPr>
                        </pic:nvPicPr>
                        <pic:blipFill>
                          <a:blip r:embed="rId7"/>
                          <a:stretch>
                            <a:fillRect/>
                          </a:stretch>
                        </pic:blipFill>
                        <pic:spPr>
                          <a:xfrm>
                            <a:off x="0" y="0"/>
                            <a:ext cx="587375" cy="356235"/>
                          </a:xfrm>
                          <a:prstGeom prst="rect">
                            <a:avLst/>
                          </a:prstGeom>
                          <a:noFill/>
                          <a:ln w="9525">
                            <a:noFill/>
                          </a:ln>
                        </pic:spPr>
                      </pic:pic>
                    </a:graphicData>
                  </a:graphic>
                </wp:inline>
              </w:drawing>
            </w:r>
            <w:r>
              <w:drawing>
                <wp:inline distT="0" distB="0" distL="114300" distR="114300">
                  <wp:extent cx="570865" cy="317500"/>
                  <wp:effectExtent l="0" t="0" r="8255" b="254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tretch>
                            <a:fillRect/>
                          </a:stretch>
                        </pic:blipFill>
                        <pic:spPr>
                          <a:xfrm>
                            <a:off x="0" y="0"/>
                            <a:ext cx="570865" cy="317500"/>
                          </a:xfrm>
                          <a:prstGeom prst="rect">
                            <a:avLst/>
                          </a:prstGeom>
                          <a:noFill/>
                          <a:ln w="9525">
                            <a:noFill/>
                          </a:ln>
                        </pic:spPr>
                      </pic:pic>
                    </a:graphicData>
                  </a:graphic>
                </wp:inline>
              </w:drawing>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工业级固态继电器</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型号：H3100ZD                                                                                                                                                                                                     负载：25-680V/AC                                                                                                                                                                                                输入：3-32VDC</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150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1500</w:t>
            </w: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56260" cy="431165"/>
                  <wp:effectExtent l="0" t="0" r="7620" b="10795"/>
                  <wp:docPr id="8" name="ID_98C5D3D2046F40649DC57A09A6E11D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D_98C5D3D2046F40649DC57A09A6E11D45"/>
                          <pic:cNvPicPr>
                            <a:picLocks noChangeAspect="1"/>
                          </pic:cNvPicPr>
                        </pic:nvPicPr>
                        <pic:blipFill>
                          <a:blip r:embed="rId9"/>
                          <a:stretch>
                            <a:fillRect/>
                          </a:stretch>
                        </pic:blipFill>
                        <pic:spPr>
                          <a:xfrm>
                            <a:off x="0" y="0"/>
                            <a:ext cx="556260" cy="431165"/>
                          </a:xfrm>
                          <a:prstGeom prst="rect">
                            <a:avLst/>
                          </a:prstGeom>
                          <a:noFill/>
                          <a:ln w="9525">
                            <a:noFill/>
                          </a:ln>
                        </pic:spPr>
                      </pic:pic>
                    </a:graphicData>
                  </a:graphic>
                </wp:inline>
              </w:drawing>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#2带三工位行走电机</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型号：DRN112M4/BE5H ( HYSST14/6250/3)带制动、工作位置接近开关、终端接近开关                                                                                                                                                                                                                                                                                                                                                                                                额定电压：380V，                                                                                                                                                                                                    电机功率：4KW，额定电流：8.4A，转速：1464r/min</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5000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5000</w:t>
            </w: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工业交换机</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型号：GW-9000-6505G（五口）</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电源：DC12-58V（Non-PoE）</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DC48V-58V（POE）</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安装方式：导轨安装</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台</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450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2700</w:t>
            </w: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17</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DDR3内存条</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Style w:val="20"/>
                <w:lang w:val="en-US" w:eastAsia="zh-CN" w:bidi="ar"/>
              </w:rPr>
              <w:t>类型：DDR3L/DDR3 1600U，容量：8GB 1R</w:t>
            </w:r>
            <w:r>
              <w:rPr>
                <w:rFonts w:ascii="Arial" w:hAnsi="Arial" w:eastAsia="宋体" w:cs="Arial"/>
                <w:i w:val="0"/>
                <w:color w:val="000000"/>
                <w:kern w:val="0"/>
                <w:sz w:val="22"/>
                <w:szCs w:val="22"/>
                <w:u w:val="none"/>
                <w:lang w:val="en-US" w:eastAsia="zh-CN" w:bidi="ar"/>
              </w:rPr>
              <w:t>×</w:t>
            </w:r>
            <w:r>
              <w:rPr>
                <w:rStyle w:val="20"/>
                <w:lang w:val="en-US" w:eastAsia="zh-CN" w:bidi="ar"/>
              </w:rPr>
              <w:t>8</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150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300</w:t>
            </w: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414020" cy="1179195"/>
                  <wp:effectExtent l="0" t="0" r="9525" b="12700"/>
                  <wp:docPr id="9" name="ID_9B693115FDC54758A7032A947A5984AD" descr="1e8ce898f1e6d85bac4f04542dae95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D_9B693115FDC54758A7032A947A5984AD" descr="1e8ce898f1e6d85bac4f04542dae955b"/>
                          <pic:cNvPicPr>
                            <a:picLocks noChangeAspect="1"/>
                          </pic:cNvPicPr>
                        </pic:nvPicPr>
                        <pic:blipFill>
                          <a:blip r:embed="rId10"/>
                          <a:stretch>
                            <a:fillRect/>
                          </a:stretch>
                        </pic:blipFill>
                        <pic:spPr>
                          <a:xfrm rot="-5400000">
                            <a:off x="0" y="0"/>
                            <a:ext cx="414020" cy="1179195"/>
                          </a:xfrm>
                          <a:prstGeom prst="rect">
                            <a:avLst/>
                          </a:prstGeom>
                          <a:noFill/>
                          <a:ln>
                            <a:noFill/>
                          </a:ln>
                        </pic:spPr>
                      </pic:pic>
                    </a:graphicData>
                  </a:graphic>
                </wp:inline>
              </w:drawing>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18</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锡箔纸</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宽度：45cm   长度：150米</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卷</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160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320</w:t>
            </w: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bookmarkStart w:id="3" w:name="_GoBack"/>
            <w:bookmarkEnd w:id="3"/>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19</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电瓶叉车后轮轮胎</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18x7-8</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条</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800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3200</w:t>
            </w: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电瓶叉车前轮轮胎</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28x9-15</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条</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1800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3600</w:t>
            </w: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664845" cy="430530"/>
                  <wp:effectExtent l="0" t="0" r="5715" b="11430"/>
                  <wp:docPr id="10" name="ID_8E751F844A3742D4B2AC24E986C0B3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D_8E751F844A3742D4B2AC24E986C0B3F1"/>
                          <pic:cNvPicPr>
                            <a:picLocks noChangeAspect="1"/>
                          </pic:cNvPicPr>
                        </pic:nvPicPr>
                        <pic:blipFill>
                          <a:blip r:embed="rId11"/>
                          <a:srcRect r="235" b="12489"/>
                          <a:stretch>
                            <a:fillRect/>
                          </a:stretch>
                        </pic:blipFill>
                        <pic:spPr>
                          <a:xfrm>
                            <a:off x="0" y="0"/>
                            <a:ext cx="664845" cy="430530"/>
                          </a:xfrm>
                          <a:prstGeom prst="rect">
                            <a:avLst/>
                          </a:prstGeom>
                          <a:noFill/>
                          <a:ln w="9525">
                            <a:noFill/>
                          </a:ln>
                        </pic:spPr>
                      </pic:pic>
                    </a:graphicData>
                  </a:graphic>
                </wp:inline>
              </w:drawing>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60"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辐射剂量率仪</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JSY6500</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17700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17700</w:t>
            </w: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60"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个人剂量报警仪</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SMACH RG1100</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3870</w:t>
            </w: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3870</w:t>
            </w: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430"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szCs w:val="21"/>
              </w:rPr>
            </w:pPr>
            <w:r>
              <w:rPr>
                <w:rFonts w:hint="eastAsia" w:ascii="仿宋" w:hAnsi="仿宋" w:eastAsia="仿宋" w:cs="仿宋"/>
                <w:bCs/>
                <w:color w:val="000000"/>
                <w:szCs w:val="21"/>
                <w:lang w:val="en-US" w:eastAsia="zh-CN"/>
              </w:rPr>
              <w:t>小计</w:t>
            </w:r>
          </w:p>
        </w:tc>
        <w:tc>
          <w:tcPr>
            <w:tcW w:w="3511" w:type="dxa"/>
            <w:gridSpan w:val="3"/>
            <w:tcMar>
              <w:top w:w="9" w:type="dxa"/>
              <w:left w:w="9" w:type="dxa"/>
              <w:right w:w="9" w:type="dxa"/>
            </w:tcMar>
            <w:vAlign w:val="center"/>
          </w:tcPr>
          <w:p>
            <w:pPr>
              <w:widowControl/>
              <w:adjustRightInd w:val="0"/>
              <w:snapToGrid w:val="0"/>
              <w:spacing w:line="240" w:lineRule="auto"/>
              <w:jc w:val="both"/>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430"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szCs w:val="21"/>
              </w:rPr>
            </w:pPr>
            <w:r>
              <w:rPr>
                <w:rFonts w:hint="eastAsia" w:ascii="仿宋" w:hAnsi="仿宋" w:eastAsia="仿宋" w:cs="仿宋"/>
                <w:bCs/>
                <w:color w:val="000000"/>
                <w:szCs w:val="21"/>
                <w:lang w:val="en-US" w:eastAsia="zh-CN"/>
              </w:rPr>
              <w:t>PPN11%</w:t>
            </w:r>
          </w:p>
        </w:tc>
        <w:tc>
          <w:tcPr>
            <w:tcW w:w="3511"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430"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kern w:val="0"/>
                <w:szCs w:val="21"/>
                <w:lang w:bidi="ar"/>
              </w:rPr>
            </w:pPr>
            <w:r>
              <w:rPr>
                <w:rStyle w:val="10"/>
                <w:rFonts w:hint="default" w:ascii="仿宋" w:hAnsi="仿宋" w:eastAsia="仿宋" w:cs="仿宋"/>
                <w:sz w:val="21"/>
                <w:szCs w:val="21"/>
              </w:rPr>
              <w:t>含税总价</w:t>
            </w:r>
            <w:r>
              <w:rPr>
                <w:rFonts w:hint="eastAsia" w:ascii="仿宋" w:hAnsi="仿宋" w:eastAsia="仿宋" w:cs="仿宋"/>
                <w:bCs/>
                <w:color w:val="000000"/>
                <w:kern w:val="0"/>
                <w:szCs w:val="21"/>
                <w:lang w:bidi="ar"/>
              </w:rPr>
              <w:t>：</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Harga Total :</w:t>
            </w:r>
          </w:p>
        </w:tc>
        <w:tc>
          <w:tcPr>
            <w:tcW w:w="3511"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bookmarkStart w:id="2" w:name="OLE_LINK2"/>
            <w:r>
              <w:rPr>
                <w:rStyle w:val="10"/>
                <w:rFonts w:hint="default" w:ascii="仿宋" w:hAnsi="仿宋" w:eastAsia="仿宋" w:cs="仿宋"/>
                <w:b w:val="0"/>
                <w:bCs/>
                <w:sz w:val="21"/>
                <w:szCs w:val="21"/>
                <w:lang w:bidi="ar"/>
              </w:rPr>
              <w:t>交货期</w:t>
            </w:r>
            <w:bookmarkEnd w:id="2"/>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Periode pengiriman</w:t>
            </w:r>
          </w:p>
        </w:tc>
        <w:tc>
          <w:tcPr>
            <w:tcW w:w="213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p>
        </w:tc>
        <w:tc>
          <w:tcPr>
            <w:tcW w:w="1350"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4"/>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8"/>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rPr>
          <w:rFonts w:ascii="宋体" w:hAnsi="宋体" w:cs="宋体"/>
          <w:color w:val="000000"/>
          <w:kern w:val="0"/>
          <w:sz w:val="24"/>
          <w:lang w:bidi="ar"/>
        </w:rPr>
      </w:pPr>
    </w:p>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A0E320D"/>
    <w:rsid w:val="0EBC0BA3"/>
    <w:rsid w:val="1C771079"/>
    <w:rsid w:val="22050570"/>
    <w:rsid w:val="25E02FB7"/>
    <w:rsid w:val="30236782"/>
    <w:rsid w:val="30EC26E1"/>
    <w:rsid w:val="37E14762"/>
    <w:rsid w:val="3F1A65D4"/>
    <w:rsid w:val="3F640352"/>
    <w:rsid w:val="49983ADC"/>
    <w:rsid w:val="51327AEA"/>
    <w:rsid w:val="5B6053D6"/>
    <w:rsid w:val="5B7B286E"/>
    <w:rsid w:val="60810D7D"/>
    <w:rsid w:val="60BD6F50"/>
    <w:rsid w:val="62DF7CBD"/>
    <w:rsid w:val="73801BA4"/>
    <w:rsid w:val="77830040"/>
    <w:rsid w:val="7C923847"/>
    <w:rsid w:val="7DFF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21"/>
    <w:basedOn w:val="3"/>
    <w:qFormat/>
    <w:uiPriority w:val="0"/>
    <w:rPr>
      <w:rFonts w:hint="default" w:ascii="Times New Roman" w:hAnsi="Times New Roman" w:cs="Times New Roman"/>
      <w:color w:val="000000"/>
      <w:sz w:val="24"/>
      <w:szCs w:val="24"/>
      <w:u w:val="none"/>
    </w:rPr>
  </w:style>
  <w:style w:type="character" w:customStyle="1" w:styleId="15">
    <w:name w:val="font71"/>
    <w:basedOn w:val="3"/>
    <w:qFormat/>
    <w:uiPriority w:val="0"/>
    <w:rPr>
      <w:rFonts w:hint="eastAsia" w:ascii="宋体" w:hAnsi="宋体" w:eastAsia="宋体" w:cs="宋体"/>
      <w:color w:val="000000"/>
      <w:sz w:val="24"/>
      <w:szCs w:val="24"/>
      <w:u w:val="none"/>
    </w:rPr>
  </w:style>
  <w:style w:type="character" w:customStyle="1" w:styleId="16">
    <w:name w:val="font81"/>
    <w:basedOn w:val="3"/>
    <w:qFormat/>
    <w:uiPriority w:val="0"/>
    <w:rPr>
      <w:rFonts w:hint="eastAsia" w:ascii="宋体" w:hAnsi="宋体" w:eastAsia="宋体" w:cs="宋体"/>
      <w:color w:val="000000"/>
      <w:sz w:val="24"/>
      <w:szCs w:val="24"/>
      <w:u w:val="none"/>
    </w:rPr>
  </w:style>
  <w:style w:type="character" w:customStyle="1" w:styleId="17">
    <w:name w:val="font31"/>
    <w:basedOn w:val="3"/>
    <w:qFormat/>
    <w:uiPriority w:val="0"/>
    <w:rPr>
      <w:rFonts w:hint="default" w:ascii="仿宋_GB2312" w:eastAsia="仿宋_GB2312" w:cs="仿宋_GB2312"/>
      <w:color w:val="000000"/>
      <w:sz w:val="24"/>
      <w:szCs w:val="24"/>
      <w:u w:val="none"/>
    </w:rPr>
  </w:style>
  <w:style w:type="character" w:customStyle="1" w:styleId="18">
    <w:name w:val="font51"/>
    <w:basedOn w:val="3"/>
    <w:qFormat/>
    <w:uiPriority w:val="0"/>
    <w:rPr>
      <w:rFonts w:hint="default" w:ascii="仿宋_GB2312" w:eastAsia="仿宋_GB2312" w:cs="仿宋_GB2312"/>
      <w:color w:val="000000"/>
      <w:sz w:val="24"/>
      <w:szCs w:val="24"/>
      <w:u w:val="none"/>
    </w:rPr>
  </w:style>
  <w:style w:type="character" w:customStyle="1" w:styleId="19">
    <w:name w:val="font61"/>
    <w:basedOn w:val="3"/>
    <w:uiPriority w:val="0"/>
    <w:rPr>
      <w:rFonts w:hint="eastAsia" w:ascii="宋体" w:hAnsi="宋体" w:eastAsia="宋体" w:cs="宋体"/>
      <w:color w:val="000000"/>
      <w:sz w:val="24"/>
      <w:szCs w:val="24"/>
      <w:u w:val="none"/>
    </w:rPr>
  </w:style>
  <w:style w:type="character" w:customStyle="1" w:styleId="20">
    <w:name w:val="font01"/>
    <w:basedOn w:val="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2</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2025-11-11T09:48:04Z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