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tabs>
          <w:tab w:val="left" w:pos="2560"/>
        </w:tabs>
        <w:spacing w:line="360" w:lineRule="auto"/>
        <w:jc w:val="center"/>
        <w:rPr>
          <w:rFonts w:ascii="Times New Roman" w:eastAsia="仿宋"/>
          <w:bCs/>
          <w:position w:val="0"/>
          <w:sz w:val="24"/>
          <w:szCs w:val="24"/>
        </w:rPr>
      </w:pPr>
      <w:r>
        <w:rPr>
          <w:rFonts w:hint="eastAsia" w:ascii="Times New Roman" w:eastAsia="仿宋"/>
          <w:bCs/>
          <w:position w:val="0"/>
          <w:sz w:val="28"/>
          <w:szCs w:val="28"/>
          <w:lang w:val="en-US" w:eastAsia="zh-CN"/>
        </w:rPr>
        <w:t>2025-2026年全厂固废、危废处理</w:t>
      </w:r>
      <w:r>
        <w:rPr>
          <w:rFonts w:ascii="Times New Roman" w:eastAsia="仿宋"/>
          <w:bCs/>
          <w:position w:val="0"/>
          <w:sz w:val="28"/>
          <w:szCs w:val="28"/>
        </w:rPr>
        <w:t>采购文件</w:t>
      </w:r>
    </w:p>
    <w:p>
      <w:pPr>
        <w:pStyle w:val="17"/>
        <w:ind w:left="0" w:leftChars="0" w:firstLine="0" w:firstLineChars="0"/>
        <w:jc w:val="center"/>
        <w:rPr>
          <w:rFonts w:hint="eastAsia" w:ascii="宋体" w:hAnsi="宋体" w:eastAsia="宋体" w:cs="宋体"/>
          <w:b/>
          <w:bCs/>
          <w:position w:val="0"/>
          <w:sz w:val="24"/>
          <w:szCs w:val="24"/>
        </w:rPr>
      </w:pPr>
      <w:r>
        <w:rPr>
          <w:rFonts w:hint="eastAsia" w:ascii="宋体" w:hAnsi="宋体" w:eastAsia="宋体" w:cs="宋体"/>
          <w:b/>
          <w:bCs/>
          <w:position w:val="0"/>
          <w:sz w:val="24"/>
          <w:szCs w:val="24"/>
        </w:rPr>
        <w:t xml:space="preserve">Penyelidikan dan dokumen pembelian sepatu perlindungan tenaga kerja </w:t>
      </w:r>
    </w:p>
    <w:p>
      <w:pPr>
        <w:pStyle w:val="17"/>
        <w:ind w:left="0" w:leftChars="0" w:firstLine="0" w:firstLineChars="0"/>
        <w:jc w:val="center"/>
        <w:rPr>
          <w:rFonts w:hint="eastAsia" w:ascii="宋体" w:hAnsi="宋体" w:eastAsia="宋体" w:cs="宋体"/>
          <w:b/>
          <w:bCs/>
          <w:position w:val="0"/>
          <w:sz w:val="24"/>
          <w:szCs w:val="24"/>
        </w:rPr>
      </w:pPr>
      <w:r>
        <w:rPr>
          <w:rFonts w:hint="eastAsia" w:ascii="宋体" w:hAnsi="宋体" w:eastAsia="宋体" w:cs="宋体"/>
          <w:b/>
          <w:bCs/>
          <w:position w:val="0"/>
          <w:sz w:val="24"/>
          <w:szCs w:val="24"/>
        </w:rPr>
        <w:t>PT CHD Power Plant Operation Indonesia Muara Enim Branch</w:t>
      </w:r>
    </w:p>
    <w:p>
      <w:pPr>
        <w:rPr>
          <w:rFonts w:ascii="Times New Roman" w:eastAsia="仿宋"/>
          <w:b/>
          <w:position w:val="0"/>
          <w:sz w:val="24"/>
          <w:szCs w:val="24"/>
        </w:rPr>
      </w:pPr>
    </w:p>
    <w:p>
      <w:pPr>
        <w:spacing w:line="360" w:lineRule="auto"/>
        <w:rPr>
          <w:rFonts w:ascii="Times New Roman" w:eastAsia="仿宋"/>
          <w:bCs/>
          <w:sz w:val="24"/>
          <w:szCs w:val="24"/>
        </w:rPr>
      </w:pPr>
      <w:r>
        <w:rPr>
          <w:rFonts w:ascii="Times New Roman" w:eastAsia="仿宋"/>
          <w:bCs/>
          <w:sz w:val="24"/>
          <w:szCs w:val="24"/>
        </w:rPr>
        <w:t>一、资格条件</w:t>
      </w:r>
      <w:r>
        <w:rPr>
          <w:rFonts w:ascii="Times New Roman" w:eastAsia="仿宋"/>
          <w:sz w:val="24"/>
          <w:szCs w:val="24"/>
        </w:rPr>
        <w:t>Kualifikasi</w:t>
      </w:r>
      <w:r>
        <w:rPr>
          <w:rFonts w:ascii="Times New Roman" w:eastAsia="仿宋"/>
          <w:bCs/>
          <w:sz w:val="24"/>
          <w:szCs w:val="24"/>
        </w:rPr>
        <w:t>：</w:t>
      </w:r>
    </w:p>
    <w:p>
      <w:pPr>
        <w:widowControl/>
        <w:tabs>
          <w:tab w:val="left" w:pos="567"/>
        </w:tabs>
        <w:spacing w:line="360" w:lineRule="auto"/>
        <w:ind w:left="426" w:firstLine="52" w:firstLineChars="22"/>
        <w:rPr>
          <w:rFonts w:ascii="Times New Roman" w:eastAsia="仿宋"/>
          <w:bCs/>
          <w:sz w:val="24"/>
          <w:szCs w:val="24"/>
        </w:rPr>
      </w:pPr>
      <w:r>
        <w:rPr>
          <w:rFonts w:hint="eastAsia" w:ascii="Times New Roman" w:eastAsia="仿宋"/>
          <w:bCs/>
          <w:sz w:val="24"/>
          <w:szCs w:val="24"/>
        </w:rPr>
        <w:t>1、</w:t>
      </w:r>
      <w:r>
        <w:rPr>
          <w:rFonts w:ascii="Times New Roman" w:eastAsia="仿宋"/>
          <w:bCs/>
          <w:sz w:val="24"/>
          <w:szCs w:val="24"/>
        </w:rPr>
        <w:t>供应商是印度尼西亚注册公司, 具有独立的法人资格，持有有效营业执照，能够独立承担民事责任。</w:t>
      </w:r>
    </w:p>
    <w:p>
      <w:pPr>
        <w:pStyle w:val="3"/>
        <w:tabs>
          <w:tab w:val="left" w:pos="567"/>
        </w:tabs>
        <w:spacing w:line="360" w:lineRule="auto"/>
        <w:ind w:left="426" w:firstLine="52" w:firstLineChars="22"/>
        <w:rPr>
          <w:rFonts w:ascii="Times New Roman" w:eastAsia="仿宋"/>
          <w:sz w:val="24"/>
          <w:szCs w:val="24"/>
        </w:rPr>
      </w:pPr>
      <w:r>
        <w:rPr>
          <w:rFonts w:ascii="Times New Roman" w:eastAsia="仿宋"/>
          <w:sz w:val="24"/>
          <w:szCs w:val="24"/>
        </w:rPr>
        <w:t>Penawar adalah perusahaan terdaftar di Indonesia, memiliki badan hukum independen, memiliki izin usaha yang sah, dapat menanggung tanggung jawab perdata secara mandiri, dan dapat menandatangani kontrak secara mandiri</w:t>
      </w:r>
    </w:p>
    <w:p>
      <w:pPr>
        <w:pStyle w:val="3"/>
        <w:tabs>
          <w:tab w:val="left" w:pos="567"/>
        </w:tabs>
        <w:spacing w:line="360" w:lineRule="auto"/>
        <w:ind w:left="426" w:firstLine="52" w:firstLineChars="22"/>
        <w:rPr>
          <w:rFonts w:hint="eastAsia" w:ascii="Times New Roman" w:eastAsia="仿宋"/>
          <w:sz w:val="24"/>
          <w:szCs w:val="24"/>
          <w:lang w:val="en-US" w:eastAsia="zh-CN"/>
        </w:rPr>
      </w:pPr>
      <w:r>
        <w:rPr>
          <w:rFonts w:hint="eastAsia" w:ascii="Times New Roman" w:eastAsia="仿宋"/>
          <w:sz w:val="24"/>
          <w:szCs w:val="24"/>
          <w:lang w:val="en-US" w:eastAsia="zh-CN"/>
        </w:rPr>
        <w:t>2、服务提供商必须持有由环境与林业部（KLHK）或其他相关主管机构签发的有效且正式的许可证和认证，并与工作范围相符。服务提供商须持有危险有害废物（LB3）管理（处理、利用和收集）及运输的有效许可证。</w:t>
      </w:r>
    </w:p>
    <w:p>
      <w:pPr>
        <w:pStyle w:val="3"/>
        <w:tabs>
          <w:tab w:val="left" w:pos="567"/>
        </w:tabs>
        <w:spacing w:line="360" w:lineRule="auto"/>
        <w:ind w:left="426" w:firstLine="52" w:firstLineChars="22"/>
        <w:rPr>
          <w:rFonts w:hint="eastAsia" w:ascii="Times New Roman" w:eastAsia="仿宋"/>
          <w:sz w:val="24"/>
          <w:szCs w:val="24"/>
          <w:lang w:val="en-US" w:eastAsia="zh-CN"/>
        </w:rPr>
      </w:pPr>
      <w:r>
        <w:rPr>
          <w:rFonts w:hint="eastAsia" w:ascii="Times New Roman" w:eastAsia="仿宋"/>
          <w:sz w:val="24"/>
          <w:szCs w:val="24"/>
          <w:lang w:val="en-US" w:eastAsia="zh-CN"/>
        </w:rPr>
        <w:t>Penyedia jasa harus memiliki izin dan sertifikasi resmi dari Kementerian Lingkungan Hidup dan Kehutanan (KLHK) atau instansi terkait yang berlaku dan relevan dengan lingkup pekerjaan. Memiliki Surat Izin Pengelolaan (Pengolahan, Pemanfaatan, Dan Pengumpulan) dan transportasi Limbah Bahan Berbahaya dan Beracun (LB3).</w:t>
      </w:r>
    </w:p>
    <w:p>
      <w:pPr>
        <w:pStyle w:val="3"/>
        <w:numPr>
          <w:ilvl w:val="0"/>
          <w:numId w:val="2"/>
        </w:numPr>
        <w:tabs>
          <w:tab w:val="left" w:pos="567"/>
        </w:tabs>
        <w:spacing w:line="360" w:lineRule="auto"/>
        <w:ind w:left="426" w:firstLine="52" w:firstLineChars="22"/>
        <w:rPr>
          <w:rFonts w:hint="eastAsia" w:ascii="Times New Roman" w:eastAsia="仿宋"/>
          <w:sz w:val="24"/>
          <w:szCs w:val="24"/>
          <w:lang w:val="en-US" w:eastAsia="zh-CN"/>
        </w:rPr>
      </w:pPr>
      <w:r>
        <w:rPr>
          <w:rFonts w:hint="eastAsia" w:ascii="Times New Roman" w:eastAsia="仿宋"/>
          <w:sz w:val="24"/>
          <w:szCs w:val="24"/>
          <w:lang w:val="en-US" w:eastAsia="zh-CN"/>
        </w:rPr>
        <w:t>拥有 ISO 14001（环境管理体系）或同等资格认证。</w:t>
      </w:r>
    </w:p>
    <w:p>
      <w:pPr>
        <w:pStyle w:val="3"/>
        <w:numPr>
          <w:ilvl w:val="-1"/>
          <w:numId w:val="0"/>
        </w:numPr>
        <w:tabs>
          <w:tab w:val="left" w:pos="567"/>
        </w:tabs>
        <w:spacing w:line="360" w:lineRule="auto"/>
        <w:ind w:left="0" w:leftChars="0" w:firstLine="480" w:firstLineChars="200"/>
        <w:rPr>
          <w:rFonts w:hint="eastAsia" w:ascii="Times New Roman" w:eastAsia="仿宋"/>
          <w:sz w:val="24"/>
          <w:szCs w:val="24"/>
          <w:lang w:val="en-US" w:eastAsia="zh-CN"/>
        </w:rPr>
      </w:pPr>
      <w:r>
        <w:rPr>
          <w:rFonts w:hint="eastAsia" w:ascii="Times New Roman" w:eastAsia="仿宋"/>
          <w:sz w:val="24"/>
          <w:szCs w:val="24"/>
          <w:lang w:val="en-US" w:eastAsia="zh-CN"/>
        </w:rPr>
        <w:t>Memiliki Sertifikat ISO 14001 (Sistem Manajemen Lingkungan) atau setara.</w:t>
      </w:r>
    </w:p>
    <w:p>
      <w:pPr>
        <w:pStyle w:val="3"/>
        <w:numPr>
          <w:ilvl w:val="0"/>
          <w:numId w:val="2"/>
        </w:numPr>
        <w:tabs>
          <w:tab w:val="left" w:pos="567"/>
        </w:tabs>
        <w:spacing w:line="360" w:lineRule="auto"/>
        <w:ind w:left="426" w:leftChars="0" w:firstLine="52" w:firstLineChars="22"/>
        <w:rPr>
          <w:rFonts w:hint="eastAsia" w:ascii="Times New Roman" w:eastAsia="仿宋"/>
          <w:sz w:val="24"/>
          <w:szCs w:val="24"/>
        </w:rPr>
      </w:pPr>
      <w:r>
        <w:rPr>
          <w:rFonts w:hint="eastAsia" w:ascii="Times New Roman" w:eastAsia="仿宋"/>
          <w:sz w:val="24"/>
          <w:szCs w:val="24"/>
        </w:rPr>
        <w:t>拥有环境污染保险。Memiliki Asuransi Pencemaran lingkungan.</w:t>
      </w:r>
    </w:p>
    <w:p>
      <w:pPr>
        <w:pStyle w:val="3"/>
        <w:numPr>
          <w:ilvl w:val="0"/>
          <w:numId w:val="2"/>
        </w:numPr>
        <w:tabs>
          <w:tab w:val="left" w:pos="567"/>
        </w:tabs>
        <w:spacing w:line="360" w:lineRule="auto"/>
        <w:ind w:left="426" w:leftChars="0" w:firstLine="52" w:firstLineChars="22"/>
        <w:rPr>
          <w:rFonts w:hint="default" w:ascii="Times New Roman" w:eastAsia="仿宋"/>
          <w:sz w:val="24"/>
          <w:szCs w:val="24"/>
          <w:lang w:val="en-US" w:eastAsia="zh-CN"/>
        </w:rPr>
      </w:pPr>
      <w:r>
        <w:rPr>
          <w:rFonts w:hint="default" w:ascii="Times New Roman" w:eastAsia="仿宋"/>
          <w:sz w:val="24"/>
          <w:szCs w:val="24"/>
        </w:rPr>
        <w:t>拥有根据现行法律法规执行相关项目业绩。</w:t>
      </w:r>
    </w:p>
    <w:p>
      <w:pPr>
        <w:pStyle w:val="3"/>
        <w:numPr>
          <w:ilvl w:val="-1"/>
          <w:numId w:val="0"/>
        </w:numPr>
        <w:tabs>
          <w:tab w:val="left" w:pos="567"/>
        </w:tabs>
        <w:spacing w:line="360" w:lineRule="auto"/>
        <w:ind w:left="480" w:leftChars="150" w:firstLine="0" w:firstLineChars="0"/>
        <w:rPr>
          <w:rFonts w:hint="default" w:ascii="Times New Roman" w:eastAsia="仿宋"/>
          <w:sz w:val="24"/>
          <w:szCs w:val="24"/>
          <w:lang w:val="en-US" w:eastAsia="zh-CN"/>
        </w:rPr>
      </w:pPr>
      <w:r>
        <w:rPr>
          <w:rFonts w:hint="default" w:ascii="Times New Roman" w:eastAsia="仿宋"/>
          <w:sz w:val="24"/>
          <w:szCs w:val="24"/>
        </w:rPr>
        <w:t>Memiliki pengalaman dalam melaksanakan kegiatan proyek yang relevan sesuai dengan peraturan perundang-undangan yang berlaku.</w:t>
      </w:r>
    </w:p>
    <w:p>
      <w:pPr>
        <w:numPr>
          <w:ilvl w:val="0"/>
          <w:numId w:val="3"/>
        </w:numPr>
        <w:spacing w:line="360" w:lineRule="auto"/>
        <w:rPr>
          <w:rFonts w:ascii="Times New Roman" w:eastAsia="仿宋"/>
          <w:bCs/>
          <w:sz w:val="24"/>
          <w:szCs w:val="24"/>
        </w:rPr>
      </w:pPr>
      <w:r>
        <w:rPr>
          <w:rFonts w:ascii="Times New Roman" w:eastAsia="仿宋"/>
          <w:bCs/>
          <w:sz w:val="24"/>
          <w:szCs w:val="24"/>
        </w:rPr>
        <w:t xml:space="preserve">技术要求 </w:t>
      </w:r>
    </w:p>
    <w:p>
      <w:pPr>
        <w:spacing w:line="360" w:lineRule="auto"/>
        <w:rPr>
          <w:rFonts w:ascii="Times New Roman" w:eastAsia="仿宋"/>
          <w:bCs/>
          <w:sz w:val="24"/>
          <w:szCs w:val="24"/>
        </w:rPr>
      </w:pPr>
      <w:r>
        <w:rPr>
          <w:rFonts w:ascii="Times New Roman" w:eastAsia="仿宋"/>
          <w:bCs/>
          <w:sz w:val="24"/>
          <w:szCs w:val="24"/>
        </w:rPr>
        <w:t>二、Persyaratan Teknis：</w:t>
      </w:r>
    </w:p>
    <w:p>
      <w:pPr>
        <w:pStyle w:val="17"/>
        <w:spacing w:line="360" w:lineRule="auto"/>
        <w:ind w:left="426" w:leftChars="0" w:firstLine="0" w:firstLineChars="0"/>
        <w:rPr>
          <w:rFonts w:hint="eastAsia" w:ascii="Times New Roman" w:hAnsi="Times New Roman" w:eastAsia="仿宋"/>
          <w:sz w:val="24"/>
          <w:szCs w:val="24"/>
        </w:rPr>
      </w:pPr>
      <w:bookmarkStart w:id="0" w:name="OLE_LINK2"/>
      <w:r>
        <w:rPr>
          <w:rFonts w:hint="eastAsia" w:ascii="Times New Roman" w:hAnsi="Times New Roman" w:eastAsia="仿宋"/>
          <w:sz w:val="24"/>
          <w:szCs w:val="24"/>
          <w:lang w:val="en-US" w:eastAsia="zh-CN"/>
        </w:rPr>
        <w:t>1、</w:t>
      </w:r>
      <w:r>
        <w:rPr>
          <w:rFonts w:hint="eastAsia" w:ascii="Times New Roman" w:hAnsi="Times New Roman" w:eastAsia="仿宋"/>
          <w:sz w:val="24"/>
          <w:szCs w:val="24"/>
        </w:rPr>
        <w:t>人员必须具备危险废物管理的专业培训和认证（危险废物管理负责人和危险废物管理操作员），以及危险废物运输驾驶员的认证。</w:t>
      </w:r>
    </w:p>
    <w:p>
      <w:pPr>
        <w:pStyle w:val="17"/>
        <w:spacing w:line="360" w:lineRule="auto"/>
        <w:ind w:left="426" w:leftChars="0" w:firstLine="0" w:firstLineChars="0"/>
        <w:rPr>
          <w:rFonts w:hint="eastAsia" w:ascii="Times New Roman" w:hAnsi="Times New Roman" w:eastAsia="仿宋"/>
          <w:sz w:val="24"/>
          <w:szCs w:val="24"/>
        </w:rPr>
      </w:pPr>
      <w:r>
        <w:rPr>
          <w:rFonts w:hint="eastAsia" w:ascii="Times New Roman" w:hAnsi="Times New Roman" w:eastAsia="仿宋"/>
          <w:sz w:val="24"/>
          <w:szCs w:val="24"/>
        </w:rPr>
        <w:t>Personel harus memiliki sertifikasi dan pelatihan khusus dalam pengelolaan  Limbah Bahan Berbahaya dan Beracun (Penanggung Jawab Pengelolaan Limbah B3 dan Operator Pengelolaan Limbah B3) dan Sertifikasi pegemudi angkutan Limbah Bahan Berbahaya dan Beracun (LB3).</w:t>
      </w:r>
    </w:p>
    <w:p>
      <w:pPr>
        <w:pStyle w:val="17"/>
        <w:numPr>
          <w:ilvl w:val="-1"/>
          <w:numId w:val="0"/>
        </w:numPr>
        <w:spacing w:line="360" w:lineRule="auto"/>
        <w:ind w:left="0" w:leftChars="0" w:firstLine="480" w:firstLineChars="200"/>
        <w:rPr>
          <w:rFonts w:hint="eastAsia" w:ascii="Times New Roman" w:hAnsi="Times New Roman" w:eastAsia="仿宋"/>
          <w:sz w:val="24"/>
          <w:szCs w:val="24"/>
        </w:rPr>
      </w:pPr>
      <w:r>
        <w:rPr>
          <w:rFonts w:hint="eastAsia" w:ascii="Times New Roman" w:hAnsi="Times New Roman" w:eastAsia="仿宋"/>
          <w:sz w:val="24"/>
          <w:szCs w:val="24"/>
          <w:lang w:val="en-US" w:eastAsia="zh-CN"/>
        </w:rPr>
        <w:t>2</w:t>
      </w:r>
      <w:r>
        <w:rPr>
          <w:rFonts w:hint="eastAsia" w:ascii="Times New Roman" w:hAnsi="Times New Roman" w:eastAsia="仿宋"/>
          <w:sz w:val="24"/>
          <w:szCs w:val="24"/>
          <w:lang w:eastAsia="zh-CN"/>
        </w:rPr>
        <w:t>、</w:t>
      </w:r>
      <w:r>
        <w:rPr>
          <w:rFonts w:hint="eastAsia" w:ascii="Times New Roman" w:hAnsi="Times New Roman" w:eastAsia="仿宋"/>
          <w:sz w:val="24"/>
          <w:szCs w:val="24"/>
        </w:rPr>
        <w:t>服务提供商必须提供随时准备应对紧急情况的专家团队。</w:t>
      </w:r>
    </w:p>
    <w:p>
      <w:pPr>
        <w:pStyle w:val="17"/>
        <w:numPr>
          <w:ilvl w:val="-1"/>
          <w:numId w:val="0"/>
        </w:numPr>
        <w:spacing w:line="360" w:lineRule="auto"/>
        <w:ind w:left="0" w:leftChars="0" w:firstLine="480" w:firstLineChars="200"/>
        <w:rPr>
          <w:rFonts w:ascii="Times New Roman" w:hAnsi="Times New Roman" w:eastAsia="仿宋"/>
          <w:sz w:val="24"/>
          <w:szCs w:val="24"/>
        </w:rPr>
      </w:pPr>
      <w:r>
        <w:rPr>
          <w:rFonts w:hint="eastAsia" w:ascii="Times New Roman" w:hAnsi="Times New Roman" w:eastAsia="仿宋"/>
          <w:sz w:val="24"/>
          <w:szCs w:val="24"/>
        </w:rPr>
        <w:t>Penyedia jasa harus menyediakan tim ahli yang siap menangani keadaan darurat.</w:t>
      </w:r>
    </w:p>
    <w:p>
      <w:pPr>
        <w:pStyle w:val="17"/>
        <w:spacing w:line="360" w:lineRule="auto"/>
        <w:ind w:left="426" w:leftChars="0" w:hanging="142" w:firstLineChars="0"/>
        <w:rPr>
          <w:rFonts w:ascii="Times New Roman" w:hAnsi="Times New Roman" w:eastAsia="仿宋"/>
          <w:bCs/>
          <w:iCs/>
          <w:sz w:val="24"/>
          <w:szCs w:val="24"/>
          <w:lang w:val="id-ID"/>
        </w:rPr>
      </w:pPr>
      <w:r>
        <w:rPr>
          <w:rFonts w:hint="eastAsia" w:ascii="Times New Roman" w:hAnsi="Times New Roman" w:eastAsia="仿宋"/>
          <w:sz w:val="24"/>
          <w:szCs w:val="24"/>
        </w:rPr>
        <w:t xml:space="preserve"> </w:t>
      </w:r>
      <w:r>
        <w:rPr>
          <w:rFonts w:hint="eastAsia" w:ascii="Times New Roman" w:hAnsi="Times New Roman" w:eastAsia="仿宋"/>
          <w:sz w:val="24"/>
          <w:szCs w:val="24"/>
          <w:lang w:val="en-US" w:eastAsia="zh-CN"/>
        </w:rPr>
        <w:t>3、具体要求详见技术规范书。</w:t>
      </w:r>
      <w:bookmarkEnd w:id="0"/>
    </w:p>
    <w:p>
      <w:pPr>
        <w:numPr>
          <w:ilvl w:val="0"/>
          <w:numId w:val="3"/>
        </w:numPr>
        <w:spacing w:line="360" w:lineRule="auto"/>
        <w:rPr>
          <w:rFonts w:ascii="Times New Roman" w:eastAsia="仿宋"/>
          <w:bCs/>
          <w:sz w:val="24"/>
          <w:szCs w:val="24"/>
        </w:rPr>
      </w:pPr>
      <w:r>
        <w:rPr>
          <w:rFonts w:ascii="Times New Roman" w:eastAsia="仿宋"/>
          <w:bCs/>
          <w:sz w:val="24"/>
          <w:szCs w:val="24"/>
        </w:rPr>
        <w:t xml:space="preserve">其他要求 </w:t>
      </w:r>
    </w:p>
    <w:p>
      <w:pPr>
        <w:spacing w:line="360" w:lineRule="auto"/>
        <w:rPr>
          <w:rFonts w:ascii="Times New Roman" w:eastAsia="仿宋"/>
          <w:bCs/>
          <w:sz w:val="24"/>
          <w:szCs w:val="24"/>
        </w:rPr>
      </w:pPr>
      <w:r>
        <w:rPr>
          <w:rFonts w:ascii="Times New Roman" w:eastAsia="仿宋"/>
          <w:bCs/>
          <w:sz w:val="24"/>
          <w:szCs w:val="24"/>
        </w:rPr>
        <w:t>三、Persyaratan Lain：</w:t>
      </w:r>
    </w:p>
    <w:p>
      <w:pPr>
        <w:tabs>
          <w:tab w:val="left" w:pos="851"/>
        </w:tabs>
        <w:spacing w:line="360" w:lineRule="auto"/>
        <w:ind w:left="480" w:hanging="480" w:hangingChars="200"/>
        <w:rPr>
          <w:rFonts w:ascii="Times New Roman" w:eastAsia="仿宋"/>
          <w:bCs/>
          <w:sz w:val="24"/>
          <w:szCs w:val="24"/>
        </w:rPr>
      </w:pPr>
      <w:r>
        <w:rPr>
          <w:rFonts w:ascii="Times New Roman" w:eastAsia="仿宋"/>
          <w:bCs/>
          <w:sz w:val="24"/>
          <w:szCs w:val="24"/>
        </w:rPr>
        <w:t>1、报价要求：</w:t>
      </w:r>
      <w:r>
        <w:rPr>
          <w:rFonts w:hint="eastAsia" w:ascii="Times New Roman" w:eastAsia="仿宋"/>
          <w:bCs/>
          <w:sz w:val="24"/>
          <w:szCs w:val="24"/>
          <w:lang w:val="en-US" w:eastAsia="zh-CN"/>
        </w:rPr>
        <w:t>按照由甲方向乙方支付和乙方向甲方支付目录清单</w:t>
      </w:r>
      <w:r>
        <w:rPr>
          <w:rFonts w:ascii="Times New Roman" w:eastAsia="仿宋"/>
          <w:bCs/>
          <w:sz w:val="24"/>
          <w:szCs w:val="24"/>
        </w:rPr>
        <w:t>分别报出单价，以及总价格， 总价包括但不限于与执行本合同有关的所有费用，如产品价格、运输费用、装卸费、退货运费、增值税、利润等。</w:t>
      </w:r>
    </w:p>
    <w:p>
      <w:pPr>
        <w:pStyle w:val="3"/>
        <w:tabs>
          <w:tab w:val="left" w:pos="851"/>
        </w:tabs>
        <w:spacing w:line="360" w:lineRule="auto"/>
        <w:ind w:left="480" w:hanging="480" w:hangingChars="200"/>
        <w:rPr>
          <w:rFonts w:ascii="Times New Roman"/>
          <w:sz w:val="24"/>
          <w:szCs w:val="24"/>
        </w:rPr>
      </w:pPr>
      <w:r>
        <w:rPr>
          <w:rFonts w:ascii="Times New Roman" w:eastAsia="仿宋"/>
          <w:sz w:val="24"/>
          <w:szCs w:val="24"/>
        </w:rPr>
        <w:t xml:space="preserve">1、Persyaratan Penawaran: Kutipan didasarkan pada daftar persediaan dan harga satuan dikutip secara terpisah, termasuk namun tidak terbatas pada semua biaya yang terkait dengan pelaksanaan kontrak ini, seperti harga produk, biaya transportasi, biaya bongkar muat, biaya pengiriman kembali , pajak pertambahan nilai, bea cukai, dan lain-lain. </w:t>
      </w:r>
    </w:p>
    <w:p>
      <w:pPr>
        <w:spacing w:line="360" w:lineRule="auto"/>
        <w:rPr>
          <w:rFonts w:ascii="Times New Roman" w:eastAsia="仿宋"/>
          <w:bCs/>
          <w:sz w:val="24"/>
          <w:szCs w:val="24"/>
        </w:rPr>
      </w:pPr>
      <w:r>
        <w:rPr>
          <w:rFonts w:ascii="Times New Roman" w:eastAsia="仿宋"/>
          <w:b/>
          <w:sz w:val="24"/>
          <w:szCs w:val="24"/>
        </w:rPr>
        <w:t xml:space="preserve"> </w:t>
      </w:r>
      <w:r>
        <w:rPr>
          <w:rFonts w:ascii="Times New Roman" w:eastAsia="仿宋"/>
          <w:b w:val="0"/>
          <w:bCs/>
          <w:sz w:val="24"/>
          <w:szCs w:val="24"/>
        </w:rPr>
        <w:t>2</w:t>
      </w:r>
      <w:r>
        <w:rPr>
          <w:rFonts w:ascii="Times New Roman" w:eastAsia="仿宋"/>
          <w:bCs/>
          <w:sz w:val="24"/>
          <w:szCs w:val="24"/>
        </w:rPr>
        <w:t>. 本合同为固定</w:t>
      </w:r>
      <w:r>
        <w:rPr>
          <w:rFonts w:hint="eastAsia" w:ascii="Times New Roman" w:eastAsia="仿宋"/>
          <w:bCs/>
          <w:sz w:val="24"/>
          <w:szCs w:val="24"/>
          <w:lang w:val="en-US" w:eastAsia="zh-CN"/>
        </w:rPr>
        <w:t>单价暂估</w:t>
      </w:r>
      <w:r>
        <w:rPr>
          <w:rFonts w:ascii="Times New Roman" w:eastAsia="仿宋"/>
          <w:bCs/>
          <w:sz w:val="24"/>
          <w:szCs w:val="24"/>
        </w:rPr>
        <w:t>总价合同。</w:t>
      </w:r>
      <w:r>
        <w:rPr>
          <w:rFonts w:hint="eastAsia" w:ascii="Times New Roman" w:eastAsia="仿宋"/>
          <w:bCs/>
          <w:sz w:val="24"/>
          <w:szCs w:val="24"/>
          <w:lang w:val="en-US" w:eastAsia="zh-CN"/>
        </w:rPr>
        <w:t>所有税率按适用税率执行，如遇国家税率调整，不含税总价不变，税率、税费按新的规定执行。</w:t>
      </w:r>
    </w:p>
    <w:p>
      <w:pPr>
        <w:pStyle w:val="3"/>
        <w:spacing w:line="360" w:lineRule="auto"/>
        <w:ind w:firstLine="0" w:firstLineChars="0"/>
        <w:rPr>
          <w:rFonts w:ascii="Times New Roman" w:eastAsia="仿宋"/>
          <w:sz w:val="24"/>
          <w:szCs w:val="24"/>
        </w:rPr>
      </w:pPr>
      <w:r>
        <w:rPr>
          <w:rFonts w:ascii="Times New Roman" w:eastAsia="仿宋"/>
          <w:sz w:val="24"/>
          <w:szCs w:val="24"/>
        </w:rPr>
        <w:t xml:space="preserve"> 2、Kontrak ini merupakan kontrak harga total tetap.</w:t>
      </w:r>
      <w:r>
        <w:rPr>
          <w:rFonts w:hint="eastAsia" w:ascii="Times New Roman" w:eastAsia="仿宋"/>
          <w:sz w:val="24"/>
          <w:szCs w:val="24"/>
        </w:rPr>
        <w:t>Jika tarif pajak nasional disesuaikan, total harga tidak termasuk pajak tidak akan berubah, dan tarif pajak serta pajak akan diterapkan sesuai dengan peraturan baru.</w:t>
      </w:r>
    </w:p>
    <w:p>
      <w:pPr>
        <w:spacing w:line="360" w:lineRule="auto"/>
        <w:ind w:left="426" w:hanging="426"/>
        <w:rPr>
          <w:rFonts w:ascii="Times New Roman" w:eastAsia="仿宋"/>
          <w:bCs/>
          <w:sz w:val="24"/>
          <w:szCs w:val="24"/>
        </w:rPr>
      </w:pPr>
      <w:r>
        <w:rPr>
          <w:rFonts w:ascii="Times New Roman" w:eastAsia="仿宋"/>
          <w:bCs/>
          <w:sz w:val="24"/>
          <w:szCs w:val="24"/>
        </w:rPr>
        <w:t xml:space="preserve"> 3. 付款方式：</w:t>
      </w:r>
      <w:r>
        <w:rPr>
          <w:rFonts w:hint="eastAsia" w:ascii="Times New Roman" w:eastAsia="仿宋"/>
          <w:bCs/>
          <w:sz w:val="24"/>
          <w:szCs w:val="24"/>
          <w:lang w:val="en-US" w:eastAsia="zh-CN"/>
        </w:rPr>
        <w:t>按批次付款。</w:t>
      </w:r>
    </w:p>
    <w:p>
      <w:pPr>
        <w:pStyle w:val="3"/>
        <w:spacing w:line="360" w:lineRule="auto"/>
        <w:ind w:left="426" w:hanging="426" w:firstLineChars="0"/>
        <w:rPr>
          <w:rFonts w:ascii="Times New Roman" w:eastAsia="仿宋"/>
          <w:sz w:val="24"/>
          <w:szCs w:val="24"/>
        </w:rPr>
      </w:pPr>
      <w:r>
        <w:rPr>
          <w:rFonts w:ascii="Times New Roman" w:eastAsia="仿宋"/>
          <w:sz w:val="24"/>
          <w:szCs w:val="24"/>
        </w:rPr>
        <w:t xml:space="preserve"> 3、Metode pembayaran: </w:t>
      </w:r>
      <w:r>
        <w:rPr>
          <w:rFonts w:hint="eastAsia" w:ascii="Times New Roman" w:eastAsia="仿宋"/>
          <w:sz w:val="24"/>
          <w:szCs w:val="24"/>
        </w:rPr>
        <w:t xml:space="preserve">Pembayaran dilakukan secara batch. Setelah setiap batch tiba, penyedia layanan menerbitkan faktur dan stempel pajak yang sah, sesuai dan benar untuk batch tersebut. Penerima barang membayar </w:t>
      </w:r>
      <w:r>
        <w:rPr>
          <w:rFonts w:hint="eastAsia" w:ascii="Times New Roman" w:eastAsia="仿宋"/>
          <w:sz w:val="24"/>
          <w:szCs w:val="24"/>
          <w:lang w:val="en-US" w:eastAsia="zh-CN"/>
        </w:rPr>
        <w:t>100</w:t>
      </w:r>
      <w:r>
        <w:rPr>
          <w:rFonts w:hint="eastAsia" w:ascii="Times New Roman" w:eastAsia="仿宋"/>
          <w:sz w:val="24"/>
          <w:szCs w:val="24"/>
        </w:rPr>
        <w:t xml:space="preserve">% dari jumlah faktur batch ini dalam waktu 30 hari setelah menerima faktur dan stempel pajak. </w:t>
      </w:r>
    </w:p>
    <w:p>
      <w:pPr>
        <w:widowControl/>
        <w:tabs>
          <w:tab w:val="left" w:pos="567"/>
        </w:tabs>
        <w:spacing w:line="360" w:lineRule="auto"/>
        <w:ind w:left="0" w:firstLine="0" w:firstLineChars="0"/>
        <w:rPr>
          <w:rFonts w:hint="eastAsia" w:eastAsia="仿宋"/>
          <w:position w:val="-6"/>
          <w:sz w:val="24"/>
        </w:rPr>
      </w:pPr>
      <w:r>
        <w:rPr>
          <w:rFonts w:hint="eastAsia" w:eastAsia="仿宋"/>
          <w:position w:val="-6"/>
          <w:sz w:val="24"/>
        </w:rPr>
        <w:t>4.评审方式：经评审的最低价法。</w:t>
      </w:r>
    </w:p>
    <w:p>
      <w:pPr>
        <w:widowControl/>
        <w:tabs>
          <w:tab w:val="left" w:pos="567"/>
        </w:tabs>
        <w:spacing w:line="360" w:lineRule="auto"/>
        <w:ind w:left="0" w:firstLine="0" w:firstLineChars="0"/>
        <w:rPr>
          <w:rFonts w:hint="eastAsia" w:eastAsia="仿宋"/>
          <w:position w:val="-6"/>
          <w:sz w:val="24"/>
        </w:rPr>
      </w:pPr>
      <w:r>
        <w:rPr>
          <w:rFonts w:hint="eastAsia" w:eastAsia="仿宋"/>
          <w:position w:val="-6"/>
          <w:sz w:val="24"/>
        </w:rPr>
        <w:t>4、Metode evaluasi: Metode harga terendah setelah evaluasi.</w:t>
      </w:r>
    </w:p>
    <w:p>
      <w:pPr>
        <w:widowControl/>
        <w:tabs>
          <w:tab w:val="left" w:pos="567"/>
        </w:tabs>
        <w:spacing w:line="360" w:lineRule="auto"/>
        <w:ind w:left="0" w:firstLine="0" w:firstLineChars="0"/>
        <w:rPr>
          <w:rFonts w:hint="eastAsia" w:eastAsia="仿宋"/>
          <w:position w:val="-6"/>
          <w:sz w:val="24"/>
        </w:rPr>
      </w:pPr>
      <w:r>
        <w:rPr>
          <w:rFonts w:hint="eastAsia" w:eastAsia="仿宋"/>
          <w:position w:val="-6"/>
          <w:sz w:val="24"/>
        </w:rPr>
        <w:t>5. 报价截止时间2025年</w:t>
      </w:r>
      <w:r>
        <w:rPr>
          <w:rFonts w:hint="eastAsia" w:eastAsia="仿宋"/>
          <w:position w:val="-6"/>
          <w:sz w:val="24"/>
          <w:lang w:val="en-US" w:eastAsia="zh-CN"/>
        </w:rPr>
        <w:t>10</w:t>
      </w:r>
      <w:r>
        <w:rPr>
          <w:rFonts w:hint="eastAsia" w:eastAsia="仿宋"/>
          <w:position w:val="-6"/>
          <w:sz w:val="24"/>
        </w:rPr>
        <w:t>月</w:t>
      </w:r>
      <w:r>
        <w:rPr>
          <w:rFonts w:hint="eastAsia" w:eastAsia="仿宋"/>
          <w:position w:val="-6"/>
          <w:sz w:val="24"/>
          <w:lang w:val="en-US" w:eastAsia="zh-CN"/>
        </w:rPr>
        <w:t>21</w:t>
      </w:r>
      <w:r>
        <w:rPr>
          <w:rFonts w:hint="eastAsia" w:eastAsia="仿宋"/>
          <w:position w:val="-6"/>
          <w:sz w:val="24"/>
        </w:rPr>
        <w:t>日雅加达时间1</w:t>
      </w:r>
      <w:r>
        <w:rPr>
          <w:rFonts w:hint="eastAsia" w:eastAsia="仿宋"/>
          <w:position w:val="-6"/>
          <w:sz w:val="24"/>
          <w:lang w:val="en-US" w:eastAsia="zh-CN"/>
        </w:rPr>
        <w:t>7</w:t>
      </w:r>
      <w:r>
        <w:rPr>
          <w:rFonts w:hint="eastAsia" w:eastAsia="仿宋"/>
          <w:position w:val="-6"/>
          <w:sz w:val="24"/>
        </w:rPr>
        <w:t>:00前。</w:t>
      </w:r>
    </w:p>
    <w:p>
      <w:pPr>
        <w:widowControl/>
        <w:tabs>
          <w:tab w:val="left" w:pos="567"/>
        </w:tabs>
        <w:spacing w:line="360" w:lineRule="auto"/>
        <w:ind w:left="0" w:firstLine="0" w:firstLineChars="0"/>
        <w:rPr>
          <w:rFonts w:hint="eastAsia" w:eastAsia="仿宋"/>
          <w:position w:val="-6"/>
          <w:sz w:val="24"/>
        </w:rPr>
      </w:pPr>
      <w:r>
        <w:rPr>
          <w:rFonts w:hint="eastAsia" w:eastAsia="仿宋"/>
          <w:position w:val="-6"/>
          <w:sz w:val="24"/>
        </w:rPr>
        <w:t xml:space="preserve">5、Penawaran jatuh tempo pada tanggal </w:t>
      </w:r>
      <w:r>
        <w:rPr>
          <w:rFonts w:hint="eastAsia" w:eastAsia="仿宋"/>
          <w:position w:val="-6"/>
          <w:sz w:val="24"/>
          <w:lang w:val="en-US" w:eastAsia="zh-CN"/>
        </w:rPr>
        <w:t>21</w:t>
      </w:r>
      <w:r>
        <w:rPr>
          <w:rFonts w:eastAsia="仿宋"/>
          <w:position w:val="-6"/>
          <w:sz w:val="24"/>
        </w:rPr>
        <w:t xml:space="preserve"> </w:t>
      </w:r>
      <w:r>
        <w:rPr>
          <w:rFonts w:hint="eastAsia" w:eastAsia="仿宋"/>
          <w:position w:val="-6"/>
          <w:sz w:val="24"/>
          <w:lang w:val="en-US" w:eastAsia="zh-CN"/>
        </w:rPr>
        <w:t>October</w:t>
      </w:r>
      <w:r>
        <w:rPr>
          <w:rFonts w:eastAsia="仿宋"/>
          <w:position w:val="-6"/>
          <w:sz w:val="24"/>
        </w:rPr>
        <w:t xml:space="preserve"> </w:t>
      </w:r>
      <w:r>
        <w:rPr>
          <w:rFonts w:hint="eastAsia" w:eastAsia="仿宋"/>
          <w:position w:val="-6"/>
          <w:sz w:val="24"/>
        </w:rPr>
        <w:t>2025 pukul 1</w:t>
      </w:r>
      <w:r>
        <w:rPr>
          <w:rFonts w:hint="eastAsia" w:eastAsia="仿宋"/>
          <w:position w:val="-6"/>
          <w:sz w:val="24"/>
          <w:lang w:val="en-US" w:eastAsia="zh-CN"/>
        </w:rPr>
        <w:t>7</w:t>
      </w:r>
      <w:r>
        <w:rPr>
          <w:rFonts w:hint="eastAsia" w:eastAsia="仿宋"/>
          <w:position w:val="-6"/>
          <w:sz w:val="24"/>
        </w:rPr>
        <w:t>:00 waktu Jakarta.</w:t>
      </w:r>
    </w:p>
    <w:p>
      <w:pPr>
        <w:spacing w:line="360" w:lineRule="auto"/>
        <w:ind w:firstLine="0" w:firstLineChars="0"/>
        <w:rPr>
          <w:rFonts w:hint="eastAsia" w:eastAsia="仿宋"/>
          <w:sz w:val="24"/>
        </w:rPr>
      </w:pPr>
      <w:r>
        <w:rPr>
          <w:rFonts w:hint="eastAsia" w:eastAsia="仿宋"/>
          <w:sz w:val="24"/>
        </w:rPr>
        <w:t>6.投标文件递交方式：纸版密封或发送到指定邮箱 731465071@qq.com。</w:t>
      </w:r>
    </w:p>
    <w:p>
      <w:pPr>
        <w:spacing w:line="360" w:lineRule="auto"/>
        <w:ind w:left="0" w:leftChars="0" w:firstLine="0" w:firstLineChars="0"/>
        <w:rPr>
          <w:rFonts w:hint="eastAsia" w:eastAsia="仿宋"/>
          <w:sz w:val="24"/>
        </w:rPr>
      </w:pPr>
      <w:r>
        <w:rPr>
          <w:rFonts w:hint="eastAsia" w:eastAsia="仿宋"/>
          <w:sz w:val="24"/>
        </w:rPr>
        <w:t>6、Cara penyerahan dokumen penawaran: Versi kertas harus disegel atau dikirim ke alamat email yang ditunjuk 731465071@qq.com.</w:t>
      </w:r>
    </w:p>
    <w:p>
      <w:pPr>
        <w:spacing w:line="360" w:lineRule="auto"/>
        <w:ind w:firstLine="0" w:firstLineChars="0"/>
        <w:rPr>
          <w:rFonts w:hint="eastAsia" w:eastAsia="仿宋"/>
          <w:bCs/>
          <w:sz w:val="24"/>
        </w:rPr>
      </w:pPr>
      <w:r>
        <w:rPr>
          <w:rFonts w:hint="eastAsia" w:eastAsia="仿宋"/>
          <w:bCs/>
          <w:sz w:val="24"/>
        </w:rPr>
        <w:t xml:space="preserve">7.投标文件递交地点：玻雅（印尼）发电公司行政办公楼二楼物资部 </w:t>
      </w:r>
    </w:p>
    <w:p>
      <w:pPr>
        <w:spacing w:line="360" w:lineRule="auto"/>
        <w:ind w:firstLine="0" w:firstLineChars="0"/>
        <w:rPr>
          <w:rFonts w:hint="eastAsia" w:eastAsia="仿宋"/>
          <w:bCs/>
          <w:sz w:val="24"/>
        </w:rPr>
      </w:pPr>
      <w:r>
        <w:rPr>
          <w:rFonts w:hint="eastAsia" w:eastAsia="仿宋"/>
          <w:bCs/>
          <w:sz w:val="24"/>
        </w:rPr>
        <w:t xml:space="preserve">7、Lokasi penyerahan dokumen penawaran: Bagian Material di lantai dua </w:t>
      </w:r>
    </w:p>
    <w:p>
      <w:pPr>
        <w:spacing w:line="360" w:lineRule="auto"/>
        <w:ind w:left="0" w:leftChars="0"/>
        <w:rPr>
          <w:rFonts w:hint="eastAsia" w:eastAsia="仿宋"/>
          <w:position w:val="-6"/>
          <w:sz w:val="24"/>
        </w:rPr>
      </w:pPr>
      <w:r>
        <w:rPr>
          <w:rFonts w:hint="eastAsia" w:eastAsia="仿宋"/>
          <w:bCs/>
          <w:sz w:val="24"/>
        </w:rPr>
        <w:t>gedung kantor administrasi Perusahaan Pembangkit Listrik SUMSEL-8 (Indonesia)</w:t>
      </w:r>
    </w:p>
    <w:p>
      <w:pPr>
        <w:spacing w:line="360" w:lineRule="auto"/>
        <w:rPr>
          <w:rFonts w:eastAsia="仿宋"/>
          <w:bCs/>
          <w:sz w:val="24"/>
        </w:rPr>
      </w:pPr>
      <w:r>
        <w:rPr>
          <w:rFonts w:eastAsia="仿宋"/>
          <w:bCs/>
          <w:sz w:val="24"/>
        </w:rPr>
        <w:t>四、</w:t>
      </w:r>
      <w:r>
        <w:rPr>
          <w:rFonts w:hint="eastAsia" w:eastAsia="仿宋"/>
          <w:bCs/>
          <w:sz w:val="24"/>
        </w:rPr>
        <w:t>服务期限 Durasi Layanan</w:t>
      </w:r>
      <w:r>
        <w:rPr>
          <w:rFonts w:eastAsia="仿宋"/>
          <w:bCs/>
          <w:sz w:val="24"/>
        </w:rPr>
        <w:t>：</w:t>
      </w:r>
    </w:p>
    <w:p>
      <w:pPr>
        <w:widowControl/>
        <w:spacing w:line="360" w:lineRule="auto"/>
        <w:ind w:left="426"/>
        <w:rPr>
          <w:rFonts w:eastAsia="仿宋"/>
          <w:sz w:val="24"/>
        </w:rPr>
      </w:pPr>
      <w:r>
        <w:rPr>
          <w:rFonts w:hint="eastAsia" w:eastAsia="仿宋"/>
          <w:sz w:val="24"/>
        </w:rPr>
        <w:t>本合同期限自生效之日起，至结清全部合同款项，解决所有争议事项为止。。</w:t>
      </w:r>
    </w:p>
    <w:p>
      <w:pPr>
        <w:widowControl/>
        <w:spacing w:line="360" w:lineRule="auto"/>
        <w:ind w:left="426" w:hanging="426"/>
        <w:rPr>
          <w:rFonts w:eastAsia="仿宋"/>
          <w:bCs/>
          <w:sz w:val="24"/>
        </w:rPr>
      </w:pPr>
      <w:r>
        <w:rPr>
          <w:rFonts w:hint="eastAsia" w:eastAsia="仿宋"/>
          <w:bCs/>
          <w:sz w:val="24"/>
        </w:rPr>
        <w:t>Jangka waktu kontrak ini adalah sejak tanggal efektif sampai seluruh pembayaran kontrak diselesaikan dan semua perselisihan diselesaikan.</w:t>
      </w:r>
    </w:p>
    <w:p>
      <w:pPr>
        <w:widowControl/>
        <w:spacing w:line="360" w:lineRule="auto"/>
        <w:ind w:left="426" w:hanging="426"/>
        <w:rPr>
          <w:rFonts w:eastAsia="仿宋"/>
          <w:bCs/>
          <w:sz w:val="24"/>
        </w:rPr>
      </w:pPr>
      <w:r>
        <w:rPr>
          <w:rFonts w:eastAsia="仿宋"/>
          <w:bCs/>
          <w:sz w:val="24"/>
        </w:rPr>
        <w:t>五、</w:t>
      </w:r>
      <w:r>
        <w:rPr>
          <w:rFonts w:hint="eastAsia" w:eastAsia="仿宋"/>
          <w:bCs/>
          <w:sz w:val="24"/>
        </w:rPr>
        <w:t>交货地点Lokasi Pelayanan</w:t>
      </w:r>
      <w:r>
        <w:rPr>
          <w:rFonts w:eastAsia="仿宋"/>
          <w:sz w:val="24"/>
        </w:rPr>
        <w:t xml:space="preserve"> </w:t>
      </w:r>
      <w:r>
        <w:rPr>
          <w:rFonts w:eastAsia="仿宋"/>
          <w:bCs/>
          <w:sz w:val="24"/>
        </w:rPr>
        <w:t>：</w:t>
      </w:r>
    </w:p>
    <w:p>
      <w:pPr>
        <w:spacing w:line="360" w:lineRule="auto"/>
        <w:ind w:left="460" w:leftChars="119" w:hanging="79" w:hangingChars="33"/>
        <w:rPr>
          <w:rFonts w:eastAsia="仿宋"/>
          <w:bCs/>
          <w:sz w:val="24"/>
        </w:rPr>
      </w:pPr>
      <w:r>
        <w:rPr>
          <w:rFonts w:eastAsia="仿宋"/>
          <w:bCs/>
          <w:sz w:val="24"/>
        </w:rPr>
        <w:t>印度尼西亚MUARA Enim县以南Darmo镇东南约3.5km</w:t>
      </w:r>
      <w:r>
        <w:rPr>
          <w:rFonts w:hint="eastAsia" w:eastAsia="仿宋"/>
          <w:bCs/>
          <w:sz w:val="24"/>
        </w:rPr>
        <w:t>处华电（印尼）玻雅发电有限公司。</w:t>
      </w:r>
    </w:p>
    <w:p>
      <w:pPr>
        <w:spacing w:line="360" w:lineRule="auto"/>
        <w:ind w:left="426" w:hanging="426"/>
        <w:rPr>
          <w:rFonts w:eastAsia="仿宋"/>
          <w:bCs/>
          <w:sz w:val="24"/>
        </w:rPr>
      </w:pPr>
      <w:r>
        <w:rPr>
          <w:rFonts w:eastAsia="仿宋"/>
          <w:bCs/>
          <w:sz w:val="24"/>
        </w:rPr>
        <w:t xml:space="preserve">   Tempat pengiriman: Sekitar 3,5 km sebelah tenggara kota Darmo, sebelah selatan Kabupaten Muara Enim, Indonesia, di tempat yang ditentukan oleh pembeli untuk bongkar muatan truk. </w:t>
      </w:r>
    </w:p>
    <w:p>
      <w:pPr>
        <w:spacing w:line="360" w:lineRule="auto"/>
        <w:ind w:left="426" w:hanging="426"/>
        <w:rPr>
          <w:rFonts w:hint="eastAsia" w:eastAsia="仿宋"/>
          <w:sz w:val="24"/>
          <w:lang w:val="en-US" w:eastAsia="zh-CN"/>
        </w:rPr>
      </w:pPr>
      <w:r>
        <w:rPr>
          <w:rFonts w:eastAsia="仿宋"/>
          <w:bCs/>
          <w:sz w:val="24"/>
        </w:rPr>
        <w:t>六、</w:t>
      </w:r>
      <w:r>
        <w:rPr>
          <w:rFonts w:eastAsia="仿宋"/>
          <w:sz w:val="24"/>
        </w:rPr>
        <w:t xml:space="preserve">联系人 Narahubung ： </w:t>
      </w:r>
      <w:r>
        <w:rPr>
          <w:rFonts w:hint="eastAsia" w:eastAsia="仿宋"/>
          <w:sz w:val="24"/>
        </w:rPr>
        <w:t>Yu ZaiJun</w:t>
      </w:r>
      <w:r>
        <w:rPr>
          <w:rFonts w:eastAsia="仿宋"/>
          <w:sz w:val="24"/>
        </w:rPr>
        <w:t xml:space="preserve">、 </w:t>
      </w:r>
      <w:r>
        <w:rPr>
          <w:rFonts w:hint="eastAsia" w:eastAsia="仿宋"/>
          <w:sz w:val="24"/>
        </w:rPr>
        <w:t>B</w:t>
      </w:r>
      <w:r>
        <w:rPr>
          <w:rFonts w:hint="eastAsia" w:eastAsia="仿宋"/>
          <w:sz w:val="24"/>
          <w:lang w:val="en-US" w:eastAsia="zh-CN"/>
        </w:rPr>
        <w:t>ia</w:t>
      </w:r>
      <w:r>
        <w:rPr>
          <w:rFonts w:hint="eastAsia" w:eastAsia="仿宋"/>
          <w:sz w:val="24"/>
        </w:rPr>
        <w:t>nt</w:t>
      </w:r>
      <w:r>
        <w:rPr>
          <w:rFonts w:hint="eastAsia" w:eastAsia="仿宋"/>
          <w:sz w:val="24"/>
          <w:lang w:val="en-US" w:eastAsia="zh-CN"/>
        </w:rPr>
        <w:t>o</w:t>
      </w:r>
    </w:p>
    <w:p>
      <w:pPr>
        <w:snapToGrid/>
        <w:spacing w:line="240" w:lineRule="auto"/>
        <w:jc w:val="left"/>
        <w:rPr>
          <w:rFonts w:hint="eastAsia" w:eastAsia="仿宋"/>
          <w:bCs/>
          <w:sz w:val="24"/>
          <w:lang w:val="en-US" w:eastAsia="zh-CN"/>
        </w:rPr>
      </w:pPr>
      <w:r>
        <w:rPr>
          <w:rFonts w:eastAsia="仿宋"/>
          <w:bCs/>
          <w:sz w:val="24"/>
        </w:rPr>
        <w:t xml:space="preserve">七、联系电话 Nomor Telepon： </w:t>
      </w:r>
      <w:r>
        <w:rPr>
          <w:rFonts w:hint="eastAsia" w:eastAsia="仿宋"/>
          <w:bCs/>
          <w:sz w:val="24"/>
        </w:rPr>
        <w:t>082177928042</w:t>
      </w:r>
      <w:r>
        <w:rPr>
          <w:rFonts w:eastAsia="仿宋"/>
          <w:bCs/>
          <w:sz w:val="24"/>
        </w:rPr>
        <w:t xml:space="preserve">  、</w:t>
      </w:r>
      <w:r>
        <w:rPr>
          <w:rFonts w:hint="eastAsia" w:eastAsia="仿宋"/>
          <w:bCs/>
          <w:sz w:val="24"/>
          <w:lang w:val="en-US" w:eastAsia="zh-CN"/>
        </w:rPr>
        <w:t>082182522789</w:t>
      </w:r>
    </w:p>
    <w:p>
      <w:pPr>
        <w:pStyle w:val="2"/>
        <w:rPr>
          <w:rFonts w:hint="default"/>
          <w:lang w:val="en-US" w:eastAsia="zh-CN"/>
        </w:rPr>
      </w:pPr>
      <w:r>
        <w:rPr>
          <w:rFonts w:hint="eastAsia"/>
          <w:lang w:val="en-US" w:eastAsia="zh-CN"/>
        </w:rPr>
        <w:t>乙方向甲方支付费用目录清单</w:t>
      </w:r>
    </w:p>
    <w:tbl>
      <w:tblPr>
        <w:tblStyle w:val="18"/>
        <w:tblW w:w="9559" w:type="dxa"/>
        <w:tblInd w:w="-743" w:type="dxa"/>
        <w:tblLayout w:type="fixed"/>
        <w:tblCellMar>
          <w:top w:w="0" w:type="dxa"/>
          <w:left w:w="108" w:type="dxa"/>
          <w:bottom w:w="0" w:type="dxa"/>
          <w:right w:w="108" w:type="dxa"/>
        </w:tblCellMar>
      </w:tblPr>
      <w:tblGrid>
        <w:gridCol w:w="704"/>
        <w:gridCol w:w="4967"/>
        <w:gridCol w:w="1297"/>
        <w:gridCol w:w="1288"/>
        <w:gridCol w:w="1081"/>
        <w:gridCol w:w="222"/>
      </w:tblGrid>
      <w:tr>
        <w:tblPrEx>
          <w:tblLayout w:type="fixed"/>
          <w:tblCellMar>
            <w:top w:w="0" w:type="dxa"/>
            <w:left w:w="108" w:type="dxa"/>
            <w:bottom w:w="0" w:type="dxa"/>
            <w:right w:w="108" w:type="dxa"/>
          </w:tblCellMar>
        </w:tblPrEx>
        <w:trPr>
          <w:gridAfter w:val="1"/>
          <w:wAfter w:w="222" w:type="dxa"/>
          <w:trHeight w:val="819" w:hRule="atLeast"/>
        </w:trPr>
        <w:tc>
          <w:tcPr>
            <w:tcW w:w="704" w:type="dxa"/>
            <w:vMerge w:val="restart"/>
            <w:tcBorders>
              <w:top w:val="single" w:color="auto" w:sz="4" w:space="0"/>
              <w:left w:val="single" w:color="auto" w:sz="4" w:space="0"/>
              <w:bottom w:val="single" w:color="000000" w:sz="4" w:space="0"/>
              <w:right w:val="single" w:color="auto" w:sz="4" w:space="0"/>
            </w:tcBorders>
            <w:noWrap w:val="0"/>
            <w:vAlign w:val="center"/>
          </w:tcPr>
          <w:p>
            <w:pPr>
              <w:widowControl/>
              <w:adjustRightInd w:val="0"/>
              <w:snapToGrid w:val="0"/>
              <w:jc w:val="center"/>
              <w:rPr>
                <w:rFonts w:eastAsia="等线"/>
                <w:b/>
                <w:bCs/>
                <w:color w:val="000000"/>
                <w:kern w:val="0"/>
                <w:sz w:val="22"/>
                <w:szCs w:val="22"/>
                <w:lang w:val="id-ID"/>
              </w:rPr>
            </w:pPr>
            <w:r>
              <w:rPr>
                <w:rFonts w:eastAsia="等线"/>
                <w:b/>
                <w:bCs/>
                <w:color w:val="000000"/>
                <w:kern w:val="0"/>
                <w:sz w:val="22"/>
                <w:szCs w:val="22"/>
                <w:lang w:val="id-ID"/>
              </w:rPr>
              <w:t>书号</w:t>
            </w:r>
            <w:r>
              <w:rPr>
                <w:rFonts w:eastAsia="等线"/>
                <w:b/>
                <w:bCs/>
                <w:color w:val="000000"/>
                <w:kern w:val="0"/>
                <w:sz w:val="22"/>
                <w:szCs w:val="22"/>
                <w:lang w:val="id-ID"/>
              </w:rPr>
              <w:br w:type="textWrapping"/>
            </w:r>
            <w:r>
              <w:rPr>
                <w:rFonts w:eastAsia="等线"/>
                <w:b/>
                <w:bCs/>
                <w:color w:val="000000"/>
                <w:kern w:val="0"/>
                <w:sz w:val="22"/>
                <w:szCs w:val="22"/>
                <w:lang w:val="id-ID"/>
              </w:rPr>
              <w:t>No.</w:t>
            </w:r>
          </w:p>
        </w:tc>
        <w:tc>
          <w:tcPr>
            <w:tcW w:w="4967" w:type="dxa"/>
            <w:vMerge w:val="restart"/>
            <w:tcBorders>
              <w:top w:val="single" w:color="auto" w:sz="4" w:space="0"/>
              <w:left w:val="single" w:color="auto" w:sz="4" w:space="0"/>
              <w:bottom w:val="single" w:color="000000" w:sz="4" w:space="0"/>
              <w:right w:val="single" w:color="auto" w:sz="4" w:space="0"/>
            </w:tcBorders>
            <w:noWrap w:val="0"/>
            <w:vAlign w:val="center"/>
          </w:tcPr>
          <w:p>
            <w:pPr>
              <w:widowControl/>
              <w:adjustRightInd w:val="0"/>
              <w:snapToGrid w:val="0"/>
              <w:jc w:val="center"/>
              <w:rPr>
                <w:rFonts w:eastAsia="等线"/>
                <w:b/>
                <w:bCs/>
                <w:color w:val="000000"/>
                <w:kern w:val="0"/>
                <w:sz w:val="22"/>
                <w:szCs w:val="22"/>
                <w:lang w:val="id-ID"/>
              </w:rPr>
            </w:pPr>
            <w:r>
              <w:rPr>
                <w:rFonts w:eastAsia="等线"/>
                <w:b/>
                <w:bCs/>
                <w:color w:val="000000"/>
                <w:kern w:val="0"/>
                <w:sz w:val="22"/>
                <w:szCs w:val="22"/>
                <w:lang w:val="id-ID"/>
              </w:rPr>
              <w:t>列表名称有毒和危险废物</w:t>
            </w:r>
          </w:p>
          <w:p>
            <w:pPr>
              <w:widowControl/>
              <w:adjustRightInd w:val="0"/>
              <w:snapToGrid w:val="0"/>
              <w:jc w:val="center"/>
              <w:rPr>
                <w:rFonts w:eastAsia="等线"/>
                <w:b/>
                <w:bCs/>
                <w:color w:val="000000"/>
                <w:kern w:val="0"/>
                <w:sz w:val="22"/>
                <w:szCs w:val="22"/>
                <w:lang w:val="id-ID"/>
              </w:rPr>
            </w:pPr>
            <w:r>
              <w:rPr>
                <w:rFonts w:eastAsia="等线"/>
                <w:b/>
                <w:bCs/>
                <w:color w:val="000000"/>
                <w:kern w:val="0"/>
                <w:sz w:val="22"/>
                <w:szCs w:val="22"/>
                <w:lang w:val="id-ID"/>
              </w:rPr>
              <w:t>NAME OF LIST LB3</w:t>
            </w:r>
          </w:p>
        </w:tc>
        <w:tc>
          <w:tcPr>
            <w:tcW w:w="1297" w:type="dxa"/>
            <w:vMerge w:val="restart"/>
            <w:tcBorders>
              <w:top w:val="single" w:color="auto" w:sz="4" w:space="0"/>
              <w:left w:val="single" w:color="auto" w:sz="4" w:space="0"/>
              <w:bottom w:val="single" w:color="000000" w:sz="4" w:space="0"/>
              <w:right w:val="single" w:color="auto" w:sz="4" w:space="0"/>
            </w:tcBorders>
            <w:noWrap w:val="0"/>
            <w:vAlign w:val="center"/>
          </w:tcPr>
          <w:p>
            <w:pPr>
              <w:widowControl/>
              <w:adjustRightInd w:val="0"/>
              <w:snapToGrid w:val="0"/>
              <w:jc w:val="center"/>
              <w:rPr>
                <w:rFonts w:eastAsia="等线"/>
                <w:b/>
                <w:bCs/>
                <w:color w:val="000000"/>
                <w:kern w:val="0"/>
                <w:sz w:val="22"/>
                <w:szCs w:val="22"/>
                <w:lang w:val="id-ID"/>
              </w:rPr>
            </w:pPr>
            <w:r>
              <w:rPr>
                <w:rFonts w:eastAsia="等线"/>
                <w:b/>
                <w:bCs/>
                <w:color w:val="000000"/>
                <w:kern w:val="0"/>
                <w:sz w:val="22"/>
                <w:szCs w:val="22"/>
                <w:lang w:val="id-ID"/>
              </w:rPr>
              <w:t>废物代码WASTE CODE</w:t>
            </w:r>
          </w:p>
        </w:tc>
        <w:tc>
          <w:tcPr>
            <w:tcW w:w="1288" w:type="dxa"/>
            <w:vMerge w:val="restart"/>
            <w:tcBorders>
              <w:top w:val="single" w:color="auto" w:sz="4" w:space="0"/>
              <w:left w:val="single" w:color="auto" w:sz="4" w:space="0"/>
              <w:right w:val="single" w:color="auto" w:sz="4" w:space="0"/>
            </w:tcBorders>
            <w:noWrap w:val="0"/>
            <w:vAlign w:val="center"/>
          </w:tcPr>
          <w:p>
            <w:pPr>
              <w:widowControl/>
              <w:adjustRightInd w:val="0"/>
              <w:snapToGrid w:val="0"/>
              <w:jc w:val="center"/>
              <w:rPr>
                <w:rFonts w:ascii="等线" w:hAnsi="等线" w:eastAsia="等线" w:cs="等线"/>
                <w:b/>
                <w:bCs/>
                <w:color w:val="000000"/>
                <w:sz w:val="22"/>
                <w:szCs w:val="22"/>
                <w:lang w:val="id-ID"/>
              </w:rPr>
            </w:pPr>
            <w:r>
              <w:rPr>
                <w:rFonts w:hint="eastAsia" w:ascii="等线" w:hAnsi="等线" w:eastAsia="等线" w:cs="等线"/>
                <w:b/>
                <w:bCs/>
                <w:color w:val="000000"/>
                <w:sz w:val="22"/>
                <w:szCs w:val="22"/>
              </w:rPr>
              <w:t>数量</w:t>
            </w:r>
          </w:p>
          <w:p>
            <w:pPr>
              <w:widowControl/>
              <w:adjustRightInd w:val="0"/>
              <w:snapToGrid w:val="0"/>
              <w:jc w:val="center"/>
              <w:rPr>
                <w:rFonts w:eastAsia="等线"/>
                <w:b/>
                <w:bCs/>
                <w:color w:val="000000"/>
                <w:kern w:val="0"/>
                <w:sz w:val="22"/>
                <w:szCs w:val="22"/>
                <w:lang w:val="id-ID"/>
              </w:rPr>
            </w:pPr>
            <w:r>
              <w:rPr>
                <w:rFonts w:ascii="等线" w:hAnsi="等线" w:eastAsia="等线" w:cs="等线"/>
                <w:b/>
                <w:bCs/>
                <w:color w:val="000000"/>
                <w:sz w:val="22"/>
                <w:szCs w:val="22"/>
              </w:rPr>
              <w:t>QUANTITY</w:t>
            </w:r>
          </w:p>
        </w:tc>
        <w:tc>
          <w:tcPr>
            <w:tcW w:w="1081"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eastAsia="等线"/>
                <w:b/>
                <w:bCs/>
                <w:color w:val="000000"/>
                <w:kern w:val="0"/>
                <w:sz w:val="22"/>
                <w:szCs w:val="22"/>
                <w:lang w:val="id-ID"/>
              </w:rPr>
            </w:pPr>
            <w:r>
              <w:rPr>
                <w:rFonts w:hint="eastAsia" w:ascii="等线" w:hAnsi="等线" w:eastAsia="等线" w:cs="等线"/>
                <w:b/>
                <w:bCs/>
                <w:color w:val="000000"/>
                <w:sz w:val="22"/>
                <w:szCs w:val="22"/>
              </w:rPr>
              <w:t>单位UNIT</w:t>
            </w:r>
          </w:p>
        </w:tc>
      </w:tr>
      <w:tr>
        <w:tblPrEx>
          <w:tblLayout w:type="fixed"/>
          <w:tblCellMar>
            <w:top w:w="0" w:type="dxa"/>
            <w:left w:w="108" w:type="dxa"/>
            <w:bottom w:w="0" w:type="dxa"/>
            <w:right w:w="108" w:type="dxa"/>
          </w:tblCellMar>
        </w:tblPrEx>
        <w:trPr>
          <w:trHeight w:val="54" w:hRule="atLeast"/>
        </w:trPr>
        <w:tc>
          <w:tcPr>
            <w:tcW w:w="704" w:type="dxa"/>
            <w:vMerge w:val="continue"/>
            <w:tcBorders>
              <w:top w:val="single" w:color="auto" w:sz="4" w:space="0"/>
              <w:left w:val="single" w:color="auto" w:sz="4" w:space="0"/>
              <w:bottom w:val="single" w:color="000000" w:sz="4" w:space="0"/>
              <w:right w:val="single" w:color="auto" w:sz="4" w:space="0"/>
            </w:tcBorders>
            <w:noWrap w:val="0"/>
            <w:vAlign w:val="center"/>
          </w:tcPr>
          <w:p>
            <w:pPr>
              <w:widowControl/>
              <w:adjustRightInd w:val="0"/>
              <w:snapToGrid w:val="0"/>
              <w:jc w:val="left"/>
              <w:rPr>
                <w:rFonts w:eastAsia="等线"/>
                <w:b/>
                <w:bCs/>
                <w:color w:val="000000"/>
                <w:kern w:val="0"/>
                <w:sz w:val="22"/>
                <w:szCs w:val="22"/>
                <w:lang w:val="id-ID"/>
              </w:rPr>
            </w:pPr>
          </w:p>
        </w:tc>
        <w:tc>
          <w:tcPr>
            <w:tcW w:w="4967" w:type="dxa"/>
            <w:vMerge w:val="continue"/>
            <w:tcBorders>
              <w:top w:val="single" w:color="auto" w:sz="4" w:space="0"/>
              <w:left w:val="single" w:color="auto" w:sz="4" w:space="0"/>
              <w:bottom w:val="single" w:color="000000" w:sz="4" w:space="0"/>
              <w:right w:val="single" w:color="auto" w:sz="4" w:space="0"/>
            </w:tcBorders>
            <w:noWrap w:val="0"/>
            <w:vAlign w:val="center"/>
          </w:tcPr>
          <w:p>
            <w:pPr>
              <w:widowControl/>
              <w:adjustRightInd w:val="0"/>
              <w:snapToGrid w:val="0"/>
              <w:jc w:val="left"/>
              <w:rPr>
                <w:rFonts w:eastAsia="等线"/>
                <w:b/>
                <w:bCs/>
                <w:color w:val="000000"/>
                <w:kern w:val="0"/>
                <w:sz w:val="22"/>
                <w:szCs w:val="22"/>
                <w:lang w:val="id-ID"/>
              </w:rPr>
            </w:pPr>
          </w:p>
        </w:tc>
        <w:tc>
          <w:tcPr>
            <w:tcW w:w="1297" w:type="dxa"/>
            <w:vMerge w:val="continue"/>
            <w:tcBorders>
              <w:top w:val="single" w:color="auto" w:sz="4" w:space="0"/>
              <w:left w:val="single" w:color="auto" w:sz="4" w:space="0"/>
              <w:bottom w:val="single" w:color="000000" w:sz="4" w:space="0"/>
              <w:right w:val="single" w:color="auto" w:sz="4" w:space="0"/>
            </w:tcBorders>
            <w:noWrap w:val="0"/>
            <w:vAlign w:val="center"/>
          </w:tcPr>
          <w:p>
            <w:pPr>
              <w:widowControl/>
              <w:adjustRightInd w:val="0"/>
              <w:snapToGrid w:val="0"/>
              <w:jc w:val="left"/>
              <w:rPr>
                <w:rFonts w:eastAsia="等线"/>
                <w:b/>
                <w:bCs/>
                <w:color w:val="000000"/>
                <w:kern w:val="0"/>
                <w:sz w:val="22"/>
                <w:szCs w:val="22"/>
                <w:lang w:val="id-ID"/>
              </w:rPr>
            </w:pPr>
          </w:p>
        </w:tc>
        <w:tc>
          <w:tcPr>
            <w:tcW w:w="1288" w:type="dxa"/>
            <w:vMerge w:val="continue"/>
            <w:tcBorders>
              <w:left w:val="single" w:color="auto" w:sz="4" w:space="0"/>
              <w:bottom w:val="single" w:color="auto" w:sz="4" w:space="0"/>
              <w:right w:val="single" w:color="auto" w:sz="4" w:space="0"/>
            </w:tcBorders>
            <w:noWrap w:val="0"/>
            <w:vAlign w:val="top"/>
          </w:tcPr>
          <w:p>
            <w:pPr>
              <w:widowControl/>
              <w:jc w:val="center"/>
              <w:rPr>
                <w:rFonts w:eastAsia="等线"/>
                <w:b/>
                <w:bCs/>
                <w:color w:val="000000"/>
                <w:kern w:val="0"/>
                <w:sz w:val="22"/>
                <w:szCs w:val="22"/>
                <w:lang w:val="id-ID"/>
              </w:rPr>
            </w:pPr>
          </w:p>
        </w:tc>
        <w:tc>
          <w:tcPr>
            <w:tcW w:w="1081" w:type="dxa"/>
            <w:vMerge w:val="continue"/>
            <w:tcBorders>
              <w:top w:val="single" w:color="auto" w:sz="4" w:space="0"/>
              <w:left w:val="single" w:color="auto" w:sz="4" w:space="0"/>
              <w:bottom w:val="single" w:color="auto" w:sz="4" w:space="0"/>
              <w:right w:val="single" w:color="auto" w:sz="4" w:space="0"/>
            </w:tcBorders>
            <w:noWrap w:val="0"/>
            <w:vAlign w:val="top"/>
          </w:tcPr>
          <w:p>
            <w:pPr>
              <w:widowControl/>
              <w:jc w:val="center"/>
              <w:rPr>
                <w:rFonts w:eastAsia="等线"/>
                <w:b/>
                <w:bCs/>
                <w:color w:val="000000"/>
                <w:kern w:val="0"/>
                <w:sz w:val="22"/>
                <w:szCs w:val="22"/>
                <w:lang w:val="id-ID"/>
              </w:rPr>
            </w:pPr>
          </w:p>
        </w:tc>
        <w:tc>
          <w:tcPr>
            <w:tcW w:w="222" w:type="dxa"/>
            <w:tcBorders>
              <w:top w:val="nil"/>
              <w:left w:val="single" w:color="auto" w:sz="4" w:space="0"/>
              <w:bottom w:val="nil"/>
              <w:right w:val="nil"/>
            </w:tcBorders>
            <w:noWrap w:val="0"/>
            <w:vAlign w:val="bottom"/>
          </w:tcPr>
          <w:p>
            <w:pPr>
              <w:widowControl/>
              <w:jc w:val="center"/>
              <w:rPr>
                <w:rFonts w:eastAsia="等线"/>
                <w:b/>
                <w:bCs/>
                <w:color w:val="000000"/>
                <w:kern w:val="0"/>
                <w:sz w:val="22"/>
                <w:szCs w:val="22"/>
                <w:lang w:val="id-ID"/>
              </w:rPr>
            </w:pPr>
          </w:p>
        </w:tc>
      </w:tr>
      <w:tr>
        <w:tblPrEx>
          <w:tblLayout w:type="fixed"/>
          <w:tblCellMar>
            <w:top w:w="0" w:type="dxa"/>
            <w:left w:w="108" w:type="dxa"/>
            <w:bottom w:w="0" w:type="dxa"/>
            <w:right w:w="108" w:type="dxa"/>
          </w:tblCellMar>
        </w:tblPrEx>
        <w:trPr>
          <w:trHeight w:val="560" w:hRule="atLeast"/>
        </w:trPr>
        <w:tc>
          <w:tcPr>
            <w:tcW w:w="704" w:type="dxa"/>
            <w:tcBorders>
              <w:top w:val="nil"/>
              <w:left w:val="single" w:color="auto" w:sz="4" w:space="0"/>
              <w:bottom w:val="single" w:color="auto" w:sz="4" w:space="0"/>
              <w:right w:val="single" w:color="auto" w:sz="4" w:space="0"/>
            </w:tcBorders>
            <w:noWrap w:val="0"/>
            <w:vAlign w:val="center"/>
          </w:tcPr>
          <w:p>
            <w:pPr>
              <w:widowControl/>
              <w:adjustRightInd w:val="0"/>
              <w:snapToGrid w:val="0"/>
              <w:jc w:val="center"/>
              <w:rPr>
                <w:rFonts w:eastAsia="等线"/>
                <w:color w:val="000000"/>
                <w:kern w:val="0"/>
                <w:sz w:val="22"/>
                <w:szCs w:val="22"/>
                <w:lang w:val="id-ID"/>
              </w:rPr>
            </w:pPr>
            <w:r>
              <w:rPr>
                <w:rFonts w:eastAsia="等线"/>
                <w:color w:val="000000"/>
                <w:kern w:val="0"/>
                <w:sz w:val="22"/>
                <w:szCs w:val="22"/>
                <w:lang w:val="id-ID"/>
              </w:rPr>
              <w:t>1</w:t>
            </w:r>
          </w:p>
        </w:tc>
        <w:tc>
          <w:tcPr>
            <w:tcW w:w="4967" w:type="dxa"/>
            <w:tcBorders>
              <w:top w:val="nil"/>
              <w:left w:val="nil"/>
              <w:bottom w:val="single" w:color="auto" w:sz="4" w:space="0"/>
              <w:right w:val="single" w:color="auto" w:sz="4" w:space="0"/>
            </w:tcBorders>
            <w:noWrap w:val="0"/>
            <w:vAlign w:val="center"/>
          </w:tcPr>
          <w:p>
            <w:pPr>
              <w:widowControl/>
              <w:adjustRightInd w:val="0"/>
              <w:snapToGrid w:val="0"/>
              <w:jc w:val="left"/>
              <w:rPr>
                <w:rFonts w:eastAsia="等线"/>
                <w:color w:val="000000"/>
                <w:kern w:val="0"/>
                <w:sz w:val="22"/>
                <w:szCs w:val="22"/>
                <w:lang w:val="id-ID"/>
              </w:rPr>
            </w:pPr>
            <w:r>
              <w:rPr>
                <w:rFonts w:eastAsia="等线"/>
                <w:i/>
                <w:iCs/>
                <w:color w:val="000000"/>
                <w:kern w:val="0"/>
                <w:sz w:val="22"/>
                <w:szCs w:val="22"/>
                <w:lang w:val="id-ID"/>
              </w:rPr>
              <w:t>废润滑剂</w:t>
            </w:r>
            <w:r>
              <w:rPr>
                <w:rFonts w:eastAsia="等线"/>
                <w:color w:val="000000"/>
                <w:kern w:val="0"/>
                <w:sz w:val="22"/>
                <w:szCs w:val="22"/>
                <w:lang w:val="id-ID"/>
              </w:rPr>
              <w:t xml:space="preserve"> Pelumas Bekas </w:t>
            </w:r>
          </w:p>
        </w:tc>
        <w:tc>
          <w:tcPr>
            <w:tcW w:w="1297" w:type="dxa"/>
            <w:tcBorders>
              <w:top w:val="nil"/>
              <w:left w:val="nil"/>
              <w:bottom w:val="single" w:color="auto" w:sz="4" w:space="0"/>
              <w:right w:val="single" w:color="auto" w:sz="4" w:space="0"/>
            </w:tcBorders>
            <w:noWrap w:val="0"/>
            <w:vAlign w:val="center"/>
          </w:tcPr>
          <w:p>
            <w:pPr>
              <w:widowControl/>
              <w:adjustRightInd w:val="0"/>
              <w:snapToGrid w:val="0"/>
              <w:jc w:val="center"/>
              <w:rPr>
                <w:rFonts w:eastAsia="等线"/>
                <w:color w:val="000000"/>
                <w:kern w:val="0"/>
                <w:sz w:val="22"/>
                <w:szCs w:val="22"/>
                <w:lang w:val="id-ID"/>
              </w:rPr>
            </w:pPr>
            <w:r>
              <w:rPr>
                <w:rFonts w:eastAsia="等线"/>
                <w:color w:val="000000"/>
                <w:kern w:val="0"/>
                <w:sz w:val="22"/>
                <w:szCs w:val="22"/>
                <w:lang w:val="id-ID"/>
              </w:rPr>
              <w:t>B105d</w:t>
            </w:r>
          </w:p>
        </w:tc>
        <w:tc>
          <w:tcPr>
            <w:tcW w:w="1288" w:type="dxa"/>
            <w:tcBorders>
              <w:top w:val="single" w:color="auto" w:sz="4" w:space="0"/>
              <w:bottom w:val="single" w:color="auto" w:sz="4" w:space="0"/>
              <w:right w:val="single" w:color="auto" w:sz="4" w:space="0"/>
            </w:tcBorders>
            <w:noWrap w:val="0"/>
            <w:vAlign w:val="top"/>
          </w:tcPr>
          <w:p>
            <w:pPr>
              <w:widowControl/>
              <w:jc w:val="center"/>
              <w:rPr>
                <w:rFonts w:eastAsia="Times New Roman"/>
                <w:kern w:val="0"/>
                <w:sz w:val="22"/>
                <w:szCs w:val="22"/>
                <w:lang w:val="id-ID"/>
              </w:rPr>
            </w:pPr>
            <w:r>
              <w:rPr>
                <w:rFonts w:eastAsia="Times New Roman"/>
                <w:kern w:val="0"/>
                <w:sz w:val="22"/>
                <w:szCs w:val="22"/>
                <w:lang w:val="id-ID"/>
              </w:rPr>
              <w:t>7500</w:t>
            </w:r>
          </w:p>
        </w:tc>
        <w:tc>
          <w:tcPr>
            <w:tcW w:w="1081" w:type="dxa"/>
            <w:tcBorders>
              <w:top w:val="single" w:color="auto" w:sz="4" w:space="0"/>
              <w:left w:val="single" w:color="auto" w:sz="4" w:space="0"/>
              <w:bottom w:val="single" w:color="auto" w:sz="4" w:space="0"/>
              <w:right w:val="single" w:color="auto" w:sz="4" w:space="0"/>
            </w:tcBorders>
            <w:noWrap w:val="0"/>
            <w:vAlign w:val="top"/>
          </w:tcPr>
          <w:p>
            <w:pPr>
              <w:widowControl/>
              <w:jc w:val="center"/>
              <w:rPr>
                <w:rFonts w:eastAsia="Times New Roman"/>
                <w:kern w:val="0"/>
                <w:sz w:val="22"/>
                <w:szCs w:val="22"/>
                <w:lang w:val="id-ID"/>
              </w:rPr>
            </w:pPr>
            <w:r>
              <w:rPr>
                <w:rFonts w:hint="eastAsia" w:ascii="等线" w:hAnsi="等线" w:eastAsia="等线" w:cs="等线"/>
                <w:sz w:val="22"/>
                <w:szCs w:val="22"/>
              </w:rPr>
              <w:t>公斤Kg</w:t>
            </w:r>
          </w:p>
        </w:tc>
        <w:tc>
          <w:tcPr>
            <w:tcW w:w="222" w:type="dxa"/>
            <w:tcBorders>
              <w:left w:val="single" w:color="auto" w:sz="4" w:space="0"/>
            </w:tcBorders>
            <w:noWrap w:val="0"/>
            <w:vAlign w:val="center"/>
          </w:tcPr>
          <w:p>
            <w:pPr>
              <w:widowControl/>
              <w:jc w:val="left"/>
              <w:rPr>
                <w:rFonts w:eastAsia="Times New Roman"/>
                <w:kern w:val="0"/>
                <w:sz w:val="22"/>
                <w:szCs w:val="22"/>
                <w:lang w:val="id-ID"/>
              </w:rPr>
            </w:pPr>
          </w:p>
        </w:tc>
      </w:tr>
      <w:tr>
        <w:tblPrEx>
          <w:tblLayout w:type="fixed"/>
          <w:tblCellMar>
            <w:top w:w="0" w:type="dxa"/>
            <w:left w:w="108" w:type="dxa"/>
            <w:bottom w:w="0" w:type="dxa"/>
            <w:right w:w="108" w:type="dxa"/>
          </w:tblCellMar>
        </w:tblPrEx>
        <w:trPr>
          <w:trHeight w:val="410" w:hRule="atLeast"/>
        </w:trPr>
        <w:tc>
          <w:tcPr>
            <w:tcW w:w="704" w:type="dxa"/>
            <w:tcBorders>
              <w:top w:val="nil"/>
              <w:left w:val="single" w:color="auto" w:sz="4" w:space="0"/>
              <w:bottom w:val="single" w:color="auto" w:sz="4" w:space="0"/>
              <w:right w:val="single" w:color="auto" w:sz="4" w:space="0"/>
            </w:tcBorders>
            <w:noWrap w:val="0"/>
            <w:vAlign w:val="center"/>
          </w:tcPr>
          <w:p>
            <w:pPr>
              <w:widowControl/>
              <w:adjustRightInd w:val="0"/>
              <w:snapToGrid w:val="0"/>
              <w:jc w:val="center"/>
              <w:rPr>
                <w:rFonts w:hint="eastAsia" w:eastAsia="等线"/>
                <w:color w:val="000000"/>
                <w:kern w:val="0"/>
                <w:sz w:val="22"/>
                <w:szCs w:val="22"/>
                <w:lang w:val="en-US" w:eastAsia="zh-CN"/>
              </w:rPr>
            </w:pPr>
            <w:r>
              <w:rPr>
                <w:rFonts w:hint="eastAsia" w:eastAsia="等线"/>
                <w:color w:val="000000"/>
                <w:kern w:val="0"/>
                <w:sz w:val="22"/>
                <w:szCs w:val="22"/>
                <w:lang w:val="en-US" w:eastAsia="zh-CN"/>
              </w:rPr>
              <w:t>2</w:t>
            </w:r>
          </w:p>
        </w:tc>
        <w:tc>
          <w:tcPr>
            <w:tcW w:w="4967" w:type="dxa"/>
            <w:tcBorders>
              <w:top w:val="nil"/>
              <w:left w:val="nil"/>
              <w:bottom w:val="single" w:color="auto" w:sz="4" w:space="0"/>
              <w:right w:val="single" w:color="auto" w:sz="4" w:space="0"/>
            </w:tcBorders>
            <w:noWrap w:val="0"/>
            <w:vAlign w:val="center"/>
          </w:tcPr>
          <w:p>
            <w:pPr>
              <w:widowControl/>
              <w:adjustRightInd w:val="0"/>
              <w:snapToGrid w:val="0"/>
              <w:jc w:val="left"/>
              <w:rPr>
                <w:rFonts w:eastAsia="等线"/>
                <w:color w:val="000000"/>
                <w:kern w:val="0"/>
                <w:sz w:val="22"/>
                <w:szCs w:val="22"/>
                <w:lang w:val="id-ID"/>
              </w:rPr>
            </w:pPr>
            <w:r>
              <w:rPr>
                <w:rFonts w:eastAsia="等线"/>
                <w:i/>
                <w:iCs/>
                <w:color w:val="000000"/>
                <w:kern w:val="0"/>
                <w:sz w:val="22"/>
                <w:szCs w:val="22"/>
                <w:lang w:val="id-ID"/>
              </w:rPr>
              <w:t>电瓶和电池废物</w:t>
            </w:r>
            <w:r>
              <w:rPr>
                <w:rFonts w:eastAsia="等线"/>
                <w:color w:val="000000"/>
                <w:kern w:val="0"/>
                <w:sz w:val="22"/>
                <w:szCs w:val="22"/>
                <w:lang w:val="id-ID"/>
              </w:rPr>
              <w:t xml:space="preserve">Aki dan Baterai bekas </w:t>
            </w:r>
          </w:p>
        </w:tc>
        <w:tc>
          <w:tcPr>
            <w:tcW w:w="1297" w:type="dxa"/>
            <w:tcBorders>
              <w:top w:val="nil"/>
              <w:left w:val="nil"/>
              <w:bottom w:val="single" w:color="auto" w:sz="4" w:space="0"/>
              <w:right w:val="single" w:color="auto" w:sz="4" w:space="0"/>
            </w:tcBorders>
            <w:noWrap w:val="0"/>
            <w:vAlign w:val="center"/>
          </w:tcPr>
          <w:p>
            <w:pPr>
              <w:widowControl/>
              <w:adjustRightInd w:val="0"/>
              <w:snapToGrid w:val="0"/>
              <w:jc w:val="center"/>
              <w:rPr>
                <w:rFonts w:eastAsia="等线"/>
                <w:color w:val="000000"/>
                <w:kern w:val="0"/>
                <w:sz w:val="22"/>
                <w:szCs w:val="22"/>
                <w:lang w:val="id-ID"/>
              </w:rPr>
            </w:pPr>
            <w:r>
              <w:rPr>
                <w:rFonts w:eastAsia="等线"/>
                <w:color w:val="000000"/>
                <w:kern w:val="0"/>
                <w:sz w:val="22"/>
                <w:szCs w:val="22"/>
                <w:lang w:val="id-ID"/>
              </w:rPr>
              <w:t>A102d</w:t>
            </w:r>
          </w:p>
        </w:tc>
        <w:tc>
          <w:tcPr>
            <w:tcW w:w="1288" w:type="dxa"/>
            <w:tcBorders>
              <w:top w:val="single" w:color="auto" w:sz="4" w:space="0"/>
              <w:bottom w:val="single" w:color="auto" w:sz="4" w:space="0"/>
              <w:right w:val="single" w:color="auto" w:sz="4" w:space="0"/>
            </w:tcBorders>
            <w:noWrap w:val="0"/>
            <w:vAlign w:val="top"/>
          </w:tcPr>
          <w:p>
            <w:pPr>
              <w:widowControl/>
              <w:jc w:val="center"/>
              <w:rPr>
                <w:rFonts w:eastAsia="Times New Roman"/>
                <w:kern w:val="0"/>
                <w:sz w:val="22"/>
                <w:szCs w:val="22"/>
                <w:lang w:val="id-ID"/>
              </w:rPr>
            </w:pPr>
            <w:r>
              <w:rPr>
                <w:rFonts w:eastAsia="Times New Roman"/>
                <w:kern w:val="0"/>
                <w:sz w:val="22"/>
                <w:szCs w:val="22"/>
                <w:lang w:val="id-ID"/>
              </w:rPr>
              <w:t>20</w:t>
            </w:r>
          </w:p>
        </w:tc>
        <w:tc>
          <w:tcPr>
            <w:tcW w:w="1081" w:type="dxa"/>
            <w:tcBorders>
              <w:top w:val="single" w:color="auto" w:sz="4" w:space="0"/>
              <w:left w:val="single" w:color="auto" w:sz="4" w:space="0"/>
              <w:bottom w:val="single" w:color="auto" w:sz="4" w:space="0"/>
              <w:right w:val="single" w:color="auto" w:sz="4" w:space="0"/>
            </w:tcBorders>
            <w:noWrap w:val="0"/>
            <w:vAlign w:val="top"/>
          </w:tcPr>
          <w:p>
            <w:pPr>
              <w:widowControl/>
              <w:jc w:val="center"/>
              <w:rPr>
                <w:rFonts w:eastAsia="Times New Roman"/>
                <w:kern w:val="0"/>
                <w:sz w:val="22"/>
                <w:szCs w:val="22"/>
                <w:lang w:val="id-ID"/>
              </w:rPr>
            </w:pPr>
            <w:r>
              <w:rPr>
                <w:rFonts w:hint="eastAsia" w:ascii="等线" w:hAnsi="等线" w:eastAsia="等线" w:cs="等线"/>
                <w:sz w:val="22"/>
                <w:szCs w:val="22"/>
              </w:rPr>
              <w:t>公斤kg</w:t>
            </w:r>
          </w:p>
        </w:tc>
        <w:tc>
          <w:tcPr>
            <w:tcW w:w="222" w:type="dxa"/>
            <w:tcBorders>
              <w:left w:val="single" w:color="auto" w:sz="4" w:space="0"/>
            </w:tcBorders>
            <w:noWrap w:val="0"/>
            <w:vAlign w:val="center"/>
          </w:tcPr>
          <w:p>
            <w:pPr>
              <w:widowControl/>
              <w:jc w:val="left"/>
              <w:rPr>
                <w:rFonts w:eastAsia="Times New Roman"/>
                <w:kern w:val="0"/>
                <w:sz w:val="22"/>
                <w:szCs w:val="22"/>
                <w:lang w:val="id-ID"/>
              </w:rPr>
            </w:pPr>
          </w:p>
        </w:tc>
      </w:tr>
    </w:tbl>
    <w:p>
      <w:pPr>
        <w:pStyle w:val="3"/>
      </w:pPr>
    </w:p>
    <w:p/>
    <w:p>
      <w:pPr>
        <w:pStyle w:val="2"/>
        <w:rPr>
          <w:rFonts w:hint="eastAsia"/>
          <w:lang w:val="en-US" w:eastAsia="zh-CN"/>
        </w:rPr>
        <w:sectPr>
          <w:headerReference r:id="rId4" w:type="first"/>
          <w:headerReference r:id="rId3" w:type="default"/>
          <w:footerReference r:id="rId5" w:type="default"/>
          <w:pgSz w:w="11907" w:h="16839"/>
          <w:pgMar w:top="1440" w:right="1797" w:bottom="1440" w:left="1797" w:header="850" w:footer="992" w:gutter="0"/>
          <w:pgNumType w:fmt="upperRoman"/>
          <w:cols w:space="720" w:num="1"/>
          <w:titlePg/>
          <w:docGrid w:linePitch="326" w:charSpace="0"/>
        </w:sectPr>
      </w:pPr>
      <w:r>
        <w:rPr>
          <w:rFonts w:hint="eastAsia"/>
          <w:lang w:val="en-US" w:eastAsia="zh-CN"/>
        </w:rPr>
        <w:t>甲方向</w:t>
      </w:r>
      <w:bookmarkStart w:id="20" w:name="_GoBack"/>
      <w:bookmarkEnd w:id="20"/>
      <w:r>
        <w:rPr>
          <w:rFonts w:hint="eastAsia"/>
          <w:lang w:val="en-US" w:eastAsia="zh-CN"/>
        </w:rPr>
        <w:t>乙方支付费用目录清单</w:t>
      </w:r>
    </w:p>
    <w:tbl>
      <w:tblPr>
        <w:tblStyle w:val="18"/>
        <w:tblW w:w="9559" w:type="dxa"/>
        <w:tblInd w:w="-743" w:type="dxa"/>
        <w:tblLayout w:type="fixed"/>
        <w:tblCellMar>
          <w:top w:w="0" w:type="dxa"/>
          <w:left w:w="108" w:type="dxa"/>
          <w:bottom w:w="0" w:type="dxa"/>
          <w:right w:w="108" w:type="dxa"/>
        </w:tblCellMar>
      </w:tblPr>
      <w:tblGrid>
        <w:gridCol w:w="704"/>
        <w:gridCol w:w="4967"/>
        <w:gridCol w:w="1297"/>
        <w:gridCol w:w="1288"/>
        <w:gridCol w:w="1081"/>
        <w:gridCol w:w="222"/>
      </w:tblGrid>
      <w:tr>
        <w:tblPrEx>
          <w:tblLayout w:type="fixed"/>
          <w:tblCellMar>
            <w:top w:w="0" w:type="dxa"/>
            <w:left w:w="108" w:type="dxa"/>
            <w:bottom w:w="0" w:type="dxa"/>
            <w:right w:w="108" w:type="dxa"/>
          </w:tblCellMar>
        </w:tblPrEx>
        <w:trPr>
          <w:gridAfter w:val="1"/>
          <w:wAfter w:w="222" w:type="dxa"/>
          <w:trHeight w:val="819" w:hRule="atLeast"/>
        </w:trPr>
        <w:tc>
          <w:tcPr>
            <w:tcW w:w="704" w:type="dxa"/>
            <w:vMerge w:val="restart"/>
            <w:tcBorders>
              <w:top w:val="single" w:color="auto" w:sz="4" w:space="0"/>
              <w:left w:val="single" w:color="auto" w:sz="4" w:space="0"/>
              <w:bottom w:val="single" w:color="000000" w:sz="4" w:space="0"/>
              <w:right w:val="single" w:color="auto" w:sz="4" w:space="0"/>
            </w:tcBorders>
            <w:noWrap w:val="0"/>
            <w:vAlign w:val="center"/>
          </w:tcPr>
          <w:p>
            <w:pPr>
              <w:widowControl/>
              <w:adjustRightInd w:val="0"/>
              <w:snapToGrid w:val="0"/>
              <w:jc w:val="center"/>
              <w:rPr>
                <w:rFonts w:eastAsia="等线"/>
                <w:b/>
                <w:bCs/>
                <w:color w:val="000000"/>
                <w:kern w:val="0"/>
                <w:sz w:val="22"/>
                <w:szCs w:val="22"/>
                <w:lang w:val="id-ID"/>
              </w:rPr>
            </w:pPr>
            <w:r>
              <w:rPr>
                <w:rFonts w:eastAsia="等线"/>
                <w:b/>
                <w:bCs/>
                <w:color w:val="000000"/>
                <w:kern w:val="0"/>
                <w:sz w:val="22"/>
                <w:szCs w:val="22"/>
                <w:lang w:val="id-ID"/>
              </w:rPr>
              <w:t>书号</w:t>
            </w:r>
            <w:r>
              <w:rPr>
                <w:rFonts w:eastAsia="等线"/>
                <w:b/>
                <w:bCs/>
                <w:color w:val="000000"/>
                <w:kern w:val="0"/>
                <w:sz w:val="22"/>
                <w:szCs w:val="22"/>
                <w:lang w:val="id-ID"/>
              </w:rPr>
              <w:br w:type="textWrapping"/>
            </w:r>
            <w:r>
              <w:rPr>
                <w:rFonts w:eastAsia="等线"/>
                <w:b/>
                <w:bCs/>
                <w:color w:val="000000"/>
                <w:kern w:val="0"/>
                <w:sz w:val="22"/>
                <w:szCs w:val="22"/>
                <w:lang w:val="id-ID"/>
              </w:rPr>
              <w:t>No.</w:t>
            </w:r>
          </w:p>
        </w:tc>
        <w:tc>
          <w:tcPr>
            <w:tcW w:w="4967" w:type="dxa"/>
            <w:vMerge w:val="restart"/>
            <w:tcBorders>
              <w:top w:val="single" w:color="auto" w:sz="4" w:space="0"/>
              <w:left w:val="single" w:color="auto" w:sz="4" w:space="0"/>
              <w:bottom w:val="single" w:color="000000" w:sz="4" w:space="0"/>
              <w:right w:val="single" w:color="auto" w:sz="4" w:space="0"/>
            </w:tcBorders>
            <w:noWrap w:val="0"/>
            <w:vAlign w:val="center"/>
          </w:tcPr>
          <w:p>
            <w:pPr>
              <w:widowControl/>
              <w:adjustRightInd w:val="0"/>
              <w:snapToGrid w:val="0"/>
              <w:jc w:val="center"/>
              <w:rPr>
                <w:rFonts w:eastAsia="等线"/>
                <w:b/>
                <w:bCs/>
                <w:color w:val="000000"/>
                <w:kern w:val="0"/>
                <w:sz w:val="22"/>
                <w:szCs w:val="22"/>
                <w:lang w:val="id-ID"/>
              </w:rPr>
            </w:pPr>
            <w:r>
              <w:rPr>
                <w:rFonts w:eastAsia="等线"/>
                <w:b/>
                <w:bCs/>
                <w:color w:val="000000"/>
                <w:kern w:val="0"/>
                <w:sz w:val="22"/>
                <w:szCs w:val="22"/>
                <w:lang w:val="id-ID"/>
              </w:rPr>
              <w:t>列表名称有毒和危险废物</w:t>
            </w:r>
          </w:p>
          <w:p>
            <w:pPr>
              <w:widowControl/>
              <w:adjustRightInd w:val="0"/>
              <w:snapToGrid w:val="0"/>
              <w:jc w:val="center"/>
              <w:rPr>
                <w:rFonts w:eastAsia="等线"/>
                <w:b/>
                <w:bCs/>
                <w:color w:val="000000"/>
                <w:kern w:val="0"/>
                <w:sz w:val="22"/>
                <w:szCs w:val="22"/>
                <w:lang w:val="id-ID"/>
              </w:rPr>
            </w:pPr>
            <w:r>
              <w:rPr>
                <w:rFonts w:eastAsia="等线"/>
                <w:b/>
                <w:bCs/>
                <w:color w:val="000000"/>
                <w:kern w:val="0"/>
                <w:sz w:val="22"/>
                <w:szCs w:val="22"/>
                <w:lang w:val="id-ID"/>
              </w:rPr>
              <w:t>NAME OF LIST LB3</w:t>
            </w:r>
          </w:p>
        </w:tc>
        <w:tc>
          <w:tcPr>
            <w:tcW w:w="1297" w:type="dxa"/>
            <w:vMerge w:val="restart"/>
            <w:tcBorders>
              <w:top w:val="single" w:color="auto" w:sz="4" w:space="0"/>
              <w:left w:val="single" w:color="auto" w:sz="4" w:space="0"/>
              <w:bottom w:val="single" w:color="000000" w:sz="4" w:space="0"/>
              <w:right w:val="single" w:color="auto" w:sz="4" w:space="0"/>
            </w:tcBorders>
            <w:noWrap w:val="0"/>
            <w:vAlign w:val="center"/>
          </w:tcPr>
          <w:p>
            <w:pPr>
              <w:widowControl/>
              <w:adjustRightInd w:val="0"/>
              <w:snapToGrid w:val="0"/>
              <w:jc w:val="center"/>
              <w:rPr>
                <w:rFonts w:eastAsia="等线"/>
                <w:b/>
                <w:bCs/>
                <w:color w:val="000000"/>
                <w:kern w:val="0"/>
                <w:sz w:val="22"/>
                <w:szCs w:val="22"/>
                <w:lang w:val="id-ID"/>
              </w:rPr>
            </w:pPr>
            <w:r>
              <w:rPr>
                <w:rFonts w:eastAsia="等线"/>
                <w:b/>
                <w:bCs/>
                <w:color w:val="000000"/>
                <w:kern w:val="0"/>
                <w:sz w:val="22"/>
                <w:szCs w:val="22"/>
                <w:lang w:val="id-ID"/>
              </w:rPr>
              <w:t>废物代码WASTE CODE</w:t>
            </w:r>
          </w:p>
        </w:tc>
        <w:tc>
          <w:tcPr>
            <w:tcW w:w="1288" w:type="dxa"/>
            <w:vMerge w:val="restart"/>
            <w:tcBorders>
              <w:top w:val="single" w:color="auto" w:sz="4" w:space="0"/>
              <w:left w:val="single" w:color="auto" w:sz="4" w:space="0"/>
              <w:right w:val="single" w:color="auto" w:sz="4" w:space="0"/>
            </w:tcBorders>
            <w:noWrap w:val="0"/>
            <w:vAlign w:val="center"/>
          </w:tcPr>
          <w:p>
            <w:pPr>
              <w:widowControl/>
              <w:adjustRightInd w:val="0"/>
              <w:snapToGrid w:val="0"/>
              <w:jc w:val="center"/>
              <w:rPr>
                <w:rFonts w:ascii="等线" w:hAnsi="等线" w:eastAsia="等线" w:cs="等线"/>
                <w:b/>
                <w:bCs/>
                <w:color w:val="000000"/>
                <w:sz w:val="22"/>
                <w:szCs w:val="22"/>
                <w:lang w:val="id-ID"/>
              </w:rPr>
            </w:pPr>
            <w:r>
              <w:rPr>
                <w:rFonts w:hint="eastAsia" w:ascii="等线" w:hAnsi="等线" w:eastAsia="等线" w:cs="等线"/>
                <w:b/>
                <w:bCs/>
                <w:color w:val="000000"/>
                <w:sz w:val="22"/>
                <w:szCs w:val="22"/>
              </w:rPr>
              <w:t>数量</w:t>
            </w:r>
          </w:p>
          <w:p>
            <w:pPr>
              <w:widowControl/>
              <w:adjustRightInd w:val="0"/>
              <w:snapToGrid w:val="0"/>
              <w:jc w:val="center"/>
              <w:rPr>
                <w:rFonts w:eastAsia="等线"/>
                <w:b/>
                <w:bCs/>
                <w:color w:val="000000"/>
                <w:kern w:val="0"/>
                <w:sz w:val="22"/>
                <w:szCs w:val="22"/>
                <w:lang w:val="id-ID"/>
              </w:rPr>
            </w:pPr>
            <w:r>
              <w:rPr>
                <w:rFonts w:ascii="等线" w:hAnsi="等线" w:eastAsia="等线" w:cs="等线"/>
                <w:b/>
                <w:bCs/>
                <w:color w:val="000000"/>
                <w:sz w:val="22"/>
                <w:szCs w:val="22"/>
              </w:rPr>
              <w:t>QUANTITY</w:t>
            </w:r>
          </w:p>
        </w:tc>
        <w:tc>
          <w:tcPr>
            <w:tcW w:w="1081"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eastAsia="等线"/>
                <w:b/>
                <w:bCs/>
                <w:color w:val="000000"/>
                <w:kern w:val="0"/>
                <w:sz w:val="22"/>
                <w:szCs w:val="22"/>
                <w:lang w:val="id-ID"/>
              </w:rPr>
            </w:pPr>
            <w:r>
              <w:rPr>
                <w:rFonts w:hint="eastAsia" w:ascii="等线" w:hAnsi="等线" w:eastAsia="等线" w:cs="等线"/>
                <w:b/>
                <w:bCs/>
                <w:color w:val="000000"/>
                <w:sz w:val="22"/>
                <w:szCs w:val="22"/>
              </w:rPr>
              <w:t>单位UNIT</w:t>
            </w:r>
          </w:p>
        </w:tc>
      </w:tr>
      <w:tr>
        <w:tblPrEx>
          <w:tblLayout w:type="fixed"/>
          <w:tblCellMar>
            <w:top w:w="0" w:type="dxa"/>
            <w:left w:w="108" w:type="dxa"/>
            <w:bottom w:w="0" w:type="dxa"/>
            <w:right w:w="108" w:type="dxa"/>
          </w:tblCellMar>
        </w:tblPrEx>
        <w:trPr>
          <w:trHeight w:val="54" w:hRule="atLeast"/>
        </w:trPr>
        <w:tc>
          <w:tcPr>
            <w:tcW w:w="704" w:type="dxa"/>
            <w:vMerge w:val="continue"/>
            <w:tcBorders>
              <w:top w:val="single" w:color="auto" w:sz="4" w:space="0"/>
              <w:left w:val="single" w:color="auto" w:sz="4" w:space="0"/>
              <w:bottom w:val="single" w:color="000000" w:sz="4" w:space="0"/>
              <w:right w:val="single" w:color="auto" w:sz="4" w:space="0"/>
            </w:tcBorders>
            <w:noWrap w:val="0"/>
            <w:vAlign w:val="center"/>
          </w:tcPr>
          <w:p>
            <w:pPr>
              <w:widowControl/>
              <w:adjustRightInd w:val="0"/>
              <w:snapToGrid w:val="0"/>
              <w:jc w:val="left"/>
              <w:rPr>
                <w:rFonts w:eastAsia="等线"/>
                <w:b/>
                <w:bCs/>
                <w:color w:val="000000"/>
                <w:kern w:val="0"/>
                <w:sz w:val="22"/>
                <w:szCs w:val="22"/>
                <w:lang w:val="id-ID"/>
              </w:rPr>
            </w:pPr>
          </w:p>
        </w:tc>
        <w:tc>
          <w:tcPr>
            <w:tcW w:w="4967" w:type="dxa"/>
            <w:vMerge w:val="continue"/>
            <w:tcBorders>
              <w:top w:val="single" w:color="auto" w:sz="4" w:space="0"/>
              <w:left w:val="single" w:color="auto" w:sz="4" w:space="0"/>
              <w:bottom w:val="single" w:color="000000" w:sz="4" w:space="0"/>
              <w:right w:val="single" w:color="auto" w:sz="4" w:space="0"/>
            </w:tcBorders>
            <w:noWrap w:val="0"/>
            <w:vAlign w:val="center"/>
          </w:tcPr>
          <w:p>
            <w:pPr>
              <w:widowControl/>
              <w:adjustRightInd w:val="0"/>
              <w:snapToGrid w:val="0"/>
              <w:jc w:val="left"/>
              <w:rPr>
                <w:rFonts w:eastAsia="等线"/>
                <w:b/>
                <w:bCs/>
                <w:color w:val="000000"/>
                <w:kern w:val="0"/>
                <w:sz w:val="22"/>
                <w:szCs w:val="22"/>
                <w:lang w:val="id-ID"/>
              </w:rPr>
            </w:pPr>
          </w:p>
        </w:tc>
        <w:tc>
          <w:tcPr>
            <w:tcW w:w="1297" w:type="dxa"/>
            <w:vMerge w:val="continue"/>
            <w:tcBorders>
              <w:top w:val="single" w:color="auto" w:sz="4" w:space="0"/>
              <w:left w:val="single" w:color="auto" w:sz="4" w:space="0"/>
              <w:bottom w:val="single" w:color="000000" w:sz="4" w:space="0"/>
              <w:right w:val="single" w:color="auto" w:sz="4" w:space="0"/>
            </w:tcBorders>
            <w:noWrap w:val="0"/>
            <w:vAlign w:val="center"/>
          </w:tcPr>
          <w:p>
            <w:pPr>
              <w:widowControl/>
              <w:adjustRightInd w:val="0"/>
              <w:snapToGrid w:val="0"/>
              <w:jc w:val="left"/>
              <w:rPr>
                <w:rFonts w:eastAsia="等线"/>
                <w:b/>
                <w:bCs/>
                <w:color w:val="000000"/>
                <w:kern w:val="0"/>
                <w:sz w:val="22"/>
                <w:szCs w:val="22"/>
                <w:lang w:val="id-ID"/>
              </w:rPr>
            </w:pPr>
          </w:p>
        </w:tc>
        <w:tc>
          <w:tcPr>
            <w:tcW w:w="1288" w:type="dxa"/>
            <w:vMerge w:val="continue"/>
            <w:tcBorders>
              <w:left w:val="single" w:color="auto" w:sz="4" w:space="0"/>
              <w:bottom w:val="single" w:color="auto" w:sz="4" w:space="0"/>
              <w:right w:val="single" w:color="auto" w:sz="4" w:space="0"/>
            </w:tcBorders>
            <w:noWrap w:val="0"/>
            <w:vAlign w:val="top"/>
          </w:tcPr>
          <w:p>
            <w:pPr>
              <w:widowControl/>
              <w:jc w:val="center"/>
              <w:rPr>
                <w:rFonts w:eastAsia="等线"/>
                <w:b/>
                <w:bCs/>
                <w:color w:val="000000"/>
                <w:kern w:val="0"/>
                <w:sz w:val="22"/>
                <w:szCs w:val="22"/>
                <w:lang w:val="id-ID"/>
              </w:rPr>
            </w:pPr>
          </w:p>
        </w:tc>
        <w:tc>
          <w:tcPr>
            <w:tcW w:w="1081" w:type="dxa"/>
            <w:vMerge w:val="continue"/>
            <w:tcBorders>
              <w:top w:val="single" w:color="auto" w:sz="4" w:space="0"/>
              <w:left w:val="single" w:color="auto" w:sz="4" w:space="0"/>
              <w:bottom w:val="single" w:color="auto" w:sz="4" w:space="0"/>
              <w:right w:val="single" w:color="auto" w:sz="4" w:space="0"/>
            </w:tcBorders>
            <w:noWrap w:val="0"/>
            <w:vAlign w:val="top"/>
          </w:tcPr>
          <w:p>
            <w:pPr>
              <w:widowControl/>
              <w:jc w:val="center"/>
              <w:rPr>
                <w:rFonts w:eastAsia="等线"/>
                <w:b/>
                <w:bCs/>
                <w:color w:val="000000"/>
                <w:kern w:val="0"/>
                <w:sz w:val="22"/>
                <w:szCs w:val="22"/>
                <w:lang w:val="id-ID"/>
              </w:rPr>
            </w:pPr>
          </w:p>
        </w:tc>
        <w:tc>
          <w:tcPr>
            <w:tcW w:w="222" w:type="dxa"/>
            <w:tcBorders>
              <w:top w:val="nil"/>
              <w:left w:val="single" w:color="auto" w:sz="4" w:space="0"/>
              <w:bottom w:val="nil"/>
              <w:right w:val="nil"/>
            </w:tcBorders>
            <w:noWrap w:val="0"/>
            <w:vAlign w:val="bottom"/>
          </w:tcPr>
          <w:p>
            <w:pPr>
              <w:widowControl/>
              <w:jc w:val="center"/>
              <w:rPr>
                <w:rFonts w:eastAsia="等线"/>
                <w:b/>
                <w:bCs/>
                <w:color w:val="000000"/>
                <w:kern w:val="0"/>
                <w:sz w:val="22"/>
                <w:szCs w:val="22"/>
                <w:lang w:val="id-ID"/>
              </w:rPr>
            </w:pPr>
          </w:p>
        </w:tc>
      </w:tr>
      <w:tr>
        <w:tblPrEx>
          <w:tblLayout w:type="fixed"/>
          <w:tblCellMar>
            <w:top w:w="0" w:type="dxa"/>
            <w:left w:w="108" w:type="dxa"/>
            <w:bottom w:w="0" w:type="dxa"/>
            <w:right w:w="108" w:type="dxa"/>
          </w:tblCellMar>
        </w:tblPrEx>
        <w:trPr>
          <w:trHeight w:val="560" w:hRule="atLeast"/>
        </w:trPr>
        <w:tc>
          <w:tcPr>
            <w:tcW w:w="704" w:type="dxa"/>
            <w:tcBorders>
              <w:top w:val="nil"/>
              <w:left w:val="single" w:color="auto" w:sz="4" w:space="0"/>
              <w:bottom w:val="single" w:color="auto" w:sz="4" w:space="0"/>
              <w:right w:val="single" w:color="auto" w:sz="4" w:space="0"/>
            </w:tcBorders>
            <w:noWrap w:val="0"/>
            <w:vAlign w:val="center"/>
          </w:tcPr>
          <w:p>
            <w:pPr>
              <w:widowControl/>
              <w:adjustRightInd w:val="0"/>
              <w:snapToGrid w:val="0"/>
              <w:jc w:val="center"/>
              <w:rPr>
                <w:rFonts w:hint="eastAsia" w:eastAsia="等线"/>
                <w:color w:val="000000"/>
                <w:kern w:val="0"/>
                <w:sz w:val="22"/>
                <w:szCs w:val="22"/>
                <w:lang w:val="id-ID" w:eastAsia="zh-CN"/>
              </w:rPr>
            </w:pPr>
            <w:r>
              <w:rPr>
                <w:rFonts w:hint="eastAsia" w:eastAsia="等线"/>
                <w:color w:val="000000"/>
                <w:kern w:val="0"/>
                <w:sz w:val="22"/>
                <w:szCs w:val="22"/>
                <w:lang w:val="en-US" w:eastAsia="zh-CN"/>
              </w:rPr>
              <w:t>1</w:t>
            </w:r>
          </w:p>
        </w:tc>
        <w:tc>
          <w:tcPr>
            <w:tcW w:w="4967" w:type="dxa"/>
            <w:tcBorders>
              <w:top w:val="nil"/>
              <w:left w:val="nil"/>
              <w:bottom w:val="single" w:color="auto" w:sz="4" w:space="0"/>
              <w:right w:val="single" w:color="auto" w:sz="4" w:space="0"/>
            </w:tcBorders>
            <w:noWrap w:val="0"/>
            <w:vAlign w:val="center"/>
          </w:tcPr>
          <w:p>
            <w:pPr>
              <w:widowControl/>
              <w:adjustRightInd w:val="0"/>
              <w:snapToGrid w:val="0"/>
              <w:jc w:val="left"/>
              <w:rPr>
                <w:rFonts w:eastAsia="等线"/>
                <w:color w:val="000000"/>
                <w:kern w:val="0"/>
                <w:sz w:val="22"/>
                <w:szCs w:val="22"/>
                <w:lang w:val="id-ID"/>
              </w:rPr>
            </w:pPr>
            <w:r>
              <w:rPr>
                <w:rFonts w:eastAsia="等线"/>
                <w:i/>
                <w:iCs/>
                <w:color w:val="000000"/>
                <w:kern w:val="0"/>
                <w:sz w:val="22"/>
                <w:szCs w:val="22"/>
                <w:lang w:val="id-ID"/>
              </w:rPr>
              <w:t xml:space="preserve">用过的抹布/吸油布等 </w:t>
            </w:r>
            <w:r>
              <w:rPr>
                <w:rFonts w:eastAsia="等线"/>
                <w:color w:val="000000"/>
                <w:kern w:val="0"/>
                <w:sz w:val="22"/>
                <w:szCs w:val="22"/>
                <w:lang w:val="id-ID"/>
              </w:rPr>
              <w:t>Majun Bekas (used rags)/ Penyerap Oli dan sejenisnya</w:t>
            </w:r>
          </w:p>
        </w:tc>
        <w:tc>
          <w:tcPr>
            <w:tcW w:w="1297" w:type="dxa"/>
            <w:tcBorders>
              <w:top w:val="nil"/>
              <w:left w:val="nil"/>
              <w:bottom w:val="single" w:color="auto" w:sz="4" w:space="0"/>
              <w:right w:val="single" w:color="auto" w:sz="4" w:space="0"/>
            </w:tcBorders>
            <w:noWrap w:val="0"/>
            <w:vAlign w:val="center"/>
          </w:tcPr>
          <w:p>
            <w:pPr>
              <w:widowControl/>
              <w:adjustRightInd w:val="0"/>
              <w:snapToGrid w:val="0"/>
              <w:jc w:val="center"/>
              <w:rPr>
                <w:rFonts w:eastAsia="等线"/>
                <w:color w:val="000000"/>
                <w:kern w:val="0"/>
                <w:sz w:val="22"/>
                <w:szCs w:val="22"/>
                <w:lang w:val="id-ID"/>
              </w:rPr>
            </w:pPr>
            <w:r>
              <w:rPr>
                <w:rFonts w:eastAsia="等线"/>
                <w:color w:val="000000"/>
                <w:kern w:val="0"/>
                <w:sz w:val="22"/>
                <w:szCs w:val="22"/>
                <w:lang w:val="id-ID"/>
              </w:rPr>
              <w:t>B110d</w:t>
            </w:r>
          </w:p>
        </w:tc>
        <w:tc>
          <w:tcPr>
            <w:tcW w:w="1288" w:type="dxa"/>
            <w:tcBorders>
              <w:top w:val="single" w:color="auto" w:sz="4" w:space="0"/>
              <w:bottom w:val="single" w:color="auto" w:sz="4" w:space="0"/>
              <w:right w:val="single" w:color="auto" w:sz="4" w:space="0"/>
            </w:tcBorders>
            <w:noWrap w:val="0"/>
            <w:vAlign w:val="top"/>
          </w:tcPr>
          <w:p>
            <w:pPr>
              <w:widowControl/>
              <w:jc w:val="center"/>
              <w:rPr>
                <w:rFonts w:eastAsia="Times New Roman"/>
                <w:kern w:val="0"/>
                <w:sz w:val="22"/>
                <w:szCs w:val="22"/>
                <w:lang w:val="id-ID"/>
              </w:rPr>
            </w:pPr>
            <w:r>
              <w:rPr>
                <w:rFonts w:eastAsia="Times New Roman"/>
                <w:kern w:val="0"/>
                <w:sz w:val="22"/>
                <w:szCs w:val="22"/>
                <w:lang w:val="id-ID"/>
              </w:rPr>
              <w:t>20</w:t>
            </w:r>
          </w:p>
        </w:tc>
        <w:tc>
          <w:tcPr>
            <w:tcW w:w="1081" w:type="dxa"/>
            <w:tcBorders>
              <w:top w:val="single" w:color="auto" w:sz="4" w:space="0"/>
              <w:left w:val="single" w:color="auto" w:sz="4" w:space="0"/>
              <w:bottom w:val="single" w:color="auto" w:sz="4" w:space="0"/>
              <w:right w:val="single" w:color="auto" w:sz="4" w:space="0"/>
            </w:tcBorders>
            <w:noWrap w:val="0"/>
            <w:vAlign w:val="top"/>
          </w:tcPr>
          <w:p>
            <w:pPr>
              <w:widowControl/>
              <w:jc w:val="left"/>
              <w:rPr>
                <w:rFonts w:eastAsia="Times New Roman"/>
                <w:kern w:val="0"/>
                <w:sz w:val="22"/>
                <w:szCs w:val="22"/>
                <w:lang w:val="id-ID"/>
              </w:rPr>
            </w:pPr>
            <w:r>
              <w:rPr>
                <w:rFonts w:hint="eastAsia" w:ascii="等线" w:hAnsi="等线" w:eastAsia="等线" w:cs="等线"/>
                <w:sz w:val="22"/>
                <w:szCs w:val="22"/>
              </w:rPr>
              <w:t>公斤Kg</w:t>
            </w:r>
          </w:p>
        </w:tc>
        <w:tc>
          <w:tcPr>
            <w:tcW w:w="222" w:type="dxa"/>
            <w:tcBorders>
              <w:left w:val="single" w:color="auto" w:sz="4" w:space="0"/>
            </w:tcBorders>
            <w:noWrap w:val="0"/>
            <w:vAlign w:val="center"/>
          </w:tcPr>
          <w:p>
            <w:pPr>
              <w:widowControl/>
              <w:jc w:val="left"/>
              <w:rPr>
                <w:rFonts w:eastAsia="Times New Roman"/>
                <w:kern w:val="0"/>
                <w:sz w:val="22"/>
                <w:szCs w:val="22"/>
                <w:lang w:val="id-ID"/>
              </w:rPr>
            </w:pPr>
          </w:p>
        </w:tc>
      </w:tr>
      <w:tr>
        <w:tblPrEx>
          <w:tblLayout w:type="fixed"/>
          <w:tblCellMar>
            <w:top w:w="0" w:type="dxa"/>
            <w:left w:w="108" w:type="dxa"/>
            <w:bottom w:w="0" w:type="dxa"/>
            <w:right w:w="108" w:type="dxa"/>
          </w:tblCellMar>
        </w:tblPrEx>
        <w:trPr>
          <w:trHeight w:val="560" w:hRule="atLeast"/>
        </w:trPr>
        <w:tc>
          <w:tcPr>
            <w:tcW w:w="704" w:type="dxa"/>
            <w:vMerge w:val="restart"/>
            <w:tcBorders>
              <w:left w:val="single" w:color="auto" w:sz="4" w:space="0"/>
              <w:right w:val="single" w:color="auto" w:sz="4" w:space="0"/>
            </w:tcBorders>
            <w:noWrap w:val="0"/>
            <w:vAlign w:val="center"/>
          </w:tcPr>
          <w:p>
            <w:pPr>
              <w:widowControl/>
              <w:adjustRightInd w:val="0"/>
              <w:snapToGrid w:val="0"/>
              <w:jc w:val="center"/>
              <w:rPr>
                <w:rFonts w:hint="eastAsia" w:eastAsia="等线"/>
                <w:color w:val="000000"/>
                <w:kern w:val="0"/>
                <w:sz w:val="22"/>
                <w:szCs w:val="22"/>
                <w:lang w:val="en-US" w:eastAsia="zh-CN"/>
              </w:rPr>
            </w:pPr>
            <w:r>
              <w:rPr>
                <w:rFonts w:eastAsia="等线"/>
                <w:color w:val="000000"/>
                <w:kern w:val="0"/>
                <w:sz w:val="22"/>
                <w:szCs w:val="22"/>
                <w:lang w:val="id-ID"/>
              </w:rPr>
              <w:t>2</w:t>
            </w:r>
          </w:p>
        </w:tc>
        <w:tc>
          <w:tcPr>
            <w:tcW w:w="4967" w:type="dxa"/>
            <w:tcBorders>
              <w:top w:val="nil"/>
              <w:left w:val="nil"/>
              <w:bottom w:val="single" w:color="auto" w:sz="4" w:space="0"/>
              <w:right w:val="single" w:color="auto" w:sz="4" w:space="0"/>
            </w:tcBorders>
            <w:noWrap w:val="0"/>
            <w:vAlign w:val="center"/>
          </w:tcPr>
          <w:p>
            <w:pPr>
              <w:widowControl/>
              <w:adjustRightInd w:val="0"/>
              <w:snapToGrid w:val="0"/>
              <w:jc w:val="left"/>
              <w:rPr>
                <w:rFonts w:eastAsia="等线"/>
                <w:i/>
                <w:iCs/>
                <w:color w:val="000000"/>
                <w:kern w:val="0"/>
                <w:sz w:val="22"/>
                <w:szCs w:val="22"/>
                <w:lang w:val="id-ID"/>
              </w:rPr>
            </w:pPr>
            <w:r>
              <w:rPr>
                <w:rFonts w:hint="eastAsia" w:ascii="等线" w:hAnsi="等线" w:eastAsia="等线" w:cs="等线"/>
                <w:sz w:val="22"/>
                <w:szCs w:val="22"/>
              </w:rPr>
              <w:t>- 200升桶</w:t>
            </w:r>
            <w:r>
              <w:rPr>
                <w:rFonts w:ascii="等线" w:hAnsi="等线" w:eastAsia="等线" w:cs="等线"/>
                <w:sz w:val="22"/>
                <w:szCs w:val="22"/>
                <w:lang w:val="id-ID"/>
              </w:rPr>
              <w:t xml:space="preserve">/ </w:t>
            </w:r>
            <w:r>
              <w:rPr>
                <w:rFonts w:ascii="等线" w:hAnsi="等线" w:eastAsia="等线" w:cs="等线"/>
                <w:sz w:val="22"/>
                <w:szCs w:val="22"/>
              </w:rPr>
              <w:t>Drum Plastik 200 Liter</w:t>
            </w:r>
          </w:p>
        </w:tc>
        <w:tc>
          <w:tcPr>
            <w:tcW w:w="1297" w:type="dxa"/>
            <w:vMerge w:val="restart"/>
            <w:tcBorders>
              <w:top w:val="nil"/>
              <w:left w:val="nil"/>
              <w:right w:val="single" w:color="auto" w:sz="4" w:space="0"/>
            </w:tcBorders>
            <w:noWrap w:val="0"/>
            <w:vAlign w:val="center"/>
          </w:tcPr>
          <w:p>
            <w:pPr>
              <w:widowControl/>
              <w:adjustRightInd w:val="0"/>
              <w:snapToGrid w:val="0"/>
              <w:jc w:val="center"/>
              <w:rPr>
                <w:rFonts w:eastAsia="等线"/>
                <w:color w:val="000000"/>
                <w:kern w:val="0"/>
                <w:sz w:val="22"/>
                <w:szCs w:val="22"/>
                <w:lang w:val="id-ID"/>
              </w:rPr>
            </w:pPr>
            <w:r>
              <w:rPr>
                <w:rFonts w:eastAsia="等线"/>
                <w:color w:val="000000"/>
                <w:kern w:val="0"/>
                <w:sz w:val="22"/>
                <w:szCs w:val="22"/>
                <w:lang w:val="id-ID"/>
              </w:rPr>
              <w:t>B104d</w:t>
            </w:r>
          </w:p>
          <w:p>
            <w:pPr>
              <w:widowControl/>
              <w:adjustRightInd w:val="0"/>
              <w:snapToGrid w:val="0"/>
              <w:jc w:val="center"/>
              <w:rPr>
                <w:rFonts w:eastAsia="等线"/>
                <w:color w:val="000000"/>
                <w:kern w:val="0"/>
                <w:sz w:val="22"/>
                <w:szCs w:val="22"/>
                <w:lang w:val="id-ID"/>
              </w:rPr>
            </w:pPr>
          </w:p>
        </w:tc>
        <w:tc>
          <w:tcPr>
            <w:tcW w:w="1288" w:type="dxa"/>
            <w:tcBorders>
              <w:top w:val="single" w:color="auto" w:sz="4" w:space="0"/>
              <w:bottom w:val="single" w:color="auto" w:sz="4" w:space="0"/>
              <w:right w:val="single" w:color="auto" w:sz="4" w:space="0"/>
            </w:tcBorders>
            <w:noWrap w:val="0"/>
            <w:vAlign w:val="top"/>
          </w:tcPr>
          <w:p>
            <w:pPr>
              <w:widowControl/>
              <w:jc w:val="center"/>
              <w:rPr>
                <w:rFonts w:eastAsia="Times New Roman"/>
                <w:kern w:val="0"/>
                <w:sz w:val="22"/>
                <w:szCs w:val="22"/>
                <w:lang w:val="id-ID"/>
              </w:rPr>
            </w:pPr>
            <w:r>
              <w:rPr>
                <w:rFonts w:eastAsia="Times New Roman"/>
                <w:kern w:val="0"/>
                <w:sz w:val="22"/>
                <w:szCs w:val="22"/>
                <w:lang w:val="id-ID"/>
              </w:rPr>
              <w:t>224</w:t>
            </w:r>
          </w:p>
        </w:tc>
        <w:tc>
          <w:tcPr>
            <w:tcW w:w="1081" w:type="dxa"/>
            <w:tcBorders>
              <w:top w:val="single" w:color="auto" w:sz="4" w:space="0"/>
              <w:left w:val="single" w:color="auto" w:sz="4" w:space="0"/>
              <w:bottom w:val="single" w:color="auto" w:sz="4" w:space="0"/>
              <w:right w:val="single" w:color="auto" w:sz="4" w:space="0"/>
            </w:tcBorders>
            <w:noWrap w:val="0"/>
            <w:vAlign w:val="top"/>
          </w:tcPr>
          <w:p>
            <w:pPr>
              <w:widowControl/>
              <w:jc w:val="center"/>
              <w:rPr>
                <w:rFonts w:eastAsia="Times New Roman"/>
                <w:kern w:val="0"/>
                <w:sz w:val="22"/>
                <w:szCs w:val="22"/>
                <w:lang w:val="id-ID"/>
              </w:rPr>
            </w:pPr>
            <w:r>
              <w:rPr>
                <w:rFonts w:hint="eastAsia" w:ascii="等线" w:hAnsi="等线" w:eastAsia="等线" w:cs="等线"/>
                <w:sz w:val="22"/>
                <w:szCs w:val="22"/>
              </w:rPr>
              <w:t>桶Drum</w:t>
            </w:r>
          </w:p>
        </w:tc>
        <w:tc>
          <w:tcPr>
            <w:tcW w:w="222" w:type="dxa"/>
            <w:tcBorders>
              <w:left w:val="single" w:color="auto" w:sz="4" w:space="0"/>
            </w:tcBorders>
            <w:noWrap w:val="0"/>
            <w:vAlign w:val="center"/>
          </w:tcPr>
          <w:p>
            <w:pPr>
              <w:widowControl/>
              <w:jc w:val="left"/>
              <w:rPr>
                <w:rFonts w:eastAsia="Times New Roman"/>
                <w:kern w:val="0"/>
                <w:sz w:val="22"/>
                <w:szCs w:val="22"/>
                <w:lang w:val="id-ID"/>
              </w:rPr>
            </w:pPr>
          </w:p>
        </w:tc>
      </w:tr>
      <w:tr>
        <w:tblPrEx>
          <w:tblLayout w:type="fixed"/>
          <w:tblCellMar>
            <w:top w:w="0" w:type="dxa"/>
            <w:left w:w="108" w:type="dxa"/>
            <w:bottom w:w="0" w:type="dxa"/>
            <w:right w:w="108" w:type="dxa"/>
          </w:tblCellMar>
        </w:tblPrEx>
        <w:trPr>
          <w:trHeight w:val="560" w:hRule="atLeast"/>
        </w:trPr>
        <w:tc>
          <w:tcPr>
            <w:tcW w:w="704" w:type="dxa"/>
            <w:vMerge w:val="continue"/>
            <w:tcBorders>
              <w:left w:val="single" w:color="auto" w:sz="4" w:space="0"/>
              <w:right w:val="single" w:color="auto" w:sz="4" w:space="0"/>
            </w:tcBorders>
            <w:noWrap w:val="0"/>
            <w:vAlign w:val="center"/>
          </w:tcPr>
          <w:p>
            <w:pPr>
              <w:widowControl/>
              <w:adjustRightInd w:val="0"/>
              <w:snapToGrid w:val="0"/>
              <w:jc w:val="center"/>
              <w:rPr>
                <w:rFonts w:eastAsia="等线"/>
                <w:color w:val="000000"/>
                <w:kern w:val="0"/>
                <w:sz w:val="22"/>
                <w:szCs w:val="22"/>
                <w:lang w:val="id-ID"/>
              </w:rPr>
            </w:pPr>
          </w:p>
        </w:tc>
        <w:tc>
          <w:tcPr>
            <w:tcW w:w="4967" w:type="dxa"/>
            <w:tcBorders>
              <w:top w:val="nil"/>
              <w:left w:val="nil"/>
              <w:bottom w:val="single" w:color="auto" w:sz="4" w:space="0"/>
              <w:right w:val="single" w:color="auto" w:sz="4" w:space="0"/>
            </w:tcBorders>
            <w:noWrap w:val="0"/>
            <w:vAlign w:val="center"/>
          </w:tcPr>
          <w:p>
            <w:pPr>
              <w:widowControl/>
              <w:adjustRightInd w:val="0"/>
              <w:snapToGrid w:val="0"/>
              <w:jc w:val="left"/>
              <w:rPr>
                <w:rFonts w:eastAsia="等线"/>
                <w:i/>
                <w:iCs/>
                <w:color w:val="000000"/>
                <w:kern w:val="0"/>
                <w:sz w:val="22"/>
                <w:szCs w:val="22"/>
                <w:lang w:val="id-ID"/>
              </w:rPr>
            </w:pPr>
            <w:r>
              <w:rPr>
                <w:rFonts w:hint="eastAsia" w:ascii="等线" w:hAnsi="等线" w:eastAsia="等线" w:cs="等线"/>
                <w:sz w:val="22"/>
                <w:szCs w:val="22"/>
              </w:rPr>
              <w:t>-</w:t>
            </w:r>
            <w:r>
              <w:rPr>
                <w:rFonts w:ascii="等线" w:hAnsi="等线" w:eastAsia="等线" w:cs="等线"/>
                <w:sz w:val="22"/>
                <w:szCs w:val="22"/>
              </w:rPr>
              <w:t xml:space="preserve"> 25Kg</w:t>
            </w:r>
            <w:r>
              <w:rPr>
                <w:rFonts w:hint="eastAsia" w:ascii="等线" w:hAnsi="等线" w:eastAsia="等线" w:cs="等线"/>
                <w:sz w:val="22"/>
                <w:szCs w:val="22"/>
              </w:rPr>
              <w:t>塑料桶</w:t>
            </w:r>
            <w:r>
              <w:rPr>
                <w:rFonts w:ascii="等线" w:hAnsi="等线" w:eastAsia="等线" w:cs="等线"/>
                <w:sz w:val="22"/>
                <w:szCs w:val="22"/>
                <w:lang w:val="id-ID"/>
              </w:rPr>
              <w:t xml:space="preserve">/ </w:t>
            </w:r>
            <w:r>
              <w:rPr>
                <w:rFonts w:ascii="等线" w:hAnsi="等线" w:eastAsia="等线" w:cs="等线"/>
                <w:sz w:val="22"/>
                <w:szCs w:val="22"/>
              </w:rPr>
              <w:t>D</w:t>
            </w:r>
            <w:r>
              <w:rPr>
                <w:rFonts w:hint="eastAsia" w:ascii="等线" w:hAnsi="等线" w:eastAsia="等线" w:cs="等线"/>
                <w:sz w:val="22"/>
                <w:szCs w:val="22"/>
              </w:rPr>
              <w:t>erigen bekas</w:t>
            </w:r>
            <w:r>
              <w:rPr>
                <w:rFonts w:ascii="等线" w:hAnsi="等线" w:eastAsia="等线" w:cs="等线"/>
                <w:sz w:val="22"/>
                <w:szCs w:val="22"/>
              </w:rPr>
              <w:t xml:space="preserve"> 25Kg</w:t>
            </w:r>
          </w:p>
        </w:tc>
        <w:tc>
          <w:tcPr>
            <w:tcW w:w="1297" w:type="dxa"/>
            <w:vMerge w:val="continue"/>
            <w:tcBorders>
              <w:left w:val="nil"/>
              <w:right w:val="single" w:color="auto" w:sz="4" w:space="0"/>
            </w:tcBorders>
            <w:noWrap w:val="0"/>
            <w:vAlign w:val="top"/>
          </w:tcPr>
          <w:p>
            <w:pPr>
              <w:widowControl/>
              <w:adjustRightInd w:val="0"/>
              <w:snapToGrid w:val="0"/>
              <w:jc w:val="center"/>
              <w:rPr>
                <w:rFonts w:eastAsia="等线"/>
                <w:color w:val="000000"/>
                <w:kern w:val="0"/>
                <w:sz w:val="22"/>
                <w:szCs w:val="22"/>
                <w:lang w:val="id-ID"/>
              </w:rPr>
            </w:pPr>
          </w:p>
        </w:tc>
        <w:tc>
          <w:tcPr>
            <w:tcW w:w="1288" w:type="dxa"/>
            <w:tcBorders>
              <w:top w:val="single" w:color="auto" w:sz="4" w:space="0"/>
              <w:bottom w:val="single" w:color="auto" w:sz="4" w:space="0"/>
              <w:right w:val="single" w:color="auto" w:sz="4" w:space="0"/>
            </w:tcBorders>
            <w:noWrap w:val="0"/>
            <w:vAlign w:val="top"/>
          </w:tcPr>
          <w:p>
            <w:pPr>
              <w:widowControl/>
              <w:jc w:val="center"/>
              <w:rPr>
                <w:rFonts w:eastAsia="Times New Roman"/>
                <w:kern w:val="0"/>
                <w:sz w:val="22"/>
                <w:szCs w:val="22"/>
                <w:lang w:val="id-ID"/>
              </w:rPr>
            </w:pPr>
            <w:r>
              <w:rPr>
                <w:rFonts w:eastAsia="Times New Roman"/>
                <w:kern w:val="0"/>
                <w:sz w:val="22"/>
                <w:szCs w:val="22"/>
                <w:lang w:val="id-ID"/>
              </w:rPr>
              <w:t>5255</w:t>
            </w:r>
          </w:p>
        </w:tc>
        <w:tc>
          <w:tcPr>
            <w:tcW w:w="1081" w:type="dxa"/>
            <w:tcBorders>
              <w:top w:val="single" w:color="auto" w:sz="4" w:space="0"/>
              <w:left w:val="single" w:color="auto" w:sz="4" w:space="0"/>
              <w:bottom w:val="single" w:color="auto" w:sz="4" w:space="0"/>
              <w:right w:val="single" w:color="auto" w:sz="4" w:space="0"/>
            </w:tcBorders>
            <w:noWrap w:val="0"/>
            <w:vAlign w:val="top"/>
          </w:tcPr>
          <w:p>
            <w:pPr>
              <w:widowControl/>
              <w:jc w:val="center"/>
              <w:rPr>
                <w:rFonts w:eastAsia="Times New Roman"/>
                <w:kern w:val="0"/>
                <w:sz w:val="22"/>
                <w:szCs w:val="22"/>
                <w:lang w:val="id-ID"/>
              </w:rPr>
            </w:pPr>
            <w:r>
              <w:rPr>
                <w:rFonts w:hint="eastAsia" w:ascii="等线" w:hAnsi="等线" w:eastAsia="等线" w:cs="等线"/>
                <w:sz w:val="22"/>
                <w:szCs w:val="22"/>
              </w:rPr>
              <w:t>个pcs</w:t>
            </w:r>
          </w:p>
        </w:tc>
        <w:tc>
          <w:tcPr>
            <w:tcW w:w="222" w:type="dxa"/>
            <w:tcBorders>
              <w:left w:val="single" w:color="auto" w:sz="4" w:space="0"/>
            </w:tcBorders>
            <w:noWrap w:val="0"/>
            <w:vAlign w:val="center"/>
          </w:tcPr>
          <w:p>
            <w:pPr>
              <w:widowControl/>
              <w:jc w:val="left"/>
              <w:rPr>
                <w:rFonts w:eastAsia="Times New Roman"/>
                <w:kern w:val="0"/>
                <w:sz w:val="22"/>
                <w:szCs w:val="22"/>
                <w:lang w:val="id-ID"/>
              </w:rPr>
            </w:pPr>
          </w:p>
        </w:tc>
      </w:tr>
      <w:tr>
        <w:tblPrEx>
          <w:tblLayout w:type="fixed"/>
          <w:tblCellMar>
            <w:top w:w="0" w:type="dxa"/>
            <w:left w:w="108" w:type="dxa"/>
            <w:bottom w:w="0" w:type="dxa"/>
            <w:right w:w="108" w:type="dxa"/>
          </w:tblCellMar>
        </w:tblPrEx>
        <w:trPr>
          <w:trHeight w:val="560" w:hRule="atLeast"/>
        </w:trPr>
        <w:tc>
          <w:tcPr>
            <w:tcW w:w="704" w:type="dxa"/>
            <w:vMerge w:val="continue"/>
            <w:tcBorders>
              <w:left w:val="single" w:color="auto" w:sz="4" w:space="0"/>
              <w:right w:val="single" w:color="auto" w:sz="4" w:space="0"/>
            </w:tcBorders>
            <w:noWrap w:val="0"/>
            <w:vAlign w:val="center"/>
          </w:tcPr>
          <w:p>
            <w:pPr>
              <w:widowControl/>
              <w:adjustRightInd w:val="0"/>
              <w:snapToGrid w:val="0"/>
              <w:jc w:val="center"/>
              <w:rPr>
                <w:rFonts w:eastAsia="等线"/>
                <w:color w:val="000000"/>
                <w:kern w:val="0"/>
                <w:sz w:val="22"/>
                <w:szCs w:val="22"/>
                <w:lang w:val="id-ID"/>
              </w:rPr>
            </w:pPr>
          </w:p>
        </w:tc>
        <w:tc>
          <w:tcPr>
            <w:tcW w:w="4967" w:type="dxa"/>
            <w:tcBorders>
              <w:top w:val="nil"/>
              <w:left w:val="nil"/>
              <w:bottom w:val="single" w:color="auto" w:sz="4" w:space="0"/>
              <w:right w:val="single" w:color="auto" w:sz="4" w:space="0"/>
            </w:tcBorders>
            <w:noWrap w:val="0"/>
            <w:vAlign w:val="center"/>
          </w:tcPr>
          <w:p>
            <w:pPr>
              <w:widowControl/>
              <w:adjustRightInd w:val="0"/>
              <w:snapToGrid w:val="0"/>
              <w:jc w:val="left"/>
              <w:rPr>
                <w:rFonts w:eastAsia="等线"/>
                <w:i/>
                <w:iCs/>
                <w:color w:val="000000"/>
                <w:kern w:val="0"/>
                <w:sz w:val="22"/>
                <w:szCs w:val="22"/>
                <w:lang w:val="id-ID"/>
              </w:rPr>
            </w:pPr>
            <w:r>
              <w:rPr>
                <w:rFonts w:hint="eastAsia" w:ascii="等线" w:hAnsi="等线" w:eastAsia="等线" w:cs="等线"/>
                <w:sz w:val="22"/>
                <w:szCs w:val="22"/>
              </w:rPr>
              <w:t>- 中型散装容器</w:t>
            </w:r>
            <w:r>
              <w:rPr>
                <w:rFonts w:ascii="等线" w:hAnsi="等线" w:eastAsia="等线" w:cs="等线"/>
                <w:sz w:val="22"/>
                <w:szCs w:val="22"/>
                <w:lang w:val="id-ID"/>
              </w:rPr>
              <w:t>/</w:t>
            </w:r>
            <w:r>
              <w:rPr>
                <w:rFonts w:ascii="等线" w:hAnsi="等线" w:eastAsia="等线" w:cs="等线"/>
                <w:sz w:val="22"/>
                <w:szCs w:val="22"/>
              </w:rPr>
              <w:t>Intermediate bulk container Tank</w:t>
            </w:r>
          </w:p>
        </w:tc>
        <w:tc>
          <w:tcPr>
            <w:tcW w:w="1297" w:type="dxa"/>
            <w:vMerge w:val="continue"/>
            <w:tcBorders>
              <w:left w:val="nil"/>
              <w:right w:val="single" w:color="auto" w:sz="4" w:space="0"/>
            </w:tcBorders>
            <w:noWrap w:val="0"/>
            <w:vAlign w:val="top"/>
          </w:tcPr>
          <w:p>
            <w:pPr>
              <w:widowControl/>
              <w:adjustRightInd w:val="0"/>
              <w:snapToGrid w:val="0"/>
              <w:jc w:val="center"/>
              <w:rPr>
                <w:rFonts w:eastAsia="等线"/>
                <w:color w:val="000000"/>
                <w:kern w:val="0"/>
                <w:sz w:val="22"/>
                <w:szCs w:val="22"/>
                <w:lang w:val="id-ID"/>
              </w:rPr>
            </w:pPr>
          </w:p>
        </w:tc>
        <w:tc>
          <w:tcPr>
            <w:tcW w:w="1288" w:type="dxa"/>
            <w:tcBorders>
              <w:top w:val="single" w:color="auto" w:sz="4" w:space="0"/>
              <w:bottom w:val="single" w:color="auto" w:sz="4" w:space="0"/>
              <w:right w:val="single" w:color="auto" w:sz="4" w:space="0"/>
            </w:tcBorders>
            <w:noWrap w:val="0"/>
            <w:vAlign w:val="top"/>
          </w:tcPr>
          <w:p>
            <w:pPr>
              <w:widowControl/>
              <w:jc w:val="center"/>
              <w:rPr>
                <w:rFonts w:eastAsia="Times New Roman"/>
                <w:kern w:val="0"/>
                <w:sz w:val="22"/>
                <w:szCs w:val="22"/>
                <w:lang w:val="id-ID"/>
              </w:rPr>
            </w:pPr>
            <w:r>
              <w:rPr>
                <w:rFonts w:eastAsia="Times New Roman"/>
                <w:kern w:val="0"/>
                <w:sz w:val="22"/>
                <w:szCs w:val="22"/>
                <w:lang w:val="id-ID"/>
              </w:rPr>
              <w:t>23</w:t>
            </w:r>
          </w:p>
        </w:tc>
        <w:tc>
          <w:tcPr>
            <w:tcW w:w="1081" w:type="dxa"/>
            <w:tcBorders>
              <w:top w:val="single" w:color="auto" w:sz="4" w:space="0"/>
              <w:left w:val="single" w:color="auto" w:sz="4" w:space="0"/>
              <w:bottom w:val="single" w:color="auto" w:sz="4" w:space="0"/>
              <w:right w:val="single" w:color="auto" w:sz="4" w:space="0"/>
            </w:tcBorders>
            <w:noWrap w:val="0"/>
            <w:vAlign w:val="top"/>
          </w:tcPr>
          <w:p>
            <w:pPr>
              <w:widowControl/>
              <w:jc w:val="center"/>
              <w:rPr>
                <w:rFonts w:eastAsia="Times New Roman"/>
                <w:kern w:val="0"/>
                <w:sz w:val="22"/>
                <w:szCs w:val="22"/>
                <w:lang w:val="id-ID"/>
              </w:rPr>
            </w:pPr>
            <w:r>
              <w:rPr>
                <w:rFonts w:hint="eastAsia" w:ascii="等线" w:hAnsi="等线" w:eastAsia="等线" w:cs="等线"/>
                <w:sz w:val="22"/>
                <w:szCs w:val="22"/>
              </w:rPr>
              <w:t>个pcs</w:t>
            </w:r>
          </w:p>
        </w:tc>
        <w:tc>
          <w:tcPr>
            <w:tcW w:w="222" w:type="dxa"/>
            <w:tcBorders>
              <w:left w:val="single" w:color="auto" w:sz="4" w:space="0"/>
            </w:tcBorders>
            <w:noWrap w:val="0"/>
            <w:vAlign w:val="center"/>
          </w:tcPr>
          <w:p>
            <w:pPr>
              <w:widowControl/>
              <w:jc w:val="left"/>
              <w:rPr>
                <w:rFonts w:eastAsia="Times New Roman"/>
                <w:kern w:val="0"/>
                <w:sz w:val="22"/>
                <w:szCs w:val="22"/>
                <w:lang w:val="id-ID"/>
              </w:rPr>
            </w:pPr>
          </w:p>
        </w:tc>
      </w:tr>
      <w:tr>
        <w:tblPrEx>
          <w:tblLayout w:type="fixed"/>
          <w:tblCellMar>
            <w:top w:w="0" w:type="dxa"/>
            <w:left w:w="108" w:type="dxa"/>
            <w:bottom w:w="0" w:type="dxa"/>
            <w:right w:w="108" w:type="dxa"/>
          </w:tblCellMar>
        </w:tblPrEx>
        <w:trPr>
          <w:trHeight w:val="560" w:hRule="atLeast"/>
        </w:trPr>
        <w:tc>
          <w:tcPr>
            <w:tcW w:w="704" w:type="dxa"/>
            <w:vMerge w:val="continue"/>
            <w:tcBorders>
              <w:left w:val="single" w:color="auto" w:sz="4" w:space="0"/>
              <w:bottom w:val="single" w:color="auto" w:sz="4" w:space="0"/>
              <w:right w:val="single" w:color="auto" w:sz="4" w:space="0"/>
            </w:tcBorders>
            <w:noWrap w:val="0"/>
            <w:vAlign w:val="center"/>
          </w:tcPr>
          <w:p>
            <w:pPr>
              <w:widowControl/>
              <w:adjustRightInd w:val="0"/>
              <w:snapToGrid w:val="0"/>
              <w:jc w:val="center"/>
              <w:rPr>
                <w:rFonts w:eastAsia="等线"/>
                <w:color w:val="000000"/>
                <w:kern w:val="0"/>
                <w:sz w:val="22"/>
                <w:szCs w:val="22"/>
                <w:lang w:val="id-ID"/>
              </w:rPr>
            </w:pPr>
          </w:p>
        </w:tc>
        <w:tc>
          <w:tcPr>
            <w:tcW w:w="4967" w:type="dxa"/>
            <w:tcBorders>
              <w:top w:val="nil"/>
              <w:left w:val="nil"/>
              <w:bottom w:val="single" w:color="auto" w:sz="4" w:space="0"/>
              <w:right w:val="single" w:color="auto" w:sz="4" w:space="0"/>
            </w:tcBorders>
            <w:noWrap w:val="0"/>
            <w:vAlign w:val="center"/>
          </w:tcPr>
          <w:p>
            <w:pPr>
              <w:widowControl/>
              <w:adjustRightInd w:val="0"/>
              <w:snapToGrid w:val="0"/>
              <w:jc w:val="left"/>
              <w:rPr>
                <w:rFonts w:eastAsia="等线"/>
                <w:i/>
                <w:iCs/>
                <w:color w:val="000000"/>
                <w:kern w:val="0"/>
                <w:sz w:val="22"/>
                <w:szCs w:val="22"/>
                <w:lang w:val="id-ID"/>
              </w:rPr>
            </w:pPr>
            <w:r>
              <w:rPr>
                <w:rFonts w:hint="eastAsia" w:ascii="等线" w:hAnsi="等线" w:eastAsia="等线" w:cs="等线"/>
                <w:sz w:val="22"/>
                <w:szCs w:val="22"/>
              </w:rPr>
              <w:t>- 塑料袋化学品</w:t>
            </w:r>
            <w:r>
              <w:rPr>
                <w:rFonts w:ascii="等线" w:hAnsi="等线" w:eastAsia="等线" w:cs="等线"/>
                <w:sz w:val="22"/>
                <w:szCs w:val="22"/>
                <w:lang w:val="id-ID"/>
              </w:rPr>
              <w:t xml:space="preserve">/ </w:t>
            </w:r>
            <w:r>
              <w:rPr>
                <w:rFonts w:ascii="等线" w:hAnsi="等线" w:eastAsia="等线" w:cs="等线"/>
                <w:sz w:val="22"/>
                <w:szCs w:val="22"/>
              </w:rPr>
              <w:t>Karung Kimia</w:t>
            </w:r>
          </w:p>
        </w:tc>
        <w:tc>
          <w:tcPr>
            <w:tcW w:w="1297" w:type="dxa"/>
            <w:vMerge w:val="continue"/>
            <w:tcBorders>
              <w:left w:val="nil"/>
              <w:bottom w:val="single" w:color="auto" w:sz="4" w:space="0"/>
              <w:right w:val="single" w:color="auto" w:sz="4" w:space="0"/>
            </w:tcBorders>
            <w:noWrap w:val="0"/>
            <w:vAlign w:val="top"/>
          </w:tcPr>
          <w:p>
            <w:pPr>
              <w:widowControl/>
              <w:adjustRightInd w:val="0"/>
              <w:snapToGrid w:val="0"/>
              <w:jc w:val="center"/>
              <w:rPr>
                <w:rFonts w:eastAsia="等线"/>
                <w:color w:val="000000"/>
                <w:kern w:val="0"/>
                <w:sz w:val="22"/>
                <w:szCs w:val="22"/>
                <w:lang w:val="id-ID"/>
              </w:rPr>
            </w:pPr>
          </w:p>
        </w:tc>
        <w:tc>
          <w:tcPr>
            <w:tcW w:w="1288" w:type="dxa"/>
            <w:tcBorders>
              <w:top w:val="single" w:color="auto" w:sz="4" w:space="0"/>
              <w:bottom w:val="single" w:color="auto" w:sz="4" w:space="0"/>
              <w:right w:val="single" w:color="auto" w:sz="4" w:space="0"/>
            </w:tcBorders>
            <w:noWrap w:val="0"/>
            <w:vAlign w:val="top"/>
          </w:tcPr>
          <w:p>
            <w:pPr>
              <w:widowControl/>
              <w:jc w:val="center"/>
              <w:rPr>
                <w:rFonts w:eastAsia="Times New Roman"/>
                <w:kern w:val="0"/>
                <w:sz w:val="22"/>
                <w:szCs w:val="22"/>
                <w:lang w:val="id-ID"/>
              </w:rPr>
            </w:pPr>
            <w:r>
              <w:rPr>
                <w:rFonts w:eastAsia="Times New Roman"/>
                <w:kern w:val="0"/>
                <w:sz w:val="22"/>
                <w:szCs w:val="22"/>
                <w:lang w:val="id-ID"/>
              </w:rPr>
              <w:t>6057</w:t>
            </w:r>
          </w:p>
        </w:tc>
        <w:tc>
          <w:tcPr>
            <w:tcW w:w="1081" w:type="dxa"/>
            <w:tcBorders>
              <w:top w:val="single" w:color="auto" w:sz="4" w:space="0"/>
              <w:left w:val="single" w:color="auto" w:sz="4" w:space="0"/>
              <w:bottom w:val="single" w:color="auto" w:sz="4" w:space="0"/>
              <w:right w:val="single" w:color="auto" w:sz="4" w:space="0"/>
            </w:tcBorders>
            <w:noWrap w:val="0"/>
            <w:vAlign w:val="top"/>
          </w:tcPr>
          <w:p>
            <w:pPr>
              <w:widowControl/>
              <w:jc w:val="center"/>
              <w:rPr>
                <w:rFonts w:eastAsia="Times New Roman"/>
                <w:kern w:val="0"/>
                <w:sz w:val="22"/>
                <w:szCs w:val="22"/>
                <w:lang w:val="id-ID"/>
              </w:rPr>
            </w:pPr>
            <w:r>
              <w:rPr>
                <w:rFonts w:hint="eastAsia" w:ascii="等线" w:hAnsi="等线" w:eastAsia="等线" w:cs="等线"/>
                <w:sz w:val="22"/>
                <w:szCs w:val="22"/>
              </w:rPr>
              <w:t>个pcs</w:t>
            </w:r>
          </w:p>
        </w:tc>
        <w:tc>
          <w:tcPr>
            <w:tcW w:w="222" w:type="dxa"/>
            <w:tcBorders>
              <w:left w:val="single" w:color="auto" w:sz="4" w:space="0"/>
            </w:tcBorders>
            <w:noWrap w:val="0"/>
            <w:vAlign w:val="center"/>
          </w:tcPr>
          <w:p>
            <w:pPr>
              <w:widowControl/>
              <w:jc w:val="left"/>
              <w:rPr>
                <w:rFonts w:eastAsia="Times New Roman"/>
                <w:kern w:val="0"/>
                <w:sz w:val="22"/>
                <w:szCs w:val="22"/>
                <w:lang w:val="id-ID"/>
              </w:rPr>
            </w:pPr>
          </w:p>
        </w:tc>
      </w:tr>
      <w:tr>
        <w:tblPrEx>
          <w:tblLayout w:type="fixed"/>
          <w:tblCellMar>
            <w:top w:w="0" w:type="dxa"/>
            <w:left w:w="108" w:type="dxa"/>
            <w:bottom w:w="0" w:type="dxa"/>
            <w:right w:w="108" w:type="dxa"/>
          </w:tblCellMar>
        </w:tblPrEx>
        <w:trPr>
          <w:trHeight w:val="560" w:hRule="atLeast"/>
        </w:trPr>
        <w:tc>
          <w:tcPr>
            <w:tcW w:w="704" w:type="dxa"/>
            <w:tcBorders>
              <w:top w:val="nil"/>
              <w:left w:val="single" w:color="auto" w:sz="4" w:space="0"/>
              <w:bottom w:val="single" w:color="auto" w:sz="4" w:space="0"/>
              <w:right w:val="single" w:color="auto" w:sz="4" w:space="0"/>
            </w:tcBorders>
            <w:noWrap w:val="0"/>
            <w:vAlign w:val="center"/>
          </w:tcPr>
          <w:p>
            <w:pPr>
              <w:widowControl/>
              <w:adjustRightInd w:val="0"/>
              <w:snapToGrid w:val="0"/>
              <w:jc w:val="center"/>
              <w:rPr>
                <w:rFonts w:eastAsia="等线"/>
                <w:color w:val="000000"/>
                <w:kern w:val="0"/>
                <w:sz w:val="22"/>
                <w:szCs w:val="22"/>
                <w:lang w:val="id-ID"/>
              </w:rPr>
            </w:pPr>
            <w:r>
              <w:rPr>
                <w:rFonts w:hint="eastAsia" w:eastAsia="等线"/>
                <w:color w:val="000000"/>
                <w:kern w:val="0"/>
                <w:sz w:val="22"/>
                <w:szCs w:val="22"/>
                <w:lang w:val="en-US" w:eastAsia="zh-CN"/>
              </w:rPr>
              <w:t>3</w:t>
            </w:r>
          </w:p>
        </w:tc>
        <w:tc>
          <w:tcPr>
            <w:tcW w:w="4967" w:type="dxa"/>
            <w:tcBorders>
              <w:top w:val="nil"/>
              <w:left w:val="nil"/>
              <w:bottom w:val="single" w:color="auto" w:sz="4" w:space="0"/>
              <w:right w:val="single" w:color="auto" w:sz="4" w:space="0"/>
            </w:tcBorders>
            <w:noWrap w:val="0"/>
            <w:vAlign w:val="center"/>
          </w:tcPr>
          <w:p>
            <w:pPr>
              <w:widowControl/>
              <w:adjustRightInd w:val="0"/>
              <w:snapToGrid w:val="0"/>
              <w:jc w:val="left"/>
              <w:rPr>
                <w:rFonts w:eastAsia="等线"/>
                <w:i/>
                <w:iCs/>
                <w:color w:val="000000"/>
                <w:kern w:val="0"/>
                <w:sz w:val="22"/>
                <w:szCs w:val="22"/>
                <w:lang w:val="id-ID"/>
              </w:rPr>
            </w:pPr>
            <w:r>
              <w:rPr>
                <w:rFonts w:eastAsia="等线"/>
                <w:i/>
                <w:iCs/>
                <w:color w:val="000000"/>
                <w:kern w:val="0"/>
                <w:sz w:val="22"/>
                <w:szCs w:val="22"/>
                <w:lang w:val="id-ID"/>
              </w:rPr>
              <w:t>含石棉绝缘材料</w:t>
            </w:r>
            <w:r>
              <w:rPr>
                <w:rFonts w:eastAsia="等线"/>
                <w:color w:val="000000"/>
                <w:kern w:val="0"/>
                <w:sz w:val="22"/>
                <w:szCs w:val="22"/>
                <w:lang w:val="id-ID"/>
              </w:rPr>
              <w:t xml:space="preserve">Material insulasi yang mengandung asbestos </w:t>
            </w:r>
          </w:p>
        </w:tc>
        <w:tc>
          <w:tcPr>
            <w:tcW w:w="1297" w:type="dxa"/>
            <w:tcBorders>
              <w:top w:val="nil"/>
              <w:left w:val="nil"/>
              <w:bottom w:val="single" w:color="auto" w:sz="4" w:space="0"/>
              <w:right w:val="single" w:color="auto" w:sz="4" w:space="0"/>
            </w:tcBorders>
            <w:noWrap w:val="0"/>
            <w:vAlign w:val="center"/>
          </w:tcPr>
          <w:p>
            <w:pPr>
              <w:widowControl/>
              <w:adjustRightInd w:val="0"/>
              <w:snapToGrid w:val="0"/>
              <w:jc w:val="center"/>
              <w:rPr>
                <w:rFonts w:eastAsia="等线"/>
                <w:color w:val="000000"/>
                <w:kern w:val="0"/>
                <w:sz w:val="22"/>
                <w:szCs w:val="22"/>
                <w:lang w:val="id-ID"/>
              </w:rPr>
            </w:pPr>
            <w:r>
              <w:rPr>
                <w:rFonts w:eastAsia="等线"/>
                <w:color w:val="000000"/>
                <w:kern w:val="0"/>
                <w:sz w:val="22"/>
                <w:szCs w:val="22"/>
                <w:lang w:val="id-ID"/>
              </w:rPr>
              <w:t>B354-4</w:t>
            </w:r>
          </w:p>
        </w:tc>
        <w:tc>
          <w:tcPr>
            <w:tcW w:w="1288" w:type="dxa"/>
            <w:tcBorders>
              <w:top w:val="single" w:color="auto" w:sz="4" w:space="0"/>
              <w:bottom w:val="single" w:color="auto" w:sz="4" w:space="0"/>
              <w:right w:val="single" w:color="auto" w:sz="4" w:space="0"/>
            </w:tcBorders>
            <w:noWrap w:val="0"/>
            <w:vAlign w:val="top"/>
          </w:tcPr>
          <w:p>
            <w:pPr>
              <w:widowControl/>
              <w:jc w:val="center"/>
              <w:rPr>
                <w:rFonts w:eastAsia="Times New Roman"/>
                <w:kern w:val="0"/>
                <w:sz w:val="22"/>
                <w:szCs w:val="22"/>
                <w:lang w:val="id-ID"/>
              </w:rPr>
            </w:pPr>
            <w:r>
              <w:rPr>
                <w:rFonts w:eastAsia="Times New Roman"/>
                <w:kern w:val="0"/>
                <w:sz w:val="22"/>
                <w:szCs w:val="22"/>
                <w:lang w:val="id-ID"/>
              </w:rPr>
              <w:t>20</w:t>
            </w:r>
          </w:p>
        </w:tc>
        <w:tc>
          <w:tcPr>
            <w:tcW w:w="1081" w:type="dxa"/>
            <w:tcBorders>
              <w:top w:val="single" w:color="auto" w:sz="4" w:space="0"/>
              <w:left w:val="single" w:color="auto" w:sz="4" w:space="0"/>
              <w:bottom w:val="single" w:color="auto" w:sz="4" w:space="0"/>
              <w:right w:val="single" w:color="auto" w:sz="4" w:space="0"/>
            </w:tcBorders>
            <w:noWrap w:val="0"/>
            <w:vAlign w:val="top"/>
          </w:tcPr>
          <w:p>
            <w:pPr>
              <w:widowControl/>
              <w:jc w:val="center"/>
              <w:rPr>
                <w:rFonts w:hint="eastAsia" w:ascii="等线" w:hAnsi="等线" w:eastAsia="等线" w:cs="等线"/>
                <w:sz w:val="22"/>
                <w:szCs w:val="22"/>
              </w:rPr>
            </w:pPr>
            <w:r>
              <w:rPr>
                <w:rFonts w:hint="eastAsia" w:ascii="等线" w:hAnsi="等线" w:eastAsia="等线" w:cs="等线"/>
                <w:sz w:val="22"/>
                <w:szCs w:val="22"/>
              </w:rPr>
              <w:t>公斤kg</w:t>
            </w:r>
          </w:p>
        </w:tc>
        <w:tc>
          <w:tcPr>
            <w:tcW w:w="222" w:type="dxa"/>
            <w:tcBorders>
              <w:left w:val="single" w:color="auto" w:sz="4" w:space="0"/>
            </w:tcBorders>
            <w:noWrap w:val="0"/>
            <w:vAlign w:val="center"/>
          </w:tcPr>
          <w:p>
            <w:pPr>
              <w:widowControl/>
              <w:jc w:val="left"/>
              <w:rPr>
                <w:rFonts w:eastAsia="Times New Roman"/>
                <w:kern w:val="0"/>
                <w:sz w:val="22"/>
                <w:szCs w:val="22"/>
                <w:lang w:val="id-ID"/>
              </w:rPr>
            </w:pPr>
          </w:p>
        </w:tc>
      </w:tr>
      <w:tr>
        <w:tblPrEx>
          <w:tblLayout w:type="fixed"/>
          <w:tblCellMar>
            <w:top w:w="0" w:type="dxa"/>
            <w:left w:w="108" w:type="dxa"/>
            <w:bottom w:w="0" w:type="dxa"/>
            <w:right w:w="108" w:type="dxa"/>
          </w:tblCellMar>
        </w:tblPrEx>
        <w:trPr>
          <w:trHeight w:val="560" w:hRule="atLeast"/>
        </w:trPr>
        <w:tc>
          <w:tcPr>
            <w:tcW w:w="704" w:type="dxa"/>
            <w:tcBorders>
              <w:top w:val="nil"/>
              <w:left w:val="single" w:color="auto" w:sz="4" w:space="0"/>
              <w:bottom w:val="single" w:color="auto" w:sz="4" w:space="0"/>
              <w:right w:val="single" w:color="auto" w:sz="4" w:space="0"/>
            </w:tcBorders>
            <w:noWrap w:val="0"/>
            <w:vAlign w:val="center"/>
          </w:tcPr>
          <w:p>
            <w:pPr>
              <w:widowControl/>
              <w:adjustRightInd w:val="0"/>
              <w:snapToGrid w:val="0"/>
              <w:jc w:val="center"/>
              <w:rPr>
                <w:rFonts w:eastAsia="等线"/>
                <w:color w:val="000000"/>
                <w:kern w:val="0"/>
                <w:sz w:val="22"/>
                <w:szCs w:val="22"/>
                <w:lang w:val="id-ID"/>
              </w:rPr>
            </w:pPr>
            <w:r>
              <w:rPr>
                <w:rFonts w:eastAsia="等线"/>
                <w:color w:val="000000"/>
                <w:kern w:val="0"/>
                <w:sz w:val="22"/>
                <w:szCs w:val="22"/>
                <w:lang w:val="id-ID"/>
              </w:rPr>
              <w:t>4</w:t>
            </w:r>
          </w:p>
        </w:tc>
        <w:tc>
          <w:tcPr>
            <w:tcW w:w="4967" w:type="dxa"/>
            <w:tcBorders>
              <w:top w:val="nil"/>
              <w:left w:val="nil"/>
              <w:bottom w:val="single" w:color="auto" w:sz="4" w:space="0"/>
              <w:right w:val="single" w:color="auto" w:sz="4" w:space="0"/>
            </w:tcBorders>
            <w:noWrap w:val="0"/>
            <w:vAlign w:val="center"/>
          </w:tcPr>
          <w:p>
            <w:pPr>
              <w:widowControl/>
              <w:adjustRightInd w:val="0"/>
              <w:snapToGrid w:val="0"/>
              <w:jc w:val="left"/>
              <w:rPr>
                <w:rFonts w:eastAsia="等线"/>
                <w:i/>
                <w:iCs/>
                <w:color w:val="000000"/>
                <w:kern w:val="0"/>
                <w:sz w:val="22"/>
                <w:szCs w:val="22"/>
                <w:lang w:val="id-ID"/>
              </w:rPr>
            </w:pPr>
            <w:r>
              <w:rPr>
                <w:rFonts w:eastAsia="等线"/>
                <w:i/>
                <w:iCs/>
                <w:color w:val="000000"/>
                <w:kern w:val="0"/>
                <w:sz w:val="22"/>
                <w:szCs w:val="22"/>
                <w:lang w:val="id-ID"/>
              </w:rPr>
              <w:t>爆破过程的残余</w:t>
            </w:r>
            <w:r>
              <w:rPr>
                <w:rFonts w:eastAsia="等线"/>
                <w:color w:val="000000"/>
                <w:kern w:val="0"/>
                <w:sz w:val="22"/>
                <w:szCs w:val="22"/>
                <w:lang w:val="id-ID"/>
              </w:rPr>
              <w:t xml:space="preserve">Sisa proses blasting </w:t>
            </w:r>
          </w:p>
        </w:tc>
        <w:tc>
          <w:tcPr>
            <w:tcW w:w="1297" w:type="dxa"/>
            <w:tcBorders>
              <w:top w:val="nil"/>
              <w:left w:val="nil"/>
              <w:bottom w:val="single" w:color="auto" w:sz="4" w:space="0"/>
              <w:right w:val="single" w:color="auto" w:sz="4" w:space="0"/>
            </w:tcBorders>
            <w:noWrap w:val="0"/>
            <w:vAlign w:val="center"/>
          </w:tcPr>
          <w:p>
            <w:pPr>
              <w:widowControl/>
              <w:adjustRightInd w:val="0"/>
              <w:snapToGrid w:val="0"/>
              <w:jc w:val="center"/>
              <w:rPr>
                <w:rFonts w:eastAsia="等线"/>
                <w:color w:val="000000"/>
                <w:kern w:val="0"/>
                <w:sz w:val="22"/>
                <w:szCs w:val="22"/>
                <w:lang w:val="id-ID"/>
              </w:rPr>
            </w:pPr>
            <w:r>
              <w:rPr>
                <w:rFonts w:eastAsia="等线"/>
                <w:color w:val="000000"/>
                <w:kern w:val="0"/>
                <w:sz w:val="22"/>
                <w:szCs w:val="22"/>
                <w:lang w:val="id-ID"/>
              </w:rPr>
              <w:t>B323-1</w:t>
            </w:r>
          </w:p>
        </w:tc>
        <w:tc>
          <w:tcPr>
            <w:tcW w:w="1288" w:type="dxa"/>
            <w:tcBorders>
              <w:top w:val="single" w:color="auto" w:sz="4" w:space="0"/>
              <w:bottom w:val="single" w:color="auto" w:sz="4" w:space="0"/>
              <w:right w:val="single" w:color="auto" w:sz="4" w:space="0"/>
            </w:tcBorders>
            <w:noWrap w:val="0"/>
            <w:vAlign w:val="top"/>
          </w:tcPr>
          <w:p>
            <w:pPr>
              <w:widowControl/>
              <w:jc w:val="center"/>
              <w:rPr>
                <w:rFonts w:eastAsia="Times New Roman"/>
                <w:kern w:val="0"/>
                <w:sz w:val="22"/>
                <w:szCs w:val="22"/>
                <w:lang w:val="id-ID"/>
              </w:rPr>
            </w:pPr>
            <w:r>
              <w:rPr>
                <w:rFonts w:eastAsia="Times New Roman"/>
                <w:kern w:val="0"/>
                <w:sz w:val="22"/>
                <w:szCs w:val="22"/>
                <w:lang w:val="id-ID"/>
              </w:rPr>
              <w:t>20</w:t>
            </w:r>
          </w:p>
        </w:tc>
        <w:tc>
          <w:tcPr>
            <w:tcW w:w="1081" w:type="dxa"/>
            <w:tcBorders>
              <w:top w:val="single" w:color="auto" w:sz="4" w:space="0"/>
              <w:left w:val="single" w:color="auto" w:sz="4" w:space="0"/>
              <w:bottom w:val="single" w:color="auto" w:sz="4" w:space="0"/>
              <w:right w:val="single" w:color="auto" w:sz="4" w:space="0"/>
            </w:tcBorders>
            <w:noWrap w:val="0"/>
            <w:vAlign w:val="top"/>
          </w:tcPr>
          <w:p>
            <w:pPr>
              <w:widowControl/>
              <w:jc w:val="center"/>
              <w:rPr>
                <w:rFonts w:hint="eastAsia" w:ascii="等线" w:hAnsi="等线" w:eastAsia="等线" w:cs="等线"/>
                <w:sz w:val="22"/>
                <w:szCs w:val="22"/>
              </w:rPr>
            </w:pPr>
            <w:r>
              <w:rPr>
                <w:rFonts w:hint="eastAsia" w:ascii="等线" w:hAnsi="等线" w:eastAsia="等线" w:cs="等线"/>
                <w:sz w:val="22"/>
                <w:szCs w:val="22"/>
              </w:rPr>
              <w:t>公斤kg</w:t>
            </w:r>
          </w:p>
        </w:tc>
        <w:tc>
          <w:tcPr>
            <w:tcW w:w="222" w:type="dxa"/>
            <w:tcBorders>
              <w:left w:val="single" w:color="auto" w:sz="4" w:space="0"/>
            </w:tcBorders>
            <w:noWrap w:val="0"/>
            <w:vAlign w:val="center"/>
          </w:tcPr>
          <w:p>
            <w:pPr>
              <w:widowControl/>
              <w:jc w:val="left"/>
              <w:rPr>
                <w:rFonts w:eastAsia="Times New Roman"/>
                <w:kern w:val="0"/>
                <w:sz w:val="22"/>
                <w:szCs w:val="22"/>
                <w:lang w:val="id-ID"/>
              </w:rPr>
            </w:pPr>
          </w:p>
        </w:tc>
      </w:tr>
      <w:tr>
        <w:tblPrEx>
          <w:tblLayout w:type="fixed"/>
          <w:tblCellMar>
            <w:top w:w="0" w:type="dxa"/>
            <w:left w:w="108" w:type="dxa"/>
            <w:bottom w:w="0" w:type="dxa"/>
            <w:right w:w="108" w:type="dxa"/>
          </w:tblCellMar>
        </w:tblPrEx>
        <w:trPr>
          <w:trHeight w:val="560" w:hRule="atLeast"/>
        </w:trPr>
        <w:tc>
          <w:tcPr>
            <w:tcW w:w="704" w:type="dxa"/>
            <w:tcBorders>
              <w:top w:val="nil"/>
              <w:left w:val="single" w:color="auto" w:sz="4" w:space="0"/>
              <w:bottom w:val="single" w:color="auto" w:sz="4" w:space="0"/>
              <w:right w:val="single" w:color="auto" w:sz="4" w:space="0"/>
            </w:tcBorders>
            <w:noWrap w:val="0"/>
            <w:vAlign w:val="center"/>
          </w:tcPr>
          <w:p>
            <w:pPr>
              <w:widowControl/>
              <w:adjustRightInd w:val="0"/>
              <w:snapToGrid w:val="0"/>
              <w:jc w:val="center"/>
              <w:rPr>
                <w:rFonts w:eastAsia="等线"/>
                <w:color w:val="000000"/>
                <w:kern w:val="0"/>
                <w:sz w:val="22"/>
                <w:szCs w:val="22"/>
                <w:lang w:val="id-ID"/>
              </w:rPr>
            </w:pPr>
            <w:r>
              <w:rPr>
                <w:rFonts w:eastAsia="等线"/>
                <w:color w:val="000000"/>
                <w:kern w:val="0"/>
                <w:sz w:val="22"/>
                <w:szCs w:val="22"/>
                <w:lang w:val="id-ID"/>
              </w:rPr>
              <w:t>5</w:t>
            </w:r>
          </w:p>
        </w:tc>
        <w:tc>
          <w:tcPr>
            <w:tcW w:w="4967" w:type="dxa"/>
            <w:tcBorders>
              <w:top w:val="nil"/>
              <w:left w:val="nil"/>
              <w:bottom w:val="single" w:color="auto" w:sz="4" w:space="0"/>
              <w:right w:val="single" w:color="auto" w:sz="4" w:space="0"/>
            </w:tcBorders>
            <w:noWrap w:val="0"/>
            <w:vAlign w:val="center"/>
          </w:tcPr>
          <w:p>
            <w:pPr>
              <w:widowControl/>
              <w:adjustRightInd w:val="0"/>
              <w:snapToGrid w:val="0"/>
              <w:jc w:val="left"/>
              <w:rPr>
                <w:rFonts w:eastAsia="等线"/>
                <w:color w:val="000000"/>
                <w:kern w:val="0"/>
                <w:sz w:val="22"/>
                <w:szCs w:val="22"/>
                <w:lang w:val="id-ID"/>
              </w:rPr>
            </w:pPr>
            <w:r>
              <w:rPr>
                <w:rFonts w:eastAsia="等线"/>
                <w:i/>
                <w:iCs/>
                <w:color w:val="000000"/>
                <w:kern w:val="0"/>
                <w:sz w:val="22"/>
                <w:szCs w:val="22"/>
                <w:lang w:val="id-ID"/>
              </w:rPr>
              <w:t>废润滑脂</w:t>
            </w:r>
            <w:r>
              <w:rPr>
                <w:rFonts w:eastAsia="等线"/>
                <w:color w:val="000000"/>
                <w:kern w:val="0"/>
                <w:sz w:val="22"/>
                <w:szCs w:val="22"/>
                <w:lang w:val="id-ID"/>
              </w:rPr>
              <w:t xml:space="preserve">Grease Bekas </w:t>
            </w:r>
          </w:p>
        </w:tc>
        <w:tc>
          <w:tcPr>
            <w:tcW w:w="1297" w:type="dxa"/>
            <w:tcBorders>
              <w:top w:val="nil"/>
              <w:left w:val="nil"/>
              <w:bottom w:val="single" w:color="auto" w:sz="4" w:space="0"/>
              <w:right w:val="single" w:color="auto" w:sz="4" w:space="0"/>
            </w:tcBorders>
            <w:noWrap w:val="0"/>
            <w:vAlign w:val="center"/>
          </w:tcPr>
          <w:p>
            <w:pPr>
              <w:widowControl/>
              <w:adjustRightInd w:val="0"/>
              <w:snapToGrid w:val="0"/>
              <w:jc w:val="center"/>
              <w:rPr>
                <w:rFonts w:eastAsia="等线"/>
                <w:color w:val="000000"/>
                <w:kern w:val="0"/>
                <w:sz w:val="22"/>
                <w:szCs w:val="22"/>
                <w:lang w:val="id-ID"/>
              </w:rPr>
            </w:pPr>
            <w:r>
              <w:rPr>
                <w:rFonts w:eastAsia="等线"/>
                <w:color w:val="000000"/>
                <w:kern w:val="0"/>
                <w:sz w:val="22"/>
                <w:szCs w:val="22"/>
                <w:lang w:val="id-ID"/>
              </w:rPr>
              <w:t>B015d</w:t>
            </w:r>
          </w:p>
        </w:tc>
        <w:tc>
          <w:tcPr>
            <w:tcW w:w="1288" w:type="dxa"/>
            <w:tcBorders>
              <w:top w:val="single" w:color="auto" w:sz="4" w:space="0"/>
              <w:bottom w:val="single" w:color="auto" w:sz="4" w:space="0"/>
              <w:right w:val="single" w:color="auto" w:sz="4" w:space="0"/>
            </w:tcBorders>
            <w:noWrap w:val="0"/>
            <w:vAlign w:val="top"/>
          </w:tcPr>
          <w:p>
            <w:pPr>
              <w:widowControl/>
              <w:jc w:val="center"/>
              <w:rPr>
                <w:rFonts w:eastAsia="Times New Roman"/>
                <w:kern w:val="0"/>
                <w:sz w:val="22"/>
                <w:szCs w:val="22"/>
                <w:lang w:val="id-ID"/>
              </w:rPr>
            </w:pPr>
            <w:r>
              <w:rPr>
                <w:rFonts w:eastAsia="Times New Roman"/>
                <w:kern w:val="0"/>
                <w:sz w:val="22"/>
                <w:szCs w:val="22"/>
                <w:lang w:val="id-ID"/>
              </w:rPr>
              <w:t>5</w:t>
            </w:r>
          </w:p>
        </w:tc>
        <w:tc>
          <w:tcPr>
            <w:tcW w:w="1081" w:type="dxa"/>
            <w:tcBorders>
              <w:top w:val="single" w:color="auto" w:sz="4" w:space="0"/>
              <w:left w:val="single" w:color="auto" w:sz="4" w:space="0"/>
              <w:bottom w:val="single" w:color="auto" w:sz="4" w:space="0"/>
              <w:right w:val="single" w:color="auto" w:sz="4" w:space="0"/>
            </w:tcBorders>
            <w:noWrap w:val="0"/>
            <w:vAlign w:val="top"/>
          </w:tcPr>
          <w:p>
            <w:pPr>
              <w:widowControl/>
              <w:jc w:val="center"/>
              <w:rPr>
                <w:rFonts w:eastAsia="Times New Roman"/>
                <w:kern w:val="0"/>
                <w:sz w:val="22"/>
                <w:szCs w:val="22"/>
                <w:lang w:val="id-ID"/>
              </w:rPr>
            </w:pPr>
            <w:r>
              <w:rPr>
                <w:rFonts w:hint="eastAsia" w:ascii="等线" w:hAnsi="等线" w:eastAsia="等线" w:cs="等线"/>
                <w:sz w:val="22"/>
                <w:szCs w:val="22"/>
              </w:rPr>
              <w:t>公斤kg</w:t>
            </w:r>
          </w:p>
        </w:tc>
        <w:tc>
          <w:tcPr>
            <w:tcW w:w="222" w:type="dxa"/>
            <w:tcBorders>
              <w:left w:val="single" w:color="auto" w:sz="4" w:space="0"/>
            </w:tcBorders>
            <w:noWrap w:val="0"/>
            <w:vAlign w:val="center"/>
          </w:tcPr>
          <w:p>
            <w:pPr>
              <w:widowControl/>
              <w:jc w:val="left"/>
              <w:rPr>
                <w:rFonts w:eastAsia="Times New Roman"/>
                <w:kern w:val="0"/>
                <w:sz w:val="22"/>
                <w:szCs w:val="22"/>
                <w:lang w:val="id-ID"/>
              </w:rPr>
            </w:pPr>
          </w:p>
        </w:tc>
      </w:tr>
      <w:tr>
        <w:tblPrEx>
          <w:tblLayout w:type="fixed"/>
          <w:tblCellMar>
            <w:top w:w="0" w:type="dxa"/>
            <w:left w:w="108" w:type="dxa"/>
            <w:bottom w:w="0" w:type="dxa"/>
            <w:right w:w="108" w:type="dxa"/>
          </w:tblCellMar>
        </w:tblPrEx>
        <w:trPr>
          <w:trHeight w:val="560" w:hRule="atLeast"/>
        </w:trPr>
        <w:tc>
          <w:tcPr>
            <w:tcW w:w="704" w:type="dxa"/>
            <w:tcBorders>
              <w:top w:val="nil"/>
              <w:left w:val="single" w:color="auto" w:sz="4" w:space="0"/>
              <w:bottom w:val="single" w:color="auto" w:sz="4" w:space="0"/>
              <w:right w:val="single" w:color="auto" w:sz="4" w:space="0"/>
            </w:tcBorders>
            <w:noWrap w:val="0"/>
            <w:vAlign w:val="center"/>
          </w:tcPr>
          <w:p>
            <w:pPr>
              <w:widowControl/>
              <w:adjustRightInd w:val="0"/>
              <w:snapToGrid w:val="0"/>
              <w:jc w:val="center"/>
              <w:rPr>
                <w:rFonts w:eastAsia="等线"/>
                <w:color w:val="000000"/>
                <w:kern w:val="0"/>
                <w:sz w:val="22"/>
                <w:szCs w:val="22"/>
                <w:lang w:val="id-ID"/>
              </w:rPr>
            </w:pPr>
            <w:r>
              <w:rPr>
                <w:rFonts w:eastAsia="等线"/>
                <w:color w:val="000000"/>
                <w:kern w:val="0"/>
                <w:sz w:val="22"/>
                <w:szCs w:val="22"/>
                <w:lang w:val="id-ID"/>
              </w:rPr>
              <w:t>6</w:t>
            </w:r>
          </w:p>
        </w:tc>
        <w:tc>
          <w:tcPr>
            <w:tcW w:w="4967" w:type="dxa"/>
            <w:tcBorders>
              <w:top w:val="nil"/>
              <w:left w:val="nil"/>
              <w:bottom w:val="single" w:color="auto" w:sz="4" w:space="0"/>
              <w:right w:val="single" w:color="auto" w:sz="4" w:space="0"/>
            </w:tcBorders>
            <w:noWrap w:val="0"/>
            <w:vAlign w:val="center"/>
          </w:tcPr>
          <w:p>
            <w:pPr>
              <w:widowControl/>
              <w:adjustRightInd w:val="0"/>
              <w:snapToGrid w:val="0"/>
              <w:jc w:val="left"/>
              <w:rPr>
                <w:rFonts w:eastAsia="等线"/>
                <w:color w:val="000000"/>
                <w:kern w:val="0"/>
                <w:sz w:val="22"/>
                <w:szCs w:val="22"/>
                <w:lang w:val="id-ID"/>
              </w:rPr>
            </w:pPr>
            <w:r>
              <w:rPr>
                <w:rFonts w:eastAsia="等线"/>
                <w:i/>
                <w:iCs/>
                <w:color w:val="000000"/>
                <w:kern w:val="0"/>
                <w:sz w:val="22"/>
                <w:szCs w:val="22"/>
                <w:lang w:val="id-ID"/>
              </w:rPr>
              <w:t>使用过的制冷剂，氟利昂管</w:t>
            </w:r>
            <w:r>
              <w:rPr>
                <w:rFonts w:eastAsia="等线"/>
                <w:color w:val="000000"/>
                <w:kern w:val="0"/>
                <w:sz w:val="22"/>
                <w:szCs w:val="22"/>
                <w:lang w:val="id-ID"/>
              </w:rPr>
              <w:t xml:space="preserve">Refrigrant bekas, tabung freon </w:t>
            </w:r>
          </w:p>
        </w:tc>
        <w:tc>
          <w:tcPr>
            <w:tcW w:w="1297" w:type="dxa"/>
            <w:tcBorders>
              <w:top w:val="nil"/>
              <w:left w:val="nil"/>
              <w:bottom w:val="single" w:color="auto" w:sz="4" w:space="0"/>
              <w:right w:val="single" w:color="auto" w:sz="4" w:space="0"/>
            </w:tcBorders>
            <w:noWrap w:val="0"/>
            <w:vAlign w:val="center"/>
          </w:tcPr>
          <w:p>
            <w:pPr>
              <w:widowControl/>
              <w:adjustRightInd w:val="0"/>
              <w:snapToGrid w:val="0"/>
              <w:jc w:val="center"/>
              <w:rPr>
                <w:rFonts w:eastAsia="等线"/>
                <w:color w:val="000000"/>
                <w:kern w:val="0"/>
                <w:sz w:val="22"/>
                <w:szCs w:val="22"/>
                <w:lang w:val="id-ID"/>
              </w:rPr>
            </w:pPr>
            <w:r>
              <w:rPr>
                <w:rFonts w:eastAsia="等线"/>
                <w:color w:val="000000"/>
                <w:kern w:val="0"/>
                <w:sz w:val="22"/>
                <w:szCs w:val="22"/>
                <w:lang w:val="id-ID"/>
              </w:rPr>
              <w:t>A111d</w:t>
            </w:r>
          </w:p>
        </w:tc>
        <w:tc>
          <w:tcPr>
            <w:tcW w:w="1288" w:type="dxa"/>
            <w:tcBorders>
              <w:top w:val="single" w:color="auto" w:sz="4" w:space="0"/>
              <w:bottom w:val="single" w:color="auto" w:sz="4" w:space="0"/>
              <w:right w:val="single" w:color="auto" w:sz="4" w:space="0"/>
            </w:tcBorders>
            <w:noWrap w:val="0"/>
            <w:vAlign w:val="top"/>
          </w:tcPr>
          <w:p>
            <w:pPr>
              <w:widowControl/>
              <w:jc w:val="center"/>
              <w:rPr>
                <w:rFonts w:eastAsia="Times New Roman"/>
                <w:kern w:val="0"/>
                <w:sz w:val="22"/>
                <w:szCs w:val="22"/>
                <w:lang w:val="id-ID"/>
              </w:rPr>
            </w:pPr>
            <w:r>
              <w:rPr>
                <w:rFonts w:eastAsia="Times New Roman"/>
                <w:kern w:val="0"/>
                <w:sz w:val="22"/>
                <w:szCs w:val="22"/>
                <w:lang w:val="id-ID"/>
              </w:rPr>
              <w:t>20</w:t>
            </w:r>
          </w:p>
        </w:tc>
        <w:tc>
          <w:tcPr>
            <w:tcW w:w="1081" w:type="dxa"/>
            <w:tcBorders>
              <w:top w:val="single" w:color="auto" w:sz="4" w:space="0"/>
              <w:left w:val="single" w:color="auto" w:sz="4" w:space="0"/>
              <w:bottom w:val="single" w:color="auto" w:sz="4" w:space="0"/>
              <w:right w:val="single" w:color="auto" w:sz="4" w:space="0"/>
            </w:tcBorders>
            <w:noWrap w:val="0"/>
            <w:vAlign w:val="top"/>
          </w:tcPr>
          <w:p>
            <w:pPr>
              <w:widowControl/>
              <w:jc w:val="left"/>
              <w:rPr>
                <w:rFonts w:eastAsia="Times New Roman"/>
                <w:kern w:val="0"/>
                <w:sz w:val="22"/>
                <w:szCs w:val="22"/>
                <w:lang w:val="id-ID"/>
              </w:rPr>
            </w:pPr>
            <w:r>
              <w:rPr>
                <w:rFonts w:hint="eastAsia" w:ascii="等线" w:hAnsi="等线" w:eastAsia="等线" w:cs="等线"/>
                <w:sz w:val="22"/>
                <w:szCs w:val="22"/>
              </w:rPr>
              <w:t>公斤kg</w:t>
            </w:r>
          </w:p>
        </w:tc>
        <w:tc>
          <w:tcPr>
            <w:tcW w:w="222" w:type="dxa"/>
            <w:tcBorders>
              <w:left w:val="single" w:color="auto" w:sz="4" w:space="0"/>
            </w:tcBorders>
            <w:noWrap w:val="0"/>
            <w:vAlign w:val="center"/>
          </w:tcPr>
          <w:p>
            <w:pPr>
              <w:widowControl/>
              <w:jc w:val="left"/>
              <w:rPr>
                <w:rFonts w:eastAsia="Times New Roman"/>
                <w:kern w:val="0"/>
                <w:sz w:val="22"/>
                <w:szCs w:val="22"/>
                <w:lang w:val="id-ID"/>
              </w:rPr>
            </w:pPr>
          </w:p>
        </w:tc>
      </w:tr>
      <w:tr>
        <w:tblPrEx>
          <w:tblLayout w:type="fixed"/>
          <w:tblCellMar>
            <w:top w:w="0" w:type="dxa"/>
            <w:left w:w="108" w:type="dxa"/>
            <w:bottom w:w="0" w:type="dxa"/>
            <w:right w:w="108" w:type="dxa"/>
          </w:tblCellMar>
        </w:tblPrEx>
        <w:trPr>
          <w:trHeight w:val="560" w:hRule="atLeast"/>
        </w:trPr>
        <w:tc>
          <w:tcPr>
            <w:tcW w:w="704" w:type="dxa"/>
            <w:tcBorders>
              <w:top w:val="nil"/>
              <w:left w:val="single" w:color="auto" w:sz="4" w:space="0"/>
              <w:bottom w:val="single" w:color="auto" w:sz="4" w:space="0"/>
              <w:right w:val="single" w:color="auto" w:sz="4" w:space="0"/>
            </w:tcBorders>
            <w:noWrap w:val="0"/>
            <w:vAlign w:val="center"/>
          </w:tcPr>
          <w:p>
            <w:pPr>
              <w:widowControl/>
              <w:adjustRightInd w:val="0"/>
              <w:snapToGrid w:val="0"/>
              <w:jc w:val="center"/>
              <w:rPr>
                <w:rFonts w:eastAsia="等线"/>
                <w:color w:val="000000"/>
                <w:kern w:val="0"/>
                <w:sz w:val="22"/>
                <w:szCs w:val="22"/>
                <w:lang w:val="id-ID"/>
              </w:rPr>
            </w:pPr>
            <w:r>
              <w:rPr>
                <w:rFonts w:eastAsia="等线"/>
                <w:color w:val="000000"/>
                <w:kern w:val="0"/>
                <w:sz w:val="22"/>
                <w:szCs w:val="22"/>
                <w:lang w:val="id-ID"/>
              </w:rPr>
              <w:t>7</w:t>
            </w:r>
          </w:p>
        </w:tc>
        <w:tc>
          <w:tcPr>
            <w:tcW w:w="4967" w:type="dxa"/>
            <w:tcBorders>
              <w:top w:val="nil"/>
              <w:left w:val="nil"/>
              <w:bottom w:val="single" w:color="auto" w:sz="4" w:space="0"/>
              <w:right w:val="single" w:color="auto" w:sz="4" w:space="0"/>
            </w:tcBorders>
            <w:noWrap w:val="0"/>
            <w:vAlign w:val="center"/>
          </w:tcPr>
          <w:p>
            <w:pPr>
              <w:widowControl/>
              <w:adjustRightInd w:val="0"/>
              <w:snapToGrid w:val="0"/>
              <w:jc w:val="left"/>
              <w:rPr>
                <w:rFonts w:eastAsia="等线"/>
                <w:color w:val="000000"/>
                <w:kern w:val="0"/>
                <w:sz w:val="22"/>
                <w:szCs w:val="22"/>
                <w:lang w:val="id-ID"/>
              </w:rPr>
            </w:pPr>
            <w:r>
              <w:rPr>
                <w:rFonts w:eastAsia="等线"/>
                <w:i/>
                <w:iCs/>
                <w:color w:val="000000"/>
                <w:kern w:val="0"/>
                <w:sz w:val="22"/>
                <w:szCs w:val="22"/>
                <w:lang w:val="id-ID"/>
              </w:rPr>
              <w:t>空气污染控制设施的旧过滤器</w:t>
            </w:r>
            <w:r>
              <w:rPr>
                <w:rFonts w:eastAsia="等线"/>
                <w:color w:val="000000"/>
                <w:kern w:val="0"/>
                <w:sz w:val="22"/>
                <w:szCs w:val="22"/>
                <w:lang w:val="id-ID"/>
              </w:rPr>
              <w:t xml:space="preserve"> Filter bekas dari fasilitas pengendalian pencemaran udara </w:t>
            </w:r>
          </w:p>
        </w:tc>
        <w:tc>
          <w:tcPr>
            <w:tcW w:w="1297" w:type="dxa"/>
            <w:tcBorders>
              <w:top w:val="nil"/>
              <w:left w:val="nil"/>
              <w:bottom w:val="single" w:color="auto" w:sz="4" w:space="0"/>
              <w:right w:val="single" w:color="auto" w:sz="4" w:space="0"/>
            </w:tcBorders>
            <w:noWrap w:val="0"/>
            <w:vAlign w:val="center"/>
          </w:tcPr>
          <w:p>
            <w:pPr>
              <w:widowControl/>
              <w:adjustRightInd w:val="0"/>
              <w:snapToGrid w:val="0"/>
              <w:jc w:val="center"/>
              <w:rPr>
                <w:rFonts w:eastAsia="等线"/>
                <w:color w:val="000000"/>
                <w:kern w:val="0"/>
                <w:sz w:val="22"/>
                <w:szCs w:val="22"/>
                <w:lang w:val="id-ID"/>
              </w:rPr>
            </w:pPr>
            <w:r>
              <w:rPr>
                <w:rFonts w:eastAsia="等线"/>
                <w:color w:val="000000"/>
                <w:kern w:val="0"/>
                <w:sz w:val="22"/>
                <w:szCs w:val="22"/>
                <w:lang w:val="id-ID"/>
              </w:rPr>
              <w:t>B109d</w:t>
            </w:r>
          </w:p>
        </w:tc>
        <w:tc>
          <w:tcPr>
            <w:tcW w:w="1288" w:type="dxa"/>
            <w:tcBorders>
              <w:top w:val="single" w:color="auto" w:sz="4" w:space="0"/>
              <w:bottom w:val="single" w:color="auto" w:sz="4" w:space="0"/>
              <w:right w:val="single" w:color="auto" w:sz="4" w:space="0"/>
            </w:tcBorders>
            <w:noWrap w:val="0"/>
            <w:vAlign w:val="top"/>
          </w:tcPr>
          <w:p>
            <w:pPr>
              <w:widowControl/>
              <w:jc w:val="center"/>
              <w:rPr>
                <w:rFonts w:eastAsia="Times New Roman"/>
                <w:kern w:val="0"/>
                <w:sz w:val="22"/>
                <w:szCs w:val="22"/>
                <w:lang w:val="id-ID"/>
              </w:rPr>
            </w:pPr>
            <w:r>
              <w:rPr>
                <w:rFonts w:eastAsia="Times New Roman"/>
                <w:kern w:val="0"/>
                <w:sz w:val="22"/>
                <w:szCs w:val="22"/>
                <w:lang w:val="id-ID"/>
              </w:rPr>
              <w:t>12</w:t>
            </w:r>
          </w:p>
        </w:tc>
        <w:tc>
          <w:tcPr>
            <w:tcW w:w="1081" w:type="dxa"/>
            <w:tcBorders>
              <w:top w:val="single" w:color="auto" w:sz="4" w:space="0"/>
              <w:left w:val="single" w:color="auto" w:sz="4" w:space="0"/>
              <w:bottom w:val="single" w:color="auto" w:sz="4" w:space="0"/>
              <w:right w:val="single" w:color="auto" w:sz="4" w:space="0"/>
            </w:tcBorders>
            <w:noWrap w:val="0"/>
            <w:vAlign w:val="top"/>
          </w:tcPr>
          <w:p>
            <w:pPr>
              <w:widowControl/>
              <w:jc w:val="center"/>
              <w:rPr>
                <w:rFonts w:eastAsia="Times New Roman"/>
                <w:kern w:val="0"/>
                <w:sz w:val="22"/>
                <w:szCs w:val="22"/>
                <w:lang w:val="id-ID"/>
              </w:rPr>
            </w:pPr>
            <w:r>
              <w:rPr>
                <w:rFonts w:hint="eastAsia" w:ascii="等线" w:hAnsi="等线" w:eastAsia="等线" w:cs="等线"/>
                <w:sz w:val="22"/>
                <w:szCs w:val="22"/>
              </w:rPr>
              <w:t>公斤kg</w:t>
            </w:r>
          </w:p>
        </w:tc>
        <w:tc>
          <w:tcPr>
            <w:tcW w:w="222" w:type="dxa"/>
            <w:tcBorders>
              <w:left w:val="single" w:color="auto" w:sz="4" w:space="0"/>
            </w:tcBorders>
            <w:noWrap w:val="0"/>
            <w:vAlign w:val="center"/>
          </w:tcPr>
          <w:p>
            <w:pPr>
              <w:widowControl/>
              <w:jc w:val="left"/>
              <w:rPr>
                <w:rFonts w:eastAsia="Times New Roman"/>
                <w:kern w:val="0"/>
                <w:sz w:val="22"/>
                <w:szCs w:val="22"/>
                <w:lang w:val="id-ID"/>
              </w:rPr>
            </w:pPr>
          </w:p>
        </w:tc>
      </w:tr>
      <w:tr>
        <w:tblPrEx>
          <w:tblLayout w:type="fixed"/>
          <w:tblCellMar>
            <w:top w:w="0" w:type="dxa"/>
            <w:left w:w="108" w:type="dxa"/>
            <w:bottom w:w="0" w:type="dxa"/>
            <w:right w:w="108" w:type="dxa"/>
          </w:tblCellMar>
        </w:tblPrEx>
        <w:trPr>
          <w:trHeight w:val="840" w:hRule="atLeast"/>
        </w:trPr>
        <w:tc>
          <w:tcPr>
            <w:tcW w:w="704" w:type="dxa"/>
            <w:tcBorders>
              <w:top w:val="nil"/>
              <w:left w:val="single" w:color="auto" w:sz="4" w:space="0"/>
              <w:bottom w:val="single" w:color="auto" w:sz="4" w:space="0"/>
              <w:right w:val="single" w:color="auto" w:sz="4" w:space="0"/>
            </w:tcBorders>
            <w:noWrap w:val="0"/>
            <w:vAlign w:val="center"/>
          </w:tcPr>
          <w:p>
            <w:pPr>
              <w:widowControl/>
              <w:adjustRightInd w:val="0"/>
              <w:snapToGrid w:val="0"/>
              <w:jc w:val="center"/>
              <w:rPr>
                <w:rFonts w:eastAsia="等线"/>
                <w:color w:val="000000"/>
                <w:kern w:val="0"/>
                <w:sz w:val="22"/>
                <w:szCs w:val="22"/>
                <w:lang w:val="id-ID"/>
              </w:rPr>
            </w:pPr>
            <w:r>
              <w:rPr>
                <w:rFonts w:eastAsia="等线"/>
                <w:color w:val="000000"/>
                <w:kern w:val="0"/>
                <w:sz w:val="22"/>
                <w:szCs w:val="22"/>
                <w:lang w:val="id-ID"/>
              </w:rPr>
              <w:t>8</w:t>
            </w:r>
          </w:p>
        </w:tc>
        <w:tc>
          <w:tcPr>
            <w:tcW w:w="4967" w:type="dxa"/>
            <w:tcBorders>
              <w:top w:val="nil"/>
              <w:left w:val="nil"/>
              <w:bottom w:val="single" w:color="auto" w:sz="4" w:space="0"/>
              <w:right w:val="single" w:color="auto" w:sz="4" w:space="0"/>
            </w:tcBorders>
            <w:noWrap w:val="0"/>
            <w:vAlign w:val="center"/>
          </w:tcPr>
          <w:p>
            <w:pPr>
              <w:widowControl/>
              <w:adjustRightInd w:val="0"/>
              <w:snapToGrid w:val="0"/>
              <w:rPr>
                <w:rFonts w:eastAsia="等线"/>
                <w:color w:val="000000"/>
                <w:kern w:val="0"/>
                <w:sz w:val="22"/>
                <w:szCs w:val="22"/>
                <w:lang w:val="id-ID"/>
              </w:rPr>
            </w:pPr>
            <w:r>
              <w:rPr>
                <w:rFonts w:eastAsia="等线"/>
                <w:i/>
                <w:iCs/>
                <w:color w:val="000000"/>
                <w:kern w:val="0"/>
                <w:sz w:val="22"/>
                <w:szCs w:val="22"/>
                <w:lang w:val="id-ID"/>
              </w:rPr>
              <w:t xml:space="preserve">空气污染控制设施产生的粉尘 </w:t>
            </w:r>
            <w:r>
              <w:rPr>
                <w:rFonts w:eastAsia="等线"/>
                <w:color w:val="000000"/>
                <w:kern w:val="0"/>
                <w:sz w:val="22"/>
                <w:szCs w:val="22"/>
                <w:lang w:val="id-ID"/>
              </w:rPr>
              <w:t xml:space="preserve">Debu dari fasilitas pengendalian pencemaran udara </w:t>
            </w:r>
          </w:p>
        </w:tc>
        <w:tc>
          <w:tcPr>
            <w:tcW w:w="1297" w:type="dxa"/>
            <w:tcBorders>
              <w:top w:val="nil"/>
              <w:left w:val="nil"/>
              <w:bottom w:val="single" w:color="auto" w:sz="4" w:space="0"/>
              <w:right w:val="single" w:color="auto" w:sz="4" w:space="0"/>
            </w:tcBorders>
            <w:noWrap w:val="0"/>
            <w:vAlign w:val="center"/>
          </w:tcPr>
          <w:p>
            <w:pPr>
              <w:widowControl/>
              <w:adjustRightInd w:val="0"/>
              <w:snapToGrid w:val="0"/>
              <w:jc w:val="center"/>
              <w:rPr>
                <w:rFonts w:eastAsia="等线"/>
                <w:color w:val="000000"/>
                <w:kern w:val="0"/>
                <w:sz w:val="22"/>
                <w:szCs w:val="22"/>
                <w:lang w:val="id-ID"/>
              </w:rPr>
            </w:pPr>
            <w:r>
              <w:rPr>
                <w:rFonts w:eastAsia="等线"/>
                <w:color w:val="000000"/>
                <w:kern w:val="0"/>
                <w:sz w:val="22"/>
                <w:szCs w:val="22"/>
                <w:lang w:val="id-ID"/>
              </w:rPr>
              <w:t>B333-1</w:t>
            </w:r>
          </w:p>
        </w:tc>
        <w:tc>
          <w:tcPr>
            <w:tcW w:w="1288" w:type="dxa"/>
            <w:tcBorders>
              <w:top w:val="single" w:color="auto" w:sz="4" w:space="0"/>
              <w:bottom w:val="single" w:color="auto" w:sz="4" w:space="0"/>
              <w:right w:val="single" w:color="auto" w:sz="4" w:space="0"/>
            </w:tcBorders>
            <w:noWrap w:val="0"/>
            <w:vAlign w:val="top"/>
          </w:tcPr>
          <w:p>
            <w:pPr>
              <w:widowControl/>
              <w:jc w:val="center"/>
              <w:rPr>
                <w:rFonts w:eastAsia="Times New Roman"/>
                <w:kern w:val="0"/>
                <w:sz w:val="22"/>
                <w:szCs w:val="22"/>
                <w:lang w:val="id-ID"/>
              </w:rPr>
            </w:pPr>
            <w:r>
              <w:rPr>
                <w:rFonts w:eastAsia="Times New Roman"/>
                <w:kern w:val="0"/>
                <w:sz w:val="22"/>
                <w:szCs w:val="22"/>
                <w:lang w:val="id-ID"/>
              </w:rPr>
              <w:t>10</w:t>
            </w:r>
          </w:p>
        </w:tc>
        <w:tc>
          <w:tcPr>
            <w:tcW w:w="1081" w:type="dxa"/>
            <w:tcBorders>
              <w:top w:val="single" w:color="auto" w:sz="4" w:space="0"/>
              <w:left w:val="single" w:color="auto" w:sz="4" w:space="0"/>
              <w:bottom w:val="single" w:color="auto" w:sz="4" w:space="0"/>
              <w:right w:val="single" w:color="auto" w:sz="4" w:space="0"/>
            </w:tcBorders>
            <w:noWrap w:val="0"/>
            <w:vAlign w:val="top"/>
          </w:tcPr>
          <w:p>
            <w:pPr>
              <w:widowControl/>
              <w:jc w:val="left"/>
              <w:rPr>
                <w:rFonts w:eastAsia="Times New Roman"/>
                <w:kern w:val="0"/>
                <w:sz w:val="22"/>
                <w:szCs w:val="22"/>
                <w:lang w:val="id-ID"/>
              </w:rPr>
            </w:pPr>
            <w:r>
              <w:rPr>
                <w:rFonts w:hint="eastAsia" w:ascii="等线" w:hAnsi="等线" w:eastAsia="等线" w:cs="等线"/>
                <w:sz w:val="22"/>
                <w:szCs w:val="22"/>
              </w:rPr>
              <w:t>公斤kg</w:t>
            </w:r>
          </w:p>
        </w:tc>
        <w:tc>
          <w:tcPr>
            <w:tcW w:w="222" w:type="dxa"/>
            <w:tcBorders>
              <w:left w:val="single" w:color="auto" w:sz="4" w:space="0"/>
            </w:tcBorders>
            <w:noWrap w:val="0"/>
            <w:vAlign w:val="center"/>
          </w:tcPr>
          <w:p>
            <w:pPr>
              <w:widowControl/>
              <w:jc w:val="left"/>
              <w:rPr>
                <w:rFonts w:eastAsia="Times New Roman"/>
                <w:kern w:val="0"/>
                <w:sz w:val="22"/>
                <w:szCs w:val="22"/>
                <w:lang w:val="id-ID"/>
              </w:rPr>
            </w:pPr>
          </w:p>
        </w:tc>
      </w:tr>
      <w:tr>
        <w:tblPrEx>
          <w:tblLayout w:type="fixed"/>
          <w:tblCellMar>
            <w:top w:w="0" w:type="dxa"/>
            <w:left w:w="108" w:type="dxa"/>
            <w:bottom w:w="0" w:type="dxa"/>
            <w:right w:w="108" w:type="dxa"/>
          </w:tblCellMar>
        </w:tblPrEx>
        <w:trPr>
          <w:trHeight w:val="560" w:hRule="atLeast"/>
        </w:trPr>
        <w:tc>
          <w:tcPr>
            <w:tcW w:w="704" w:type="dxa"/>
            <w:tcBorders>
              <w:top w:val="nil"/>
              <w:left w:val="single" w:color="auto" w:sz="4" w:space="0"/>
              <w:bottom w:val="single" w:color="auto" w:sz="4" w:space="0"/>
              <w:right w:val="single" w:color="auto" w:sz="4" w:space="0"/>
            </w:tcBorders>
            <w:noWrap w:val="0"/>
            <w:vAlign w:val="center"/>
          </w:tcPr>
          <w:p>
            <w:pPr>
              <w:widowControl/>
              <w:adjustRightInd w:val="0"/>
              <w:snapToGrid w:val="0"/>
              <w:jc w:val="center"/>
              <w:rPr>
                <w:rFonts w:eastAsia="等线"/>
                <w:color w:val="000000"/>
                <w:kern w:val="0"/>
                <w:sz w:val="22"/>
                <w:szCs w:val="22"/>
                <w:lang w:val="id-ID"/>
              </w:rPr>
            </w:pPr>
            <w:r>
              <w:rPr>
                <w:rFonts w:eastAsia="等线"/>
                <w:color w:val="000000"/>
                <w:kern w:val="0"/>
                <w:sz w:val="22"/>
                <w:szCs w:val="22"/>
                <w:lang w:val="id-ID"/>
              </w:rPr>
              <w:t>9</w:t>
            </w:r>
          </w:p>
        </w:tc>
        <w:tc>
          <w:tcPr>
            <w:tcW w:w="4967" w:type="dxa"/>
            <w:tcBorders>
              <w:top w:val="nil"/>
              <w:left w:val="nil"/>
              <w:bottom w:val="single" w:color="auto" w:sz="4" w:space="0"/>
              <w:right w:val="single" w:color="auto" w:sz="4" w:space="0"/>
            </w:tcBorders>
            <w:noWrap w:val="0"/>
            <w:vAlign w:val="center"/>
          </w:tcPr>
          <w:p>
            <w:pPr>
              <w:widowControl/>
              <w:adjustRightInd w:val="0"/>
              <w:snapToGrid w:val="0"/>
              <w:rPr>
                <w:rFonts w:eastAsia="等线"/>
                <w:color w:val="000000"/>
                <w:kern w:val="0"/>
                <w:sz w:val="22"/>
                <w:szCs w:val="22"/>
                <w:lang w:val="id-ID"/>
              </w:rPr>
            </w:pPr>
            <w:r>
              <w:rPr>
                <w:rFonts w:eastAsia="等线"/>
                <w:i/>
                <w:iCs/>
                <w:color w:val="000000"/>
                <w:kern w:val="0"/>
                <w:sz w:val="22"/>
                <w:szCs w:val="22"/>
                <w:lang w:val="id-ID"/>
              </w:rPr>
              <w:t>残余焊丝</w:t>
            </w:r>
            <w:r>
              <w:rPr>
                <w:rFonts w:eastAsia="等线"/>
                <w:color w:val="000000"/>
                <w:kern w:val="0"/>
                <w:sz w:val="22"/>
                <w:szCs w:val="22"/>
                <w:lang w:val="id-ID"/>
              </w:rPr>
              <w:t xml:space="preserve">Sisa kawat las </w:t>
            </w:r>
          </w:p>
        </w:tc>
        <w:tc>
          <w:tcPr>
            <w:tcW w:w="1297" w:type="dxa"/>
            <w:tcBorders>
              <w:top w:val="nil"/>
              <w:left w:val="nil"/>
              <w:bottom w:val="single" w:color="auto" w:sz="4" w:space="0"/>
              <w:right w:val="single" w:color="auto" w:sz="4" w:space="0"/>
            </w:tcBorders>
            <w:noWrap w:val="0"/>
            <w:vAlign w:val="center"/>
          </w:tcPr>
          <w:p>
            <w:pPr>
              <w:widowControl/>
              <w:adjustRightInd w:val="0"/>
              <w:snapToGrid w:val="0"/>
              <w:jc w:val="center"/>
              <w:rPr>
                <w:rFonts w:eastAsia="等线"/>
                <w:color w:val="000000"/>
                <w:kern w:val="0"/>
                <w:sz w:val="22"/>
                <w:szCs w:val="22"/>
                <w:lang w:val="id-ID"/>
              </w:rPr>
            </w:pPr>
            <w:r>
              <w:rPr>
                <w:rFonts w:eastAsia="等线"/>
                <w:color w:val="000000"/>
                <w:kern w:val="0"/>
                <w:sz w:val="22"/>
                <w:szCs w:val="22"/>
                <w:lang w:val="id-ID"/>
              </w:rPr>
              <w:t>A101d</w:t>
            </w:r>
          </w:p>
        </w:tc>
        <w:tc>
          <w:tcPr>
            <w:tcW w:w="1288" w:type="dxa"/>
            <w:tcBorders>
              <w:top w:val="single" w:color="auto" w:sz="4" w:space="0"/>
              <w:bottom w:val="single" w:color="auto" w:sz="4" w:space="0"/>
              <w:right w:val="single" w:color="auto" w:sz="4" w:space="0"/>
            </w:tcBorders>
            <w:noWrap w:val="0"/>
            <w:vAlign w:val="top"/>
          </w:tcPr>
          <w:p>
            <w:pPr>
              <w:widowControl/>
              <w:jc w:val="center"/>
              <w:rPr>
                <w:rFonts w:eastAsia="Times New Roman"/>
                <w:kern w:val="0"/>
                <w:sz w:val="22"/>
                <w:szCs w:val="22"/>
                <w:lang w:val="id-ID"/>
              </w:rPr>
            </w:pPr>
            <w:r>
              <w:rPr>
                <w:rFonts w:eastAsia="Times New Roman"/>
                <w:kern w:val="0"/>
                <w:sz w:val="22"/>
                <w:szCs w:val="22"/>
                <w:lang w:val="id-ID"/>
              </w:rPr>
              <w:t>10</w:t>
            </w:r>
          </w:p>
        </w:tc>
        <w:tc>
          <w:tcPr>
            <w:tcW w:w="1081" w:type="dxa"/>
            <w:tcBorders>
              <w:top w:val="single" w:color="auto" w:sz="4" w:space="0"/>
              <w:left w:val="single" w:color="auto" w:sz="4" w:space="0"/>
              <w:bottom w:val="single" w:color="auto" w:sz="4" w:space="0"/>
              <w:right w:val="single" w:color="auto" w:sz="4" w:space="0"/>
            </w:tcBorders>
            <w:noWrap w:val="0"/>
            <w:vAlign w:val="top"/>
          </w:tcPr>
          <w:p>
            <w:pPr>
              <w:widowControl/>
              <w:jc w:val="center"/>
              <w:rPr>
                <w:rFonts w:eastAsia="Times New Roman"/>
                <w:kern w:val="0"/>
                <w:sz w:val="22"/>
                <w:szCs w:val="22"/>
                <w:lang w:val="id-ID"/>
              </w:rPr>
            </w:pPr>
            <w:r>
              <w:rPr>
                <w:rFonts w:hint="eastAsia" w:ascii="等线" w:hAnsi="等线" w:eastAsia="等线" w:cs="等线"/>
                <w:sz w:val="22"/>
                <w:szCs w:val="22"/>
              </w:rPr>
              <w:t>公斤kg</w:t>
            </w:r>
          </w:p>
        </w:tc>
        <w:tc>
          <w:tcPr>
            <w:tcW w:w="222" w:type="dxa"/>
            <w:tcBorders>
              <w:left w:val="single" w:color="auto" w:sz="4" w:space="0"/>
            </w:tcBorders>
            <w:noWrap w:val="0"/>
            <w:vAlign w:val="center"/>
          </w:tcPr>
          <w:p>
            <w:pPr>
              <w:widowControl/>
              <w:jc w:val="left"/>
              <w:rPr>
                <w:rFonts w:eastAsia="Times New Roman"/>
                <w:kern w:val="0"/>
                <w:sz w:val="22"/>
                <w:szCs w:val="22"/>
                <w:lang w:val="id-ID"/>
              </w:rPr>
            </w:pPr>
          </w:p>
        </w:tc>
      </w:tr>
      <w:tr>
        <w:tblPrEx>
          <w:tblLayout w:type="fixed"/>
          <w:tblCellMar>
            <w:top w:w="0" w:type="dxa"/>
            <w:left w:w="108" w:type="dxa"/>
            <w:bottom w:w="0" w:type="dxa"/>
            <w:right w:w="108" w:type="dxa"/>
          </w:tblCellMar>
        </w:tblPrEx>
        <w:trPr>
          <w:trHeight w:val="560" w:hRule="atLeast"/>
        </w:trPr>
        <w:tc>
          <w:tcPr>
            <w:tcW w:w="704" w:type="dxa"/>
            <w:tcBorders>
              <w:top w:val="nil"/>
              <w:left w:val="single" w:color="auto" w:sz="4" w:space="0"/>
              <w:bottom w:val="single" w:color="auto" w:sz="4" w:space="0"/>
              <w:right w:val="single" w:color="auto" w:sz="4" w:space="0"/>
            </w:tcBorders>
            <w:noWrap w:val="0"/>
            <w:vAlign w:val="center"/>
          </w:tcPr>
          <w:p>
            <w:pPr>
              <w:widowControl/>
              <w:adjustRightInd w:val="0"/>
              <w:snapToGrid w:val="0"/>
              <w:jc w:val="center"/>
              <w:rPr>
                <w:rFonts w:eastAsia="等线"/>
                <w:color w:val="000000"/>
                <w:kern w:val="0"/>
                <w:sz w:val="22"/>
                <w:szCs w:val="22"/>
                <w:lang w:val="id-ID"/>
              </w:rPr>
            </w:pPr>
            <w:r>
              <w:rPr>
                <w:rFonts w:eastAsia="等线"/>
                <w:color w:val="000000"/>
                <w:kern w:val="0"/>
                <w:sz w:val="22"/>
                <w:szCs w:val="22"/>
                <w:lang w:val="id-ID"/>
              </w:rPr>
              <w:t>10</w:t>
            </w:r>
          </w:p>
        </w:tc>
        <w:tc>
          <w:tcPr>
            <w:tcW w:w="4967" w:type="dxa"/>
            <w:tcBorders>
              <w:top w:val="nil"/>
              <w:left w:val="nil"/>
              <w:bottom w:val="single" w:color="auto" w:sz="4" w:space="0"/>
              <w:right w:val="single" w:color="auto" w:sz="4" w:space="0"/>
            </w:tcBorders>
            <w:noWrap w:val="0"/>
            <w:vAlign w:val="center"/>
          </w:tcPr>
          <w:p>
            <w:pPr>
              <w:widowControl/>
              <w:adjustRightInd w:val="0"/>
              <w:snapToGrid w:val="0"/>
              <w:jc w:val="left"/>
              <w:rPr>
                <w:rFonts w:eastAsia="等线"/>
                <w:color w:val="000000"/>
                <w:kern w:val="0"/>
                <w:sz w:val="22"/>
                <w:szCs w:val="22"/>
                <w:lang w:val="id-ID"/>
              </w:rPr>
            </w:pPr>
            <w:r>
              <w:rPr>
                <w:rFonts w:eastAsia="等线"/>
                <w:i/>
                <w:iCs/>
                <w:color w:val="000000"/>
                <w:kern w:val="0"/>
                <w:sz w:val="22"/>
                <w:szCs w:val="22"/>
                <w:lang w:val="id-ID"/>
              </w:rPr>
              <w:t>废活性炭</w:t>
            </w:r>
            <w:r>
              <w:rPr>
                <w:rFonts w:eastAsia="等线"/>
                <w:color w:val="000000"/>
                <w:kern w:val="0"/>
                <w:sz w:val="22"/>
                <w:szCs w:val="22"/>
                <w:lang w:val="id-ID"/>
              </w:rPr>
              <w:t xml:space="preserve">Karbon Aktif bekas </w:t>
            </w:r>
          </w:p>
        </w:tc>
        <w:tc>
          <w:tcPr>
            <w:tcW w:w="1297" w:type="dxa"/>
            <w:tcBorders>
              <w:top w:val="nil"/>
              <w:left w:val="nil"/>
              <w:bottom w:val="single" w:color="auto" w:sz="4" w:space="0"/>
              <w:right w:val="single" w:color="auto" w:sz="4" w:space="0"/>
            </w:tcBorders>
            <w:noWrap w:val="0"/>
            <w:vAlign w:val="center"/>
          </w:tcPr>
          <w:p>
            <w:pPr>
              <w:widowControl/>
              <w:adjustRightInd w:val="0"/>
              <w:snapToGrid w:val="0"/>
              <w:jc w:val="center"/>
              <w:rPr>
                <w:rFonts w:eastAsia="等线"/>
                <w:color w:val="000000"/>
                <w:kern w:val="0"/>
                <w:sz w:val="22"/>
                <w:szCs w:val="22"/>
                <w:lang w:val="id-ID"/>
              </w:rPr>
            </w:pPr>
            <w:r>
              <w:rPr>
                <w:rFonts w:eastAsia="等线"/>
                <w:color w:val="000000"/>
                <w:kern w:val="0"/>
                <w:sz w:val="22"/>
                <w:szCs w:val="22"/>
                <w:lang w:val="id-ID"/>
              </w:rPr>
              <w:t>A110d</w:t>
            </w:r>
          </w:p>
        </w:tc>
        <w:tc>
          <w:tcPr>
            <w:tcW w:w="1288" w:type="dxa"/>
            <w:tcBorders>
              <w:top w:val="single" w:color="auto" w:sz="4" w:space="0"/>
              <w:bottom w:val="single" w:color="auto" w:sz="4" w:space="0"/>
              <w:right w:val="single" w:color="auto" w:sz="4" w:space="0"/>
            </w:tcBorders>
            <w:noWrap w:val="0"/>
            <w:vAlign w:val="top"/>
          </w:tcPr>
          <w:p>
            <w:pPr>
              <w:widowControl/>
              <w:jc w:val="center"/>
              <w:rPr>
                <w:rFonts w:eastAsia="Times New Roman"/>
                <w:kern w:val="0"/>
                <w:sz w:val="22"/>
                <w:szCs w:val="22"/>
                <w:lang w:val="id-ID"/>
              </w:rPr>
            </w:pPr>
            <w:r>
              <w:rPr>
                <w:rFonts w:eastAsia="Times New Roman"/>
                <w:kern w:val="0"/>
                <w:sz w:val="22"/>
                <w:szCs w:val="22"/>
                <w:lang w:val="id-ID"/>
              </w:rPr>
              <w:t>10</w:t>
            </w:r>
          </w:p>
        </w:tc>
        <w:tc>
          <w:tcPr>
            <w:tcW w:w="1081" w:type="dxa"/>
            <w:tcBorders>
              <w:top w:val="single" w:color="auto" w:sz="4" w:space="0"/>
              <w:left w:val="single" w:color="auto" w:sz="4" w:space="0"/>
              <w:bottom w:val="single" w:color="auto" w:sz="4" w:space="0"/>
              <w:right w:val="single" w:color="auto" w:sz="4" w:space="0"/>
            </w:tcBorders>
            <w:noWrap w:val="0"/>
            <w:vAlign w:val="top"/>
          </w:tcPr>
          <w:p>
            <w:pPr>
              <w:widowControl/>
              <w:jc w:val="center"/>
              <w:rPr>
                <w:rFonts w:eastAsia="Times New Roman"/>
                <w:kern w:val="0"/>
                <w:sz w:val="22"/>
                <w:szCs w:val="22"/>
                <w:lang w:val="id-ID"/>
              </w:rPr>
            </w:pPr>
            <w:r>
              <w:rPr>
                <w:rFonts w:hint="eastAsia" w:ascii="等线" w:hAnsi="等线" w:eastAsia="等线" w:cs="等线"/>
                <w:sz w:val="22"/>
                <w:szCs w:val="22"/>
              </w:rPr>
              <w:t>公斤kg</w:t>
            </w:r>
          </w:p>
        </w:tc>
        <w:tc>
          <w:tcPr>
            <w:tcW w:w="222" w:type="dxa"/>
            <w:tcBorders>
              <w:left w:val="single" w:color="auto" w:sz="4" w:space="0"/>
            </w:tcBorders>
            <w:noWrap w:val="0"/>
            <w:vAlign w:val="center"/>
          </w:tcPr>
          <w:p>
            <w:pPr>
              <w:widowControl/>
              <w:jc w:val="left"/>
              <w:rPr>
                <w:rFonts w:eastAsia="Times New Roman"/>
                <w:kern w:val="0"/>
                <w:sz w:val="22"/>
                <w:szCs w:val="22"/>
                <w:lang w:val="id-ID"/>
              </w:rPr>
            </w:pPr>
          </w:p>
        </w:tc>
      </w:tr>
      <w:tr>
        <w:tblPrEx>
          <w:tblLayout w:type="fixed"/>
          <w:tblCellMar>
            <w:top w:w="0" w:type="dxa"/>
            <w:left w:w="108" w:type="dxa"/>
            <w:bottom w:w="0" w:type="dxa"/>
            <w:right w:w="108" w:type="dxa"/>
          </w:tblCellMar>
        </w:tblPrEx>
        <w:trPr>
          <w:trHeight w:val="560" w:hRule="atLeast"/>
        </w:trPr>
        <w:tc>
          <w:tcPr>
            <w:tcW w:w="704" w:type="dxa"/>
            <w:tcBorders>
              <w:top w:val="nil"/>
              <w:left w:val="single" w:color="auto" w:sz="4" w:space="0"/>
              <w:bottom w:val="single" w:color="auto" w:sz="4" w:space="0"/>
              <w:right w:val="single" w:color="auto" w:sz="4" w:space="0"/>
            </w:tcBorders>
            <w:noWrap w:val="0"/>
            <w:vAlign w:val="center"/>
          </w:tcPr>
          <w:p>
            <w:pPr>
              <w:widowControl/>
              <w:adjustRightInd w:val="0"/>
              <w:snapToGrid w:val="0"/>
              <w:jc w:val="center"/>
              <w:rPr>
                <w:rFonts w:eastAsia="等线"/>
                <w:color w:val="000000"/>
                <w:kern w:val="0"/>
                <w:sz w:val="22"/>
                <w:szCs w:val="22"/>
                <w:lang w:val="id-ID"/>
              </w:rPr>
            </w:pPr>
            <w:r>
              <w:rPr>
                <w:rFonts w:eastAsia="等线"/>
                <w:color w:val="000000"/>
                <w:kern w:val="0"/>
                <w:sz w:val="22"/>
                <w:szCs w:val="22"/>
                <w:lang w:val="id-ID"/>
              </w:rPr>
              <w:t>11</w:t>
            </w:r>
          </w:p>
        </w:tc>
        <w:tc>
          <w:tcPr>
            <w:tcW w:w="4967" w:type="dxa"/>
            <w:tcBorders>
              <w:top w:val="nil"/>
              <w:left w:val="nil"/>
              <w:bottom w:val="single" w:color="auto" w:sz="4" w:space="0"/>
              <w:right w:val="single" w:color="auto" w:sz="4" w:space="0"/>
            </w:tcBorders>
            <w:noWrap w:val="0"/>
            <w:vAlign w:val="center"/>
          </w:tcPr>
          <w:p>
            <w:pPr>
              <w:widowControl/>
              <w:adjustRightInd w:val="0"/>
              <w:snapToGrid w:val="0"/>
              <w:jc w:val="left"/>
              <w:rPr>
                <w:rFonts w:eastAsia="等线"/>
                <w:color w:val="000000"/>
                <w:kern w:val="0"/>
                <w:sz w:val="22"/>
                <w:szCs w:val="22"/>
                <w:lang w:val="id-ID"/>
              </w:rPr>
            </w:pPr>
            <w:r>
              <w:rPr>
                <w:rFonts w:eastAsia="等线"/>
                <w:i/>
                <w:iCs/>
                <w:color w:val="000000"/>
                <w:kern w:val="0"/>
                <w:sz w:val="22"/>
                <w:szCs w:val="22"/>
                <w:lang w:val="id-ID"/>
              </w:rPr>
              <w:t>废树脂</w:t>
            </w:r>
            <w:r>
              <w:rPr>
                <w:rFonts w:eastAsia="等线"/>
                <w:color w:val="000000"/>
                <w:kern w:val="0"/>
                <w:sz w:val="22"/>
                <w:szCs w:val="22"/>
                <w:lang w:val="id-ID"/>
              </w:rPr>
              <w:t xml:space="preserve">Resin Bekas </w:t>
            </w:r>
          </w:p>
        </w:tc>
        <w:tc>
          <w:tcPr>
            <w:tcW w:w="1297" w:type="dxa"/>
            <w:tcBorders>
              <w:top w:val="nil"/>
              <w:left w:val="nil"/>
              <w:bottom w:val="single" w:color="auto" w:sz="4" w:space="0"/>
              <w:right w:val="single" w:color="auto" w:sz="4" w:space="0"/>
            </w:tcBorders>
            <w:noWrap w:val="0"/>
            <w:vAlign w:val="center"/>
          </w:tcPr>
          <w:p>
            <w:pPr>
              <w:widowControl/>
              <w:adjustRightInd w:val="0"/>
              <w:snapToGrid w:val="0"/>
              <w:jc w:val="center"/>
              <w:rPr>
                <w:rFonts w:eastAsia="等线"/>
                <w:color w:val="000000"/>
                <w:kern w:val="0"/>
                <w:sz w:val="22"/>
                <w:szCs w:val="22"/>
                <w:lang w:val="id-ID"/>
              </w:rPr>
            </w:pPr>
            <w:r>
              <w:rPr>
                <w:rFonts w:eastAsia="等线"/>
                <w:color w:val="000000"/>
                <w:kern w:val="0"/>
                <w:sz w:val="22"/>
                <w:szCs w:val="22"/>
                <w:lang w:val="id-ID"/>
              </w:rPr>
              <w:t>B106d</w:t>
            </w:r>
          </w:p>
        </w:tc>
        <w:tc>
          <w:tcPr>
            <w:tcW w:w="1288" w:type="dxa"/>
            <w:tcBorders>
              <w:top w:val="single" w:color="auto" w:sz="4" w:space="0"/>
              <w:bottom w:val="single" w:color="auto" w:sz="4" w:space="0"/>
              <w:right w:val="single" w:color="auto" w:sz="4" w:space="0"/>
            </w:tcBorders>
            <w:noWrap w:val="0"/>
            <w:vAlign w:val="top"/>
          </w:tcPr>
          <w:p>
            <w:pPr>
              <w:widowControl/>
              <w:jc w:val="center"/>
              <w:rPr>
                <w:rFonts w:eastAsia="Times New Roman"/>
                <w:kern w:val="0"/>
                <w:sz w:val="22"/>
                <w:szCs w:val="22"/>
                <w:lang w:val="id-ID"/>
              </w:rPr>
            </w:pPr>
            <w:r>
              <w:rPr>
                <w:rFonts w:eastAsia="Times New Roman"/>
                <w:kern w:val="0"/>
                <w:sz w:val="22"/>
                <w:szCs w:val="22"/>
                <w:lang w:val="id-ID"/>
              </w:rPr>
              <w:t>100</w:t>
            </w:r>
          </w:p>
        </w:tc>
        <w:tc>
          <w:tcPr>
            <w:tcW w:w="1081" w:type="dxa"/>
            <w:tcBorders>
              <w:top w:val="single" w:color="auto" w:sz="4" w:space="0"/>
              <w:left w:val="single" w:color="auto" w:sz="4" w:space="0"/>
              <w:bottom w:val="single" w:color="auto" w:sz="4" w:space="0"/>
              <w:right w:val="single" w:color="auto" w:sz="4" w:space="0"/>
            </w:tcBorders>
            <w:noWrap w:val="0"/>
            <w:vAlign w:val="top"/>
          </w:tcPr>
          <w:p>
            <w:pPr>
              <w:widowControl/>
              <w:jc w:val="center"/>
              <w:rPr>
                <w:rFonts w:eastAsia="Times New Roman"/>
                <w:kern w:val="0"/>
                <w:sz w:val="22"/>
                <w:szCs w:val="22"/>
                <w:lang w:val="id-ID"/>
              </w:rPr>
            </w:pPr>
            <w:r>
              <w:rPr>
                <w:rFonts w:hint="eastAsia" w:ascii="等线" w:hAnsi="等线" w:eastAsia="等线" w:cs="等线"/>
                <w:sz w:val="22"/>
                <w:szCs w:val="22"/>
              </w:rPr>
              <w:t>公斤kg</w:t>
            </w:r>
          </w:p>
        </w:tc>
        <w:tc>
          <w:tcPr>
            <w:tcW w:w="222" w:type="dxa"/>
            <w:tcBorders>
              <w:left w:val="single" w:color="auto" w:sz="4" w:space="0"/>
            </w:tcBorders>
            <w:noWrap w:val="0"/>
            <w:vAlign w:val="center"/>
          </w:tcPr>
          <w:p>
            <w:pPr>
              <w:widowControl/>
              <w:jc w:val="left"/>
              <w:rPr>
                <w:rFonts w:eastAsia="Times New Roman"/>
                <w:kern w:val="0"/>
                <w:sz w:val="22"/>
                <w:szCs w:val="22"/>
                <w:lang w:val="id-ID"/>
              </w:rPr>
            </w:pPr>
          </w:p>
        </w:tc>
      </w:tr>
      <w:tr>
        <w:tblPrEx>
          <w:tblLayout w:type="fixed"/>
          <w:tblCellMar>
            <w:top w:w="0" w:type="dxa"/>
            <w:left w:w="108" w:type="dxa"/>
            <w:bottom w:w="0" w:type="dxa"/>
            <w:right w:w="108" w:type="dxa"/>
          </w:tblCellMar>
        </w:tblPrEx>
        <w:trPr>
          <w:trHeight w:val="560" w:hRule="atLeast"/>
        </w:trPr>
        <w:tc>
          <w:tcPr>
            <w:tcW w:w="704" w:type="dxa"/>
            <w:tcBorders>
              <w:top w:val="nil"/>
              <w:left w:val="single" w:color="auto" w:sz="4" w:space="0"/>
              <w:bottom w:val="single" w:color="auto" w:sz="4" w:space="0"/>
              <w:right w:val="single" w:color="auto" w:sz="4" w:space="0"/>
            </w:tcBorders>
            <w:noWrap w:val="0"/>
            <w:vAlign w:val="center"/>
          </w:tcPr>
          <w:p>
            <w:pPr>
              <w:widowControl/>
              <w:adjustRightInd w:val="0"/>
              <w:snapToGrid w:val="0"/>
              <w:jc w:val="center"/>
              <w:rPr>
                <w:rFonts w:eastAsia="等线"/>
                <w:color w:val="000000"/>
                <w:kern w:val="0"/>
                <w:sz w:val="22"/>
                <w:szCs w:val="22"/>
                <w:lang w:val="id-ID"/>
              </w:rPr>
            </w:pPr>
            <w:r>
              <w:rPr>
                <w:rFonts w:eastAsia="等线"/>
                <w:color w:val="000000"/>
                <w:kern w:val="0"/>
                <w:sz w:val="22"/>
                <w:szCs w:val="22"/>
                <w:lang w:val="id-ID"/>
              </w:rPr>
              <w:t>12</w:t>
            </w:r>
          </w:p>
        </w:tc>
        <w:tc>
          <w:tcPr>
            <w:tcW w:w="4967" w:type="dxa"/>
            <w:tcBorders>
              <w:top w:val="nil"/>
              <w:left w:val="nil"/>
              <w:bottom w:val="single" w:color="auto" w:sz="4" w:space="0"/>
              <w:right w:val="single" w:color="auto" w:sz="4" w:space="0"/>
            </w:tcBorders>
            <w:noWrap w:val="0"/>
            <w:vAlign w:val="center"/>
          </w:tcPr>
          <w:p>
            <w:pPr>
              <w:widowControl/>
              <w:adjustRightInd w:val="0"/>
              <w:snapToGrid w:val="0"/>
              <w:jc w:val="left"/>
              <w:rPr>
                <w:rFonts w:eastAsia="等线"/>
                <w:color w:val="000000"/>
                <w:kern w:val="0"/>
                <w:sz w:val="22"/>
                <w:szCs w:val="22"/>
                <w:lang w:val="id-ID"/>
              </w:rPr>
            </w:pPr>
            <w:r>
              <w:rPr>
                <w:rFonts w:eastAsia="等线"/>
                <w:i/>
                <w:iCs/>
                <w:color w:val="000000"/>
                <w:kern w:val="0"/>
                <w:sz w:val="22"/>
                <w:szCs w:val="22"/>
                <w:lang w:val="id-ID"/>
              </w:rPr>
              <w:t>过期化学品</w:t>
            </w:r>
            <w:r>
              <w:rPr>
                <w:rFonts w:eastAsia="等线"/>
                <w:color w:val="000000"/>
                <w:kern w:val="0"/>
                <w:sz w:val="22"/>
                <w:szCs w:val="22"/>
                <w:lang w:val="id-ID"/>
              </w:rPr>
              <w:t xml:space="preserve">Bahan kimia kadaluarsa </w:t>
            </w:r>
          </w:p>
        </w:tc>
        <w:tc>
          <w:tcPr>
            <w:tcW w:w="1297" w:type="dxa"/>
            <w:tcBorders>
              <w:top w:val="nil"/>
              <w:left w:val="nil"/>
              <w:bottom w:val="single" w:color="auto" w:sz="4" w:space="0"/>
              <w:right w:val="single" w:color="auto" w:sz="4" w:space="0"/>
            </w:tcBorders>
            <w:noWrap w:val="0"/>
            <w:vAlign w:val="center"/>
          </w:tcPr>
          <w:p>
            <w:pPr>
              <w:widowControl/>
              <w:adjustRightInd w:val="0"/>
              <w:snapToGrid w:val="0"/>
              <w:jc w:val="center"/>
              <w:rPr>
                <w:rFonts w:eastAsia="等线"/>
                <w:color w:val="000000"/>
                <w:kern w:val="0"/>
                <w:sz w:val="22"/>
                <w:szCs w:val="22"/>
                <w:lang w:val="id-ID"/>
              </w:rPr>
            </w:pPr>
            <w:r>
              <w:rPr>
                <w:rFonts w:eastAsia="等线"/>
                <w:color w:val="000000"/>
                <w:kern w:val="0"/>
                <w:sz w:val="22"/>
                <w:szCs w:val="22"/>
                <w:lang w:val="id-ID"/>
              </w:rPr>
              <w:t>A338-1</w:t>
            </w:r>
          </w:p>
        </w:tc>
        <w:tc>
          <w:tcPr>
            <w:tcW w:w="1288" w:type="dxa"/>
            <w:tcBorders>
              <w:top w:val="single" w:color="auto" w:sz="4" w:space="0"/>
              <w:bottom w:val="single" w:color="auto" w:sz="4" w:space="0"/>
              <w:right w:val="single" w:color="auto" w:sz="4" w:space="0"/>
            </w:tcBorders>
            <w:noWrap w:val="0"/>
            <w:vAlign w:val="top"/>
          </w:tcPr>
          <w:p>
            <w:pPr>
              <w:widowControl/>
              <w:jc w:val="center"/>
              <w:rPr>
                <w:rFonts w:eastAsia="Times New Roman"/>
                <w:kern w:val="0"/>
                <w:sz w:val="22"/>
                <w:szCs w:val="22"/>
                <w:lang w:val="id-ID"/>
              </w:rPr>
            </w:pPr>
            <w:r>
              <w:rPr>
                <w:rFonts w:eastAsia="Times New Roman"/>
                <w:kern w:val="0"/>
                <w:sz w:val="22"/>
                <w:szCs w:val="22"/>
                <w:lang w:val="id-ID"/>
              </w:rPr>
              <w:t>50</w:t>
            </w:r>
          </w:p>
        </w:tc>
        <w:tc>
          <w:tcPr>
            <w:tcW w:w="1081" w:type="dxa"/>
            <w:tcBorders>
              <w:top w:val="single" w:color="auto" w:sz="4" w:space="0"/>
              <w:left w:val="single" w:color="auto" w:sz="4" w:space="0"/>
              <w:bottom w:val="single" w:color="auto" w:sz="4" w:space="0"/>
              <w:right w:val="single" w:color="auto" w:sz="4" w:space="0"/>
            </w:tcBorders>
            <w:noWrap w:val="0"/>
            <w:vAlign w:val="top"/>
          </w:tcPr>
          <w:p>
            <w:pPr>
              <w:widowControl/>
              <w:jc w:val="center"/>
              <w:rPr>
                <w:rFonts w:eastAsia="Times New Roman"/>
                <w:kern w:val="0"/>
                <w:sz w:val="22"/>
                <w:szCs w:val="22"/>
                <w:lang w:val="id-ID"/>
              </w:rPr>
            </w:pPr>
            <w:r>
              <w:rPr>
                <w:rFonts w:hint="eastAsia" w:ascii="等线" w:hAnsi="等线" w:eastAsia="等线" w:cs="等线"/>
                <w:sz w:val="22"/>
                <w:szCs w:val="22"/>
              </w:rPr>
              <w:t>公斤kg</w:t>
            </w:r>
          </w:p>
        </w:tc>
        <w:tc>
          <w:tcPr>
            <w:tcW w:w="222" w:type="dxa"/>
            <w:tcBorders>
              <w:left w:val="single" w:color="auto" w:sz="4" w:space="0"/>
            </w:tcBorders>
            <w:noWrap w:val="0"/>
            <w:vAlign w:val="center"/>
          </w:tcPr>
          <w:p>
            <w:pPr>
              <w:widowControl/>
              <w:jc w:val="left"/>
              <w:rPr>
                <w:rFonts w:eastAsia="Times New Roman"/>
                <w:kern w:val="0"/>
                <w:sz w:val="22"/>
                <w:szCs w:val="22"/>
                <w:lang w:val="id-ID"/>
              </w:rPr>
            </w:pPr>
          </w:p>
        </w:tc>
      </w:tr>
      <w:tr>
        <w:tblPrEx>
          <w:tblLayout w:type="fixed"/>
          <w:tblCellMar>
            <w:top w:w="0" w:type="dxa"/>
            <w:left w:w="108" w:type="dxa"/>
            <w:bottom w:w="0" w:type="dxa"/>
            <w:right w:w="108" w:type="dxa"/>
          </w:tblCellMar>
        </w:tblPrEx>
        <w:trPr>
          <w:trHeight w:val="560" w:hRule="atLeast"/>
        </w:trPr>
        <w:tc>
          <w:tcPr>
            <w:tcW w:w="704" w:type="dxa"/>
            <w:tcBorders>
              <w:top w:val="nil"/>
              <w:left w:val="single" w:color="auto" w:sz="4" w:space="0"/>
              <w:bottom w:val="single" w:color="auto" w:sz="4" w:space="0"/>
              <w:right w:val="single" w:color="auto" w:sz="4" w:space="0"/>
            </w:tcBorders>
            <w:noWrap w:val="0"/>
            <w:vAlign w:val="center"/>
          </w:tcPr>
          <w:p>
            <w:pPr>
              <w:widowControl/>
              <w:adjustRightInd w:val="0"/>
              <w:snapToGrid w:val="0"/>
              <w:jc w:val="center"/>
              <w:rPr>
                <w:rFonts w:eastAsia="等线"/>
                <w:color w:val="000000"/>
                <w:kern w:val="0"/>
                <w:sz w:val="22"/>
                <w:szCs w:val="22"/>
                <w:lang w:val="id-ID"/>
              </w:rPr>
            </w:pPr>
            <w:r>
              <w:rPr>
                <w:rFonts w:eastAsia="等线"/>
                <w:color w:val="000000"/>
                <w:kern w:val="0"/>
                <w:sz w:val="22"/>
                <w:szCs w:val="22"/>
                <w:lang w:val="id-ID"/>
              </w:rPr>
              <w:t>13</w:t>
            </w:r>
          </w:p>
        </w:tc>
        <w:tc>
          <w:tcPr>
            <w:tcW w:w="4967" w:type="dxa"/>
            <w:tcBorders>
              <w:top w:val="nil"/>
              <w:left w:val="nil"/>
              <w:bottom w:val="single" w:color="auto" w:sz="4" w:space="0"/>
              <w:right w:val="single" w:color="auto" w:sz="4" w:space="0"/>
            </w:tcBorders>
            <w:noWrap w:val="0"/>
            <w:vAlign w:val="center"/>
          </w:tcPr>
          <w:p>
            <w:pPr>
              <w:widowControl/>
              <w:adjustRightInd w:val="0"/>
              <w:snapToGrid w:val="0"/>
              <w:jc w:val="left"/>
              <w:rPr>
                <w:rFonts w:eastAsia="等线"/>
                <w:color w:val="000000"/>
                <w:kern w:val="0"/>
                <w:sz w:val="22"/>
                <w:szCs w:val="22"/>
                <w:lang w:val="id-ID"/>
              </w:rPr>
            </w:pPr>
            <w:r>
              <w:rPr>
                <w:rFonts w:eastAsia="等线"/>
                <w:i/>
                <w:iCs/>
                <w:color w:val="000000"/>
                <w:kern w:val="0"/>
                <w:sz w:val="22"/>
                <w:szCs w:val="22"/>
                <w:lang w:val="id-ID"/>
              </w:rPr>
              <w:t>包装用过墨水</w:t>
            </w:r>
            <w:r>
              <w:rPr>
                <w:rFonts w:eastAsia="等线"/>
                <w:color w:val="000000"/>
                <w:kern w:val="0"/>
                <w:sz w:val="22"/>
                <w:szCs w:val="22"/>
                <w:lang w:val="id-ID"/>
              </w:rPr>
              <w:t xml:space="preserve">Kemasan Bekas Tinta </w:t>
            </w:r>
          </w:p>
        </w:tc>
        <w:tc>
          <w:tcPr>
            <w:tcW w:w="1297" w:type="dxa"/>
            <w:tcBorders>
              <w:top w:val="nil"/>
              <w:left w:val="nil"/>
              <w:bottom w:val="single" w:color="auto" w:sz="4" w:space="0"/>
              <w:right w:val="single" w:color="auto" w:sz="4" w:space="0"/>
            </w:tcBorders>
            <w:noWrap w:val="0"/>
            <w:vAlign w:val="center"/>
          </w:tcPr>
          <w:p>
            <w:pPr>
              <w:widowControl/>
              <w:adjustRightInd w:val="0"/>
              <w:snapToGrid w:val="0"/>
              <w:jc w:val="center"/>
              <w:rPr>
                <w:rFonts w:eastAsia="等线"/>
                <w:color w:val="000000"/>
                <w:kern w:val="0"/>
                <w:sz w:val="22"/>
                <w:szCs w:val="22"/>
                <w:lang w:val="id-ID"/>
              </w:rPr>
            </w:pPr>
            <w:r>
              <w:rPr>
                <w:rFonts w:eastAsia="等线"/>
                <w:color w:val="000000"/>
                <w:kern w:val="0"/>
                <w:sz w:val="22"/>
                <w:szCs w:val="22"/>
                <w:lang w:val="id-ID"/>
              </w:rPr>
              <w:t>B321-4</w:t>
            </w:r>
          </w:p>
        </w:tc>
        <w:tc>
          <w:tcPr>
            <w:tcW w:w="1288" w:type="dxa"/>
            <w:tcBorders>
              <w:top w:val="single" w:color="auto" w:sz="4" w:space="0"/>
              <w:bottom w:val="single" w:color="auto" w:sz="4" w:space="0"/>
              <w:right w:val="single" w:color="auto" w:sz="4" w:space="0"/>
            </w:tcBorders>
            <w:noWrap w:val="0"/>
            <w:vAlign w:val="top"/>
          </w:tcPr>
          <w:p>
            <w:pPr>
              <w:widowControl/>
              <w:jc w:val="center"/>
              <w:rPr>
                <w:rFonts w:eastAsia="Times New Roman"/>
                <w:kern w:val="0"/>
                <w:sz w:val="22"/>
                <w:szCs w:val="22"/>
                <w:lang w:val="id-ID"/>
              </w:rPr>
            </w:pPr>
            <w:r>
              <w:rPr>
                <w:rFonts w:eastAsia="Times New Roman"/>
                <w:kern w:val="0"/>
                <w:sz w:val="22"/>
                <w:szCs w:val="22"/>
                <w:lang w:val="id-ID"/>
              </w:rPr>
              <w:t>5</w:t>
            </w:r>
          </w:p>
        </w:tc>
        <w:tc>
          <w:tcPr>
            <w:tcW w:w="1081" w:type="dxa"/>
            <w:tcBorders>
              <w:top w:val="single" w:color="auto" w:sz="4" w:space="0"/>
              <w:left w:val="single" w:color="auto" w:sz="4" w:space="0"/>
              <w:bottom w:val="single" w:color="auto" w:sz="4" w:space="0"/>
              <w:right w:val="single" w:color="auto" w:sz="4" w:space="0"/>
            </w:tcBorders>
            <w:noWrap w:val="0"/>
            <w:vAlign w:val="top"/>
          </w:tcPr>
          <w:p>
            <w:pPr>
              <w:widowControl/>
              <w:jc w:val="center"/>
              <w:rPr>
                <w:rFonts w:eastAsia="Times New Roman"/>
                <w:kern w:val="0"/>
                <w:sz w:val="22"/>
                <w:szCs w:val="22"/>
                <w:lang w:val="id-ID"/>
              </w:rPr>
            </w:pPr>
            <w:r>
              <w:rPr>
                <w:rFonts w:hint="eastAsia" w:ascii="等线" w:hAnsi="等线" w:eastAsia="等线" w:cs="等线"/>
                <w:sz w:val="22"/>
                <w:szCs w:val="22"/>
              </w:rPr>
              <w:t>公斤kg</w:t>
            </w:r>
          </w:p>
        </w:tc>
        <w:tc>
          <w:tcPr>
            <w:tcW w:w="222" w:type="dxa"/>
            <w:tcBorders>
              <w:left w:val="single" w:color="auto" w:sz="4" w:space="0"/>
            </w:tcBorders>
            <w:noWrap w:val="0"/>
            <w:vAlign w:val="center"/>
          </w:tcPr>
          <w:p>
            <w:pPr>
              <w:widowControl/>
              <w:jc w:val="left"/>
              <w:rPr>
                <w:rFonts w:eastAsia="Times New Roman"/>
                <w:kern w:val="0"/>
                <w:sz w:val="22"/>
                <w:szCs w:val="22"/>
                <w:lang w:val="id-ID"/>
              </w:rPr>
            </w:pPr>
          </w:p>
        </w:tc>
      </w:tr>
      <w:tr>
        <w:tblPrEx>
          <w:tblLayout w:type="fixed"/>
          <w:tblCellMar>
            <w:top w:w="0" w:type="dxa"/>
            <w:left w:w="108" w:type="dxa"/>
            <w:bottom w:w="0" w:type="dxa"/>
            <w:right w:w="108" w:type="dxa"/>
          </w:tblCellMar>
        </w:tblPrEx>
        <w:trPr>
          <w:trHeight w:val="410" w:hRule="atLeast"/>
        </w:trPr>
        <w:tc>
          <w:tcPr>
            <w:tcW w:w="704" w:type="dxa"/>
            <w:tcBorders>
              <w:top w:val="nil"/>
              <w:left w:val="single" w:color="auto" w:sz="4" w:space="0"/>
              <w:bottom w:val="single" w:color="auto" w:sz="4" w:space="0"/>
              <w:right w:val="single" w:color="auto" w:sz="4" w:space="0"/>
            </w:tcBorders>
            <w:noWrap w:val="0"/>
            <w:vAlign w:val="center"/>
          </w:tcPr>
          <w:p>
            <w:pPr>
              <w:widowControl/>
              <w:adjustRightInd w:val="0"/>
              <w:snapToGrid w:val="0"/>
              <w:jc w:val="center"/>
              <w:rPr>
                <w:rFonts w:eastAsia="等线"/>
                <w:color w:val="000000"/>
                <w:kern w:val="0"/>
                <w:sz w:val="22"/>
                <w:szCs w:val="22"/>
                <w:lang w:val="id-ID"/>
              </w:rPr>
            </w:pPr>
            <w:r>
              <w:rPr>
                <w:rFonts w:eastAsia="等线"/>
                <w:color w:val="000000"/>
                <w:kern w:val="0"/>
                <w:sz w:val="22"/>
                <w:szCs w:val="22"/>
                <w:lang w:val="id-ID"/>
              </w:rPr>
              <w:t>14</w:t>
            </w:r>
          </w:p>
        </w:tc>
        <w:tc>
          <w:tcPr>
            <w:tcW w:w="4967" w:type="dxa"/>
            <w:tcBorders>
              <w:top w:val="nil"/>
              <w:left w:val="nil"/>
              <w:bottom w:val="single" w:color="auto" w:sz="4" w:space="0"/>
              <w:right w:val="single" w:color="auto" w:sz="4" w:space="0"/>
            </w:tcBorders>
            <w:noWrap w:val="0"/>
            <w:vAlign w:val="center"/>
          </w:tcPr>
          <w:p>
            <w:pPr>
              <w:widowControl/>
              <w:adjustRightInd w:val="0"/>
              <w:snapToGrid w:val="0"/>
              <w:jc w:val="left"/>
              <w:rPr>
                <w:rFonts w:eastAsia="等线"/>
                <w:color w:val="000000"/>
                <w:kern w:val="0"/>
                <w:sz w:val="22"/>
                <w:szCs w:val="22"/>
                <w:lang w:val="id-ID"/>
              </w:rPr>
            </w:pPr>
            <w:r>
              <w:rPr>
                <w:rFonts w:eastAsia="等线"/>
                <w:i/>
                <w:iCs/>
                <w:color w:val="000000"/>
                <w:kern w:val="0"/>
                <w:sz w:val="22"/>
                <w:szCs w:val="22"/>
                <w:lang w:val="id-ID"/>
              </w:rPr>
              <w:t>碳粉/墨盒</w:t>
            </w:r>
            <w:r>
              <w:rPr>
                <w:rFonts w:eastAsia="等线"/>
                <w:color w:val="000000"/>
                <w:kern w:val="0"/>
                <w:sz w:val="22"/>
                <w:szCs w:val="22"/>
                <w:lang w:val="id-ID"/>
              </w:rPr>
              <w:t xml:space="preserve">Toner/Catridge </w:t>
            </w:r>
          </w:p>
        </w:tc>
        <w:tc>
          <w:tcPr>
            <w:tcW w:w="1297" w:type="dxa"/>
            <w:tcBorders>
              <w:top w:val="nil"/>
              <w:left w:val="nil"/>
              <w:bottom w:val="single" w:color="auto" w:sz="4" w:space="0"/>
              <w:right w:val="single" w:color="auto" w:sz="4" w:space="0"/>
            </w:tcBorders>
            <w:noWrap w:val="0"/>
            <w:vAlign w:val="center"/>
          </w:tcPr>
          <w:p>
            <w:pPr>
              <w:widowControl/>
              <w:adjustRightInd w:val="0"/>
              <w:snapToGrid w:val="0"/>
              <w:jc w:val="center"/>
              <w:rPr>
                <w:rFonts w:eastAsia="等线"/>
                <w:color w:val="000000"/>
                <w:kern w:val="0"/>
                <w:sz w:val="22"/>
                <w:szCs w:val="22"/>
                <w:lang w:val="id-ID"/>
              </w:rPr>
            </w:pPr>
            <w:r>
              <w:rPr>
                <w:rFonts w:eastAsia="等线"/>
                <w:color w:val="000000"/>
                <w:kern w:val="0"/>
                <w:sz w:val="22"/>
                <w:szCs w:val="22"/>
                <w:lang w:val="id-ID"/>
              </w:rPr>
              <w:t>B353-1</w:t>
            </w:r>
          </w:p>
        </w:tc>
        <w:tc>
          <w:tcPr>
            <w:tcW w:w="1288" w:type="dxa"/>
            <w:tcBorders>
              <w:top w:val="single" w:color="auto" w:sz="4" w:space="0"/>
              <w:bottom w:val="single" w:color="auto" w:sz="4" w:space="0"/>
              <w:right w:val="single" w:color="auto" w:sz="4" w:space="0"/>
            </w:tcBorders>
            <w:noWrap w:val="0"/>
            <w:vAlign w:val="top"/>
          </w:tcPr>
          <w:p>
            <w:pPr>
              <w:widowControl/>
              <w:jc w:val="center"/>
              <w:rPr>
                <w:rFonts w:eastAsia="Times New Roman"/>
                <w:kern w:val="0"/>
                <w:sz w:val="22"/>
                <w:szCs w:val="22"/>
                <w:lang w:val="id-ID"/>
              </w:rPr>
            </w:pPr>
            <w:r>
              <w:rPr>
                <w:rFonts w:eastAsia="Times New Roman"/>
                <w:kern w:val="0"/>
                <w:sz w:val="22"/>
                <w:szCs w:val="22"/>
                <w:lang w:val="id-ID"/>
              </w:rPr>
              <w:t>3</w:t>
            </w:r>
          </w:p>
        </w:tc>
        <w:tc>
          <w:tcPr>
            <w:tcW w:w="1081" w:type="dxa"/>
            <w:tcBorders>
              <w:top w:val="single" w:color="auto" w:sz="4" w:space="0"/>
              <w:left w:val="single" w:color="auto" w:sz="4" w:space="0"/>
              <w:bottom w:val="single" w:color="auto" w:sz="4" w:space="0"/>
              <w:right w:val="single" w:color="auto" w:sz="4" w:space="0"/>
            </w:tcBorders>
            <w:noWrap w:val="0"/>
            <w:vAlign w:val="top"/>
          </w:tcPr>
          <w:p>
            <w:pPr>
              <w:widowControl/>
              <w:jc w:val="center"/>
              <w:rPr>
                <w:rFonts w:eastAsia="Times New Roman"/>
                <w:kern w:val="0"/>
                <w:sz w:val="22"/>
                <w:szCs w:val="22"/>
                <w:lang w:val="id-ID"/>
              </w:rPr>
            </w:pPr>
            <w:r>
              <w:rPr>
                <w:rFonts w:hint="eastAsia" w:ascii="等线" w:hAnsi="等线" w:eastAsia="等线" w:cs="等线"/>
                <w:sz w:val="22"/>
                <w:szCs w:val="22"/>
              </w:rPr>
              <w:t>公斤kg</w:t>
            </w:r>
          </w:p>
        </w:tc>
        <w:tc>
          <w:tcPr>
            <w:tcW w:w="222" w:type="dxa"/>
            <w:tcBorders>
              <w:left w:val="single" w:color="auto" w:sz="4" w:space="0"/>
            </w:tcBorders>
            <w:noWrap w:val="0"/>
            <w:vAlign w:val="center"/>
          </w:tcPr>
          <w:p>
            <w:pPr>
              <w:widowControl/>
              <w:jc w:val="left"/>
              <w:rPr>
                <w:rFonts w:eastAsia="Times New Roman"/>
                <w:kern w:val="0"/>
                <w:sz w:val="22"/>
                <w:szCs w:val="22"/>
                <w:lang w:val="id-ID"/>
              </w:rPr>
            </w:pPr>
          </w:p>
        </w:tc>
      </w:tr>
      <w:tr>
        <w:tblPrEx>
          <w:tblLayout w:type="fixed"/>
          <w:tblCellMar>
            <w:top w:w="0" w:type="dxa"/>
            <w:left w:w="108" w:type="dxa"/>
            <w:bottom w:w="0" w:type="dxa"/>
            <w:right w:w="108" w:type="dxa"/>
          </w:tblCellMar>
        </w:tblPrEx>
        <w:trPr>
          <w:trHeight w:val="560" w:hRule="atLeast"/>
        </w:trPr>
        <w:tc>
          <w:tcPr>
            <w:tcW w:w="704" w:type="dxa"/>
            <w:tcBorders>
              <w:top w:val="nil"/>
              <w:left w:val="single" w:color="auto" w:sz="4" w:space="0"/>
              <w:bottom w:val="single" w:color="auto" w:sz="4" w:space="0"/>
              <w:right w:val="single" w:color="auto" w:sz="4" w:space="0"/>
            </w:tcBorders>
            <w:noWrap w:val="0"/>
            <w:vAlign w:val="center"/>
          </w:tcPr>
          <w:p>
            <w:pPr>
              <w:widowControl/>
              <w:adjustRightInd w:val="0"/>
              <w:snapToGrid w:val="0"/>
              <w:jc w:val="center"/>
              <w:rPr>
                <w:rFonts w:hint="eastAsia" w:eastAsia="等线"/>
                <w:color w:val="000000"/>
                <w:kern w:val="0"/>
                <w:sz w:val="22"/>
                <w:szCs w:val="22"/>
                <w:lang w:val="en-US" w:eastAsia="zh-CN"/>
              </w:rPr>
            </w:pPr>
            <w:r>
              <w:rPr>
                <w:rFonts w:eastAsia="等线"/>
                <w:color w:val="000000"/>
                <w:kern w:val="0"/>
                <w:sz w:val="22"/>
                <w:szCs w:val="22"/>
                <w:lang w:val="id-ID"/>
              </w:rPr>
              <w:t>1</w:t>
            </w:r>
            <w:r>
              <w:rPr>
                <w:rFonts w:hint="eastAsia" w:eastAsia="等线"/>
                <w:color w:val="000000"/>
                <w:kern w:val="0"/>
                <w:sz w:val="22"/>
                <w:szCs w:val="22"/>
                <w:lang w:val="en-US" w:eastAsia="zh-CN"/>
              </w:rPr>
              <w:t>5</w:t>
            </w:r>
          </w:p>
        </w:tc>
        <w:tc>
          <w:tcPr>
            <w:tcW w:w="4967" w:type="dxa"/>
            <w:tcBorders>
              <w:top w:val="nil"/>
              <w:left w:val="nil"/>
              <w:bottom w:val="single" w:color="auto" w:sz="4" w:space="0"/>
              <w:right w:val="single" w:color="auto" w:sz="4" w:space="0"/>
            </w:tcBorders>
            <w:noWrap w:val="0"/>
            <w:vAlign w:val="center"/>
          </w:tcPr>
          <w:p>
            <w:pPr>
              <w:widowControl/>
              <w:adjustRightInd w:val="0"/>
              <w:snapToGrid w:val="0"/>
              <w:jc w:val="left"/>
              <w:rPr>
                <w:rFonts w:eastAsia="等线"/>
                <w:color w:val="000000"/>
                <w:kern w:val="0"/>
                <w:sz w:val="22"/>
                <w:szCs w:val="22"/>
                <w:lang w:val="id-ID"/>
              </w:rPr>
            </w:pPr>
            <w:r>
              <w:rPr>
                <w:rFonts w:eastAsia="等线"/>
                <w:i/>
                <w:iCs/>
                <w:color w:val="000000"/>
                <w:kern w:val="0"/>
                <w:sz w:val="22"/>
                <w:szCs w:val="22"/>
                <w:lang w:val="id-ID"/>
              </w:rPr>
              <w:t>电子废弃物</w:t>
            </w:r>
            <w:r>
              <w:rPr>
                <w:rFonts w:eastAsia="等线"/>
                <w:color w:val="000000"/>
                <w:kern w:val="0"/>
                <w:sz w:val="22"/>
                <w:szCs w:val="22"/>
                <w:lang w:val="id-ID"/>
              </w:rPr>
              <w:t xml:space="preserve">Limbah elektronik </w:t>
            </w:r>
          </w:p>
        </w:tc>
        <w:tc>
          <w:tcPr>
            <w:tcW w:w="1297" w:type="dxa"/>
            <w:tcBorders>
              <w:top w:val="nil"/>
              <w:left w:val="nil"/>
              <w:bottom w:val="single" w:color="auto" w:sz="4" w:space="0"/>
              <w:right w:val="single" w:color="auto" w:sz="4" w:space="0"/>
            </w:tcBorders>
            <w:noWrap w:val="0"/>
            <w:vAlign w:val="center"/>
          </w:tcPr>
          <w:p>
            <w:pPr>
              <w:widowControl/>
              <w:adjustRightInd w:val="0"/>
              <w:snapToGrid w:val="0"/>
              <w:jc w:val="center"/>
              <w:rPr>
                <w:rFonts w:eastAsia="等线"/>
                <w:color w:val="000000"/>
                <w:kern w:val="0"/>
                <w:sz w:val="22"/>
                <w:szCs w:val="22"/>
                <w:lang w:val="id-ID"/>
              </w:rPr>
            </w:pPr>
            <w:r>
              <w:rPr>
                <w:rFonts w:eastAsia="等线"/>
                <w:color w:val="000000"/>
                <w:kern w:val="0"/>
                <w:sz w:val="22"/>
                <w:szCs w:val="22"/>
                <w:lang w:val="id-ID"/>
              </w:rPr>
              <w:t>B107d</w:t>
            </w:r>
          </w:p>
        </w:tc>
        <w:tc>
          <w:tcPr>
            <w:tcW w:w="1288" w:type="dxa"/>
            <w:tcBorders>
              <w:top w:val="single" w:color="auto" w:sz="4" w:space="0"/>
              <w:bottom w:val="single" w:color="auto" w:sz="4" w:space="0"/>
              <w:right w:val="single" w:color="auto" w:sz="4" w:space="0"/>
            </w:tcBorders>
            <w:noWrap w:val="0"/>
            <w:vAlign w:val="top"/>
          </w:tcPr>
          <w:p>
            <w:pPr>
              <w:widowControl/>
              <w:jc w:val="center"/>
              <w:rPr>
                <w:rFonts w:eastAsia="Times New Roman"/>
                <w:kern w:val="0"/>
                <w:sz w:val="22"/>
                <w:szCs w:val="22"/>
                <w:lang w:val="id-ID"/>
              </w:rPr>
            </w:pPr>
            <w:r>
              <w:rPr>
                <w:rFonts w:eastAsia="Times New Roman"/>
                <w:kern w:val="0"/>
                <w:sz w:val="22"/>
                <w:szCs w:val="22"/>
                <w:lang w:val="id-ID"/>
              </w:rPr>
              <w:t>5</w:t>
            </w:r>
          </w:p>
        </w:tc>
        <w:tc>
          <w:tcPr>
            <w:tcW w:w="1081" w:type="dxa"/>
            <w:tcBorders>
              <w:top w:val="single" w:color="auto" w:sz="4" w:space="0"/>
              <w:left w:val="single" w:color="auto" w:sz="4" w:space="0"/>
              <w:bottom w:val="single" w:color="auto" w:sz="4" w:space="0"/>
              <w:right w:val="single" w:color="auto" w:sz="4" w:space="0"/>
            </w:tcBorders>
            <w:noWrap w:val="0"/>
            <w:vAlign w:val="top"/>
          </w:tcPr>
          <w:p>
            <w:pPr>
              <w:widowControl/>
              <w:jc w:val="center"/>
              <w:rPr>
                <w:rFonts w:eastAsia="Times New Roman"/>
                <w:kern w:val="0"/>
                <w:sz w:val="22"/>
                <w:szCs w:val="22"/>
                <w:lang w:val="id-ID"/>
              </w:rPr>
            </w:pPr>
            <w:r>
              <w:rPr>
                <w:rFonts w:hint="eastAsia" w:ascii="等线" w:hAnsi="等线" w:eastAsia="等线" w:cs="等线"/>
                <w:sz w:val="22"/>
                <w:szCs w:val="22"/>
              </w:rPr>
              <w:t>公斤kg</w:t>
            </w:r>
          </w:p>
        </w:tc>
        <w:tc>
          <w:tcPr>
            <w:tcW w:w="222" w:type="dxa"/>
            <w:tcBorders>
              <w:left w:val="single" w:color="auto" w:sz="4" w:space="0"/>
            </w:tcBorders>
            <w:noWrap w:val="0"/>
            <w:vAlign w:val="center"/>
          </w:tcPr>
          <w:p>
            <w:pPr>
              <w:widowControl/>
              <w:jc w:val="left"/>
              <w:rPr>
                <w:rFonts w:eastAsia="Times New Roman"/>
                <w:kern w:val="0"/>
                <w:sz w:val="22"/>
                <w:szCs w:val="22"/>
                <w:lang w:val="id-ID"/>
              </w:rPr>
            </w:pPr>
          </w:p>
        </w:tc>
      </w:tr>
      <w:tr>
        <w:tblPrEx>
          <w:tblLayout w:type="fixed"/>
          <w:tblCellMar>
            <w:top w:w="0" w:type="dxa"/>
            <w:left w:w="108" w:type="dxa"/>
            <w:bottom w:w="0" w:type="dxa"/>
            <w:right w:w="108" w:type="dxa"/>
          </w:tblCellMar>
        </w:tblPrEx>
        <w:trPr>
          <w:trHeight w:val="560" w:hRule="atLeast"/>
        </w:trPr>
        <w:tc>
          <w:tcPr>
            <w:tcW w:w="704" w:type="dxa"/>
            <w:tcBorders>
              <w:top w:val="nil"/>
              <w:left w:val="single" w:color="auto" w:sz="4" w:space="0"/>
              <w:bottom w:val="single" w:color="auto" w:sz="4" w:space="0"/>
              <w:right w:val="single" w:color="auto" w:sz="4" w:space="0"/>
            </w:tcBorders>
            <w:noWrap w:val="0"/>
            <w:vAlign w:val="center"/>
          </w:tcPr>
          <w:p>
            <w:pPr>
              <w:widowControl/>
              <w:adjustRightInd w:val="0"/>
              <w:snapToGrid w:val="0"/>
              <w:jc w:val="center"/>
              <w:rPr>
                <w:rFonts w:hint="eastAsia" w:eastAsia="等线"/>
                <w:color w:val="000000"/>
                <w:kern w:val="0"/>
                <w:sz w:val="22"/>
                <w:szCs w:val="22"/>
                <w:lang w:val="en-US" w:eastAsia="zh-CN"/>
              </w:rPr>
            </w:pPr>
            <w:r>
              <w:rPr>
                <w:rFonts w:eastAsia="等线"/>
                <w:color w:val="000000"/>
                <w:kern w:val="0"/>
                <w:sz w:val="22"/>
                <w:szCs w:val="22"/>
                <w:lang w:val="id-ID"/>
              </w:rPr>
              <w:t>1</w:t>
            </w:r>
            <w:r>
              <w:rPr>
                <w:rFonts w:hint="eastAsia" w:eastAsia="等线"/>
                <w:color w:val="000000"/>
                <w:kern w:val="0"/>
                <w:sz w:val="22"/>
                <w:szCs w:val="22"/>
                <w:lang w:val="en-US" w:eastAsia="zh-CN"/>
              </w:rPr>
              <w:t>6</w:t>
            </w:r>
          </w:p>
        </w:tc>
        <w:tc>
          <w:tcPr>
            <w:tcW w:w="4967" w:type="dxa"/>
            <w:tcBorders>
              <w:top w:val="nil"/>
              <w:left w:val="nil"/>
              <w:bottom w:val="single" w:color="auto" w:sz="4" w:space="0"/>
              <w:right w:val="single" w:color="auto" w:sz="4" w:space="0"/>
            </w:tcBorders>
            <w:noWrap w:val="0"/>
            <w:vAlign w:val="center"/>
          </w:tcPr>
          <w:p>
            <w:pPr>
              <w:widowControl/>
              <w:adjustRightInd w:val="0"/>
              <w:snapToGrid w:val="0"/>
              <w:jc w:val="left"/>
              <w:rPr>
                <w:rFonts w:eastAsia="等线"/>
                <w:color w:val="000000"/>
                <w:kern w:val="0"/>
                <w:sz w:val="22"/>
                <w:szCs w:val="22"/>
                <w:lang w:val="id-ID"/>
              </w:rPr>
            </w:pPr>
            <w:r>
              <w:rPr>
                <w:rFonts w:eastAsia="等线"/>
                <w:i/>
                <w:iCs/>
                <w:color w:val="000000"/>
                <w:kern w:val="0"/>
                <w:sz w:val="22"/>
                <w:szCs w:val="22"/>
                <w:lang w:val="id-ID"/>
              </w:rPr>
              <w:t>被有毒和有害物质污染的废物</w:t>
            </w:r>
            <w:r>
              <w:rPr>
                <w:rFonts w:eastAsia="等线"/>
                <w:color w:val="000000"/>
                <w:kern w:val="0"/>
                <w:sz w:val="22"/>
                <w:szCs w:val="22"/>
                <w:lang w:val="id-ID"/>
              </w:rPr>
              <w:t xml:space="preserve">Limbah B3 terkontaminasi  </w:t>
            </w:r>
          </w:p>
        </w:tc>
        <w:tc>
          <w:tcPr>
            <w:tcW w:w="1297" w:type="dxa"/>
            <w:tcBorders>
              <w:top w:val="nil"/>
              <w:left w:val="nil"/>
              <w:bottom w:val="single" w:color="auto" w:sz="4" w:space="0"/>
              <w:right w:val="single" w:color="auto" w:sz="4" w:space="0"/>
            </w:tcBorders>
            <w:noWrap w:val="0"/>
            <w:vAlign w:val="center"/>
          </w:tcPr>
          <w:p>
            <w:pPr>
              <w:widowControl/>
              <w:adjustRightInd w:val="0"/>
              <w:snapToGrid w:val="0"/>
              <w:jc w:val="center"/>
              <w:rPr>
                <w:rFonts w:eastAsia="等线"/>
                <w:color w:val="000000"/>
                <w:kern w:val="0"/>
                <w:sz w:val="22"/>
                <w:szCs w:val="22"/>
                <w:lang w:val="id-ID"/>
              </w:rPr>
            </w:pPr>
            <w:r>
              <w:rPr>
                <w:rFonts w:eastAsia="等线"/>
                <w:color w:val="000000"/>
                <w:kern w:val="0"/>
                <w:sz w:val="22"/>
                <w:szCs w:val="22"/>
                <w:lang w:val="id-ID"/>
              </w:rPr>
              <w:t>A108d</w:t>
            </w:r>
          </w:p>
        </w:tc>
        <w:tc>
          <w:tcPr>
            <w:tcW w:w="1288" w:type="dxa"/>
            <w:tcBorders>
              <w:top w:val="single" w:color="auto" w:sz="4" w:space="0"/>
              <w:bottom w:val="single" w:color="auto" w:sz="4" w:space="0"/>
              <w:right w:val="single" w:color="auto" w:sz="4" w:space="0"/>
            </w:tcBorders>
            <w:noWrap w:val="0"/>
            <w:vAlign w:val="top"/>
          </w:tcPr>
          <w:p>
            <w:pPr>
              <w:widowControl/>
              <w:jc w:val="center"/>
              <w:rPr>
                <w:rFonts w:eastAsia="Times New Roman"/>
                <w:kern w:val="0"/>
                <w:sz w:val="22"/>
                <w:szCs w:val="22"/>
                <w:lang w:val="id-ID"/>
              </w:rPr>
            </w:pPr>
            <w:r>
              <w:rPr>
                <w:rFonts w:eastAsia="Times New Roman"/>
                <w:kern w:val="0"/>
                <w:sz w:val="22"/>
                <w:szCs w:val="22"/>
                <w:lang w:val="id-ID"/>
              </w:rPr>
              <w:t>10</w:t>
            </w:r>
          </w:p>
        </w:tc>
        <w:tc>
          <w:tcPr>
            <w:tcW w:w="1081" w:type="dxa"/>
            <w:tcBorders>
              <w:top w:val="single" w:color="auto" w:sz="4" w:space="0"/>
              <w:left w:val="single" w:color="auto" w:sz="4" w:space="0"/>
              <w:bottom w:val="single" w:color="auto" w:sz="4" w:space="0"/>
              <w:right w:val="single" w:color="auto" w:sz="4" w:space="0"/>
            </w:tcBorders>
            <w:noWrap w:val="0"/>
            <w:vAlign w:val="top"/>
          </w:tcPr>
          <w:p>
            <w:pPr>
              <w:widowControl/>
              <w:jc w:val="center"/>
              <w:rPr>
                <w:rFonts w:eastAsia="Times New Roman"/>
                <w:kern w:val="0"/>
                <w:sz w:val="22"/>
                <w:szCs w:val="22"/>
                <w:lang w:val="id-ID"/>
              </w:rPr>
            </w:pPr>
            <w:r>
              <w:rPr>
                <w:rFonts w:hint="eastAsia" w:ascii="等线" w:hAnsi="等线" w:eastAsia="等线" w:cs="等线"/>
                <w:sz w:val="22"/>
                <w:szCs w:val="22"/>
              </w:rPr>
              <w:t>公斤kg</w:t>
            </w:r>
          </w:p>
        </w:tc>
        <w:tc>
          <w:tcPr>
            <w:tcW w:w="222" w:type="dxa"/>
            <w:tcBorders>
              <w:left w:val="single" w:color="auto" w:sz="4" w:space="0"/>
            </w:tcBorders>
            <w:noWrap w:val="0"/>
            <w:vAlign w:val="center"/>
          </w:tcPr>
          <w:p>
            <w:pPr>
              <w:widowControl/>
              <w:jc w:val="left"/>
              <w:rPr>
                <w:rFonts w:eastAsia="Times New Roman"/>
                <w:kern w:val="0"/>
                <w:sz w:val="22"/>
                <w:szCs w:val="22"/>
                <w:lang w:val="id-ID"/>
              </w:rPr>
            </w:pPr>
          </w:p>
        </w:tc>
      </w:tr>
      <w:tr>
        <w:tblPrEx>
          <w:tblLayout w:type="fixed"/>
          <w:tblCellMar>
            <w:top w:w="0" w:type="dxa"/>
            <w:left w:w="108" w:type="dxa"/>
            <w:bottom w:w="0" w:type="dxa"/>
            <w:right w:w="108" w:type="dxa"/>
          </w:tblCellMar>
        </w:tblPrEx>
        <w:trPr>
          <w:trHeight w:val="560" w:hRule="atLeast"/>
        </w:trPr>
        <w:tc>
          <w:tcPr>
            <w:tcW w:w="704" w:type="dxa"/>
            <w:tcBorders>
              <w:top w:val="nil"/>
              <w:left w:val="single" w:color="auto" w:sz="4" w:space="0"/>
              <w:bottom w:val="single" w:color="auto" w:sz="4" w:space="0"/>
              <w:right w:val="single" w:color="auto" w:sz="4" w:space="0"/>
            </w:tcBorders>
            <w:noWrap w:val="0"/>
            <w:vAlign w:val="center"/>
          </w:tcPr>
          <w:p>
            <w:pPr>
              <w:widowControl/>
              <w:adjustRightInd w:val="0"/>
              <w:snapToGrid w:val="0"/>
              <w:jc w:val="center"/>
              <w:rPr>
                <w:rFonts w:hint="eastAsia" w:eastAsia="等线"/>
                <w:color w:val="000000"/>
                <w:kern w:val="0"/>
                <w:sz w:val="22"/>
                <w:szCs w:val="22"/>
                <w:lang w:val="en-US" w:eastAsia="zh-CN"/>
              </w:rPr>
            </w:pPr>
            <w:r>
              <w:rPr>
                <w:rFonts w:eastAsia="等线"/>
                <w:color w:val="000000"/>
                <w:kern w:val="0"/>
                <w:sz w:val="22"/>
                <w:szCs w:val="22"/>
                <w:lang w:val="id-ID"/>
              </w:rPr>
              <w:t>1</w:t>
            </w:r>
            <w:r>
              <w:rPr>
                <w:rFonts w:hint="eastAsia" w:eastAsia="等线"/>
                <w:color w:val="000000"/>
                <w:kern w:val="0"/>
                <w:sz w:val="22"/>
                <w:szCs w:val="22"/>
                <w:lang w:val="en-US" w:eastAsia="zh-CN"/>
              </w:rPr>
              <w:t>7</w:t>
            </w:r>
          </w:p>
        </w:tc>
        <w:tc>
          <w:tcPr>
            <w:tcW w:w="4967" w:type="dxa"/>
            <w:tcBorders>
              <w:top w:val="nil"/>
              <w:left w:val="nil"/>
              <w:bottom w:val="single" w:color="auto" w:sz="4" w:space="0"/>
              <w:right w:val="single" w:color="auto" w:sz="4" w:space="0"/>
            </w:tcBorders>
            <w:noWrap w:val="0"/>
            <w:vAlign w:val="center"/>
          </w:tcPr>
          <w:p>
            <w:pPr>
              <w:widowControl/>
              <w:adjustRightInd w:val="0"/>
              <w:snapToGrid w:val="0"/>
              <w:jc w:val="left"/>
              <w:rPr>
                <w:rFonts w:eastAsia="等线"/>
                <w:color w:val="000000"/>
                <w:kern w:val="0"/>
                <w:sz w:val="22"/>
                <w:szCs w:val="22"/>
                <w:lang w:val="id-ID"/>
              </w:rPr>
            </w:pPr>
            <w:r>
              <w:rPr>
                <w:rFonts w:eastAsia="等线"/>
                <w:i/>
                <w:iCs/>
                <w:color w:val="000000"/>
                <w:kern w:val="0"/>
                <w:sz w:val="22"/>
                <w:szCs w:val="22"/>
                <w:lang w:val="id-ID"/>
              </w:rPr>
              <w:t>二手荧光灯</w:t>
            </w:r>
            <w:r>
              <w:rPr>
                <w:rFonts w:eastAsia="等线"/>
                <w:color w:val="000000"/>
                <w:kern w:val="0"/>
                <w:sz w:val="22"/>
                <w:szCs w:val="22"/>
                <w:lang w:val="id-ID"/>
              </w:rPr>
              <w:t xml:space="preserve">Lampu TL Bekas </w:t>
            </w:r>
          </w:p>
        </w:tc>
        <w:tc>
          <w:tcPr>
            <w:tcW w:w="1297" w:type="dxa"/>
            <w:tcBorders>
              <w:top w:val="nil"/>
              <w:left w:val="nil"/>
              <w:bottom w:val="single" w:color="auto" w:sz="4" w:space="0"/>
              <w:right w:val="single" w:color="auto" w:sz="4" w:space="0"/>
            </w:tcBorders>
            <w:noWrap w:val="0"/>
            <w:vAlign w:val="center"/>
          </w:tcPr>
          <w:p>
            <w:pPr>
              <w:widowControl/>
              <w:adjustRightInd w:val="0"/>
              <w:snapToGrid w:val="0"/>
              <w:jc w:val="center"/>
              <w:rPr>
                <w:rFonts w:eastAsia="等线"/>
                <w:color w:val="000000"/>
                <w:kern w:val="0"/>
                <w:sz w:val="22"/>
                <w:szCs w:val="22"/>
                <w:lang w:val="id-ID"/>
              </w:rPr>
            </w:pPr>
            <w:r>
              <w:rPr>
                <w:rFonts w:eastAsia="等线"/>
                <w:color w:val="000000"/>
                <w:kern w:val="0"/>
                <w:sz w:val="22"/>
                <w:szCs w:val="22"/>
                <w:lang w:val="id-ID"/>
              </w:rPr>
              <w:t>B107d</w:t>
            </w:r>
          </w:p>
        </w:tc>
        <w:tc>
          <w:tcPr>
            <w:tcW w:w="1288" w:type="dxa"/>
            <w:tcBorders>
              <w:top w:val="single" w:color="auto" w:sz="4" w:space="0"/>
              <w:bottom w:val="single" w:color="auto" w:sz="4" w:space="0"/>
              <w:right w:val="single" w:color="auto" w:sz="4" w:space="0"/>
            </w:tcBorders>
            <w:noWrap w:val="0"/>
            <w:vAlign w:val="top"/>
          </w:tcPr>
          <w:p>
            <w:pPr>
              <w:widowControl/>
              <w:jc w:val="center"/>
              <w:rPr>
                <w:rFonts w:eastAsia="Times New Roman"/>
                <w:kern w:val="0"/>
                <w:sz w:val="22"/>
                <w:szCs w:val="22"/>
                <w:lang w:val="id-ID"/>
              </w:rPr>
            </w:pPr>
            <w:r>
              <w:rPr>
                <w:rFonts w:eastAsia="Times New Roman"/>
                <w:kern w:val="0"/>
                <w:sz w:val="22"/>
                <w:szCs w:val="22"/>
                <w:lang w:val="id-ID"/>
              </w:rPr>
              <w:t>2</w:t>
            </w:r>
          </w:p>
        </w:tc>
        <w:tc>
          <w:tcPr>
            <w:tcW w:w="1081" w:type="dxa"/>
            <w:tcBorders>
              <w:top w:val="single" w:color="auto" w:sz="4" w:space="0"/>
              <w:left w:val="single" w:color="auto" w:sz="4" w:space="0"/>
              <w:bottom w:val="single" w:color="auto" w:sz="4" w:space="0"/>
              <w:right w:val="single" w:color="auto" w:sz="4" w:space="0"/>
            </w:tcBorders>
            <w:noWrap w:val="0"/>
            <w:vAlign w:val="top"/>
          </w:tcPr>
          <w:p>
            <w:pPr>
              <w:widowControl/>
              <w:jc w:val="center"/>
              <w:rPr>
                <w:rFonts w:eastAsia="Times New Roman"/>
                <w:kern w:val="0"/>
                <w:sz w:val="22"/>
                <w:szCs w:val="22"/>
                <w:lang w:val="id-ID"/>
              </w:rPr>
            </w:pPr>
            <w:r>
              <w:rPr>
                <w:rFonts w:hint="eastAsia" w:ascii="等线" w:hAnsi="等线" w:eastAsia="等线" w:cs="等线"/>
                <w:sz w:val="22"/>
                <w:szCs w:val="22"/>
              </w:rPr>
              <w:t>公斤kg</w:t>
            </w:r>
          </w:p>
        </w:tc>
        <w:tc>
          <w:tcPr>
            <w:tcW w:w="222" w:type="dxa"/>
            <w:tcBorders>
              <w:left w:val="single" w:color="auto" w:sz="4" w:space="0"/>
            </w:tcBorders>
            <w:noWrap w:val="0"/>
            <w:vAlign w:val="center"/>
          </w:tcPr>
          <w:p>
            <w:pPr>
              <w:widowControl/>
              <w:jc w:val="left"/>
              <w:rPr>
                <w:rFonts w:eastAsia="Times New Roman"/>
                <w:kern w:val="0"/>
                <w:sz w:val="22"/>
                <w:szCs w:val="22"/>
                <w:lang w:val="id-ID"/>
              </w:rPr>
            </w:pPr>
          </w:p>
        </w:tc>
      </w:tr>
    </w:tbl>
    <w:p>
      <w:pPr>
        <w:widowControl/>
        <w:ind w:firstLine="0" w:firstLineChars="0"/>
        <w:jc w:val="left"/>
        <w:rPr>
          <w:rFonts w:hint="eastAsia" w:ascii="宋体" w:hAnsi="宋体" w:eastAsia="宋体" w:cs="宋体"/>
          <w:bCs/>
          <w:position w:val="0"/>
          <w:sz w:val="21"/>
          <w:szCs w:val="21"/>
        </w:rPr>
      </w:pPr>
    </w:p>
    <w:p>
      <w:pPr>
        <w:widowControl/>
        <w:ind w:firstLine="0" w:firstLineChars="0"/>
        <w:jc w:val="left"/>
        <w:rPr>
          <w:rFonts w:hint="eastAsia" w:ascii="宋体" w:hAnsi="宋体" w:eastAsia="宋体" w:cs="宋体"/>
          <w:bCs/>
          <w:position w:val="0"/>
          <w:sz w:val="21"/>
          <w:szCs w:val="21"/>
        </w:rPr>
      </w:pPr>
    </w:p>
    <w:p>
      <w:pPr>
        <w:snapToGrid w:val="0"/>
        <w:spacing w:line="480" w:lineRule="auto"/>
        <w:jc w:val="center"/>
        <w:rPr>
          <w:b/>
          <w:spacing w:val="40"/>
          <w:sz w:val="28"/>
          <w:szCs w:val="28"/>
        </w:rPr>
      </w:pPr>
      <w:r>
        <w:rPr>
          <w:b/>
          <w:spacing w:val="40"/>
          <w:sz w:val="28"/>
          <w:szCs w:val="28"/>
        </w:rPr>
        <w:t>中国华电集团发电运营有限公司</w:t>
      </w:r>
    </w:p>
    <w:p>
      <w:pPr>
        <w:pStyle w:val="7"/>
        <w:snapToGrid w:val="0"/>
        <w:spacing w:after="0" w:line="480" w:lineRule="auto"/>
        <w:jc w:val="center"/>
        <w:rPr>
          <w:b/>
          <w:spacing w:val="40"/>
          <w:sz w:val="28"/>
          <w:szCs w:val="28"/>
        </w:rPr>
      </w:pPr>
      <w:r>
        <w:rPr>
          <w:b/>
          <w:spacing w:val="40"/>
          <w:sz w:val="28"/>
          <w:szCs w:val="28"/>
        </w:rPr>
        <w:t>印尼玻雅分公司</w:t>
      </w:r>
    </w:p>
    <w:p>
      <w:pPr>
        <w:pStyle w:val="3"/>
        <w:spacing w:line="480" w:lineRule="auto"/>
        <w:ind w:firstLine="0"/>
        <w:jc w:val="center"/>
        <w:rPr>
          <w:b/>
          <w:sz w:val="28"/>
          <w:szCs w:val="28"/>
        </w:rPr>
      </w:pPr>
      <w:r>
        <w:rPr>
          <w:b/>
          <w:sz w:val="28"/>
          <w:szCs w:val="28"/>
        </w:rPr>
        <w:t>PT. CHD POWERPLANT OPERATION INDONESIA</w:t>
      </w:r>
    </w:p>
    <w:p>
      <w:pPr>
        <w:pStyle w:val="3"/>
        <w:spacing w:line="480" w:lineRule="auto"/>
        <w:ind w:firstLine="0"/>
        <w:jc w:val="center"/>
        <w:rPr>
          <w:b/>
          <w:spacing w:val="40"/>
          <w:sz w:val="28"/>
          <w:szCs w:val="28"/>
        </w:rPr>
      </w:pPr>
      <w:r>
        <w:rPr>
          <w:b/>
          <w:sz w:val="28"/>
          <w:szCs w:val="28"/>
        </w:rPr>
        <w:t>MUARA ENIM BRANCH</w:t>
      </w:r>
    </w:p>
    <w:p>
      <w:pPr>
        <w:spacing w:line="480" w:lineRule="auto"/>
        <w:jc w:val="center"/>
        <w:rPr>
          <w:b/>
          <w:spacing w:val="40"/>
          <w:sz w:val="28"/>
          <w:szCs w:val="28"/>
        </w:rPr>
      </w:pPr>
      <w:r>
        <w:rPr>
          <w:b/>
          <w:spacing w:val="40"/>
          <w:sz w:val="28"/>
          <w:szCs w:val="28"/>
        </w:rPr>
        <mc:AlternateContent>
          <mc:Choice Requires="wps">
            <w:drawing>
              <wp:anchor distT="0" distB="0" distL="114300" distR="114300" simplePos="0" relativeHeight="251658240" behindDoc="0" locked="0" layoutInCell="1" allowOverlap="1">
                <wp:simplePos x="0" y="0"/>
                <wp:positionH relativeFrom="column">
                  <wp:posOffset>114300</wp:posOffset>
                </wp:positionH>
                <wp:positionV relativeFrom="paragraph">
                  <wp:posOffset>176530</wp:posOffset>
                </wp:positionV>
                <wp:extent cx="5168265" cy="635"/>
                <wp:effectExtent l="0" t="28575" r="13335" b="31750"/>
                <wp:wrapNone/>
                <wp:docPr id="2" name="直接连接符 2"/>
                <wp:cNvGraphicFramePr/>
                <a:graphic xmlns:a="http://schemas.openxmlformats.org/drawingml/2006/main">
                  <a:graphicData uri="http://schemas.microsoft.com/office/word/2010/wordprocessingShape">
                    <wps:wsp>
                      <wps:cNvCnPr/>
                      <wps:spPr>
                        <a:xfrm>
                          <a:off x="0" y="0"/>
                          <a:ext cx="5168265" cy="635"/>
                        </a:xfrm>
                        <a:prstGeom prst="line">
                          <a:avLst/>
                        </a:prstGeom>
                        <a:ln w="57150" cap="flat" cmpd="thinThick">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9pt;margin-top:13.9pt;height:0.05pt;width:406.95pt;z-index:251658240;mso-width-relative:page;mso-height-relative:page;" filled="f" stroked="t" coordsize="21600,21600" o:gfxdata="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">
                <v:fill on="f" focussize="0,0"/>
                <v:stroke weight="4.5pt" color="#000000" linestyle="thinThick" joinstyle="round"/>
                <v:imagedata o:title=""/>
                <o:lock v:ext="edit" aspectratio="f"/>
              </v:line>
            </w:pict>
          </mc:Fallback>
        </mc:AlternateContent>
      </w:r>
    </w:p>
    <w:p>
      <w:pPr>
        <w:spacing w:line="480" w:lineRule="auto"/>
        <w:ind w:firstLine="16"/>
        <w:jc w:val="center"/>
        <w:rPr>
          <w:b/>
          <w:spacing w:val="20"/>
          <w:sz w:val="28"/>
          <w:szCs w:val="28"/>
        </w:rPr>
      </w:pPr>
      <w:r>
        <w:rPr>
          <w:rFonts w:hint="eastAsia"/>
          <w:b/>
          <w:spacing w:val="20"/>
          <w:sz w:val="28"/>
          <w:szCs w:val="28"/>
        </w:rPr>
        <w:t>2025年-2026年全厂固废、危废处理</w:t>
      </w:r>
    </w:p>
    <w:p>
      <w:pPr>
        <w:spacing w:line="480" w:lineRule="auto"/>
        <w:jc w:val="center"/>
        <w:rPr>
          <w:b/>
          <w:spacing w:val="20"/>
          <w:sz w:val="32"/>
          <w:szCs w:val="32"/>
        </w:rPr>
      </w:pPr>
      <w:r>
        <w:rPr>
          <w:b/>
          <w:sz w:val="28"/>
          <w:szCs w:val="28"/>
        </w:rPr>
        <w:t>WHOLE-PLANT SOLID WASTE AND HAZARDOUS TOXIC WASTE MANAGEMENT FOR 2025–2026</w:t>
      </w:r>
    </w:p>
    <w:p>
      <w:pPr>
        <w:spacing w:line="480" w:lineRule="auto"/>
        <w:ind w:firstLine="16"/>
        <w:jc w:val="center"/>
        <w:rPr>
          <w:bCs/>
          <w:spacing w:val="20"/>
          <w:sz w:val="28"/>
          <w:szCs w:val="28"/>
        </w:rPr>
      </w:pPr>
    </w:p>
    <w:p>
      <w:pPr>
        <w:spacing w:line="480" w:lineRule="auto"/>
        <w:ind w:firstLine="16"/>
        <w:jc w:val="center"/>
        <w:rPr>
          <w:bCs/>
          <w:spacing w:val="20"/>
          <w:sz w:val="28"/>
          <w:szCs w:val="28"/>
        </w:rPr>
      </w:pPr>
      <w:r>
        <w:rPr>
          <w:bCs/>
          <w:spacing w:val="20"/>
          <w:sz w:val="28"/>
          <w:szCs w:val="28"/>
        </w:rPr>
        <w:t>技术规范书</w:t>
      </w:r>
    </w:p>
    <w:p>
      <w:pPr>
        <w:pStyle w:val="2"/>
        <w:spacing w:before="0" w:after="0" w:line="480" w:lineRule="auto"/>
        <w:jc w:val="center"/>
        <w:rPr>
          <w:rFonts w:hint="default" w:ascii="Times New Roman" w:hAnsi="Times New Roman"/>
          <w:spacing w:val="20"/>
          <w:sz w:val="28"/>
          <w:szCs w:val="28"/>
        </w:rPr>
      </w:pPr>
      <w:r>
        <w:rPr>
          <w:rFonts w:hint="default" w:ascii="Times New Roman" w:hAnsi="Times New Roman"/>
          <w:sz w:val="28"/>
          <w:szCs w:val="28"/>
        </w:rPr>
        <w:t>Technical Specification</w:t>
      </w:r>
    </w:p>
    <w:p>
      <w:pPr>
        <w:spacing w:line="480" w:lineRule="auto"/>
        <w:rPr>
          <w:sz w:val="28"/>
          <w:szCs w:val="28"/>
        </w:rPr>
      </w:pPr>
      <w:r>
        <w:rPr>
          <w:sz w:val="28"/>
          <w:szCs w:val="28"/>
        </w:rPr>
        <w:t xml:space="preserve">              </w:t>
      </w:r>
    </w:p>
    <w:p>
      <w:pPr>
        <w:spacing w:line="480" w:lineRule="auto"/>
        <w:rPr>
          <w:b/>
          <w:outline/>
          <w:color w:val="FFFFFF"/>
          <w:sz w:val="28"/>
          <w:szCs w:val="28"/>
          <w14:textOutline w14:w="9525" w14:cap="flat" w14:cmpd="sng" w14:algn="ctr">
            <w14:solidFill>
              <w14:srgbClr w14:val="FFFFFF"/>
            </w14:solidFill>
            <w14:prstDash w14:val="solid"/>
            <w14:round/>
          </w14:textOutline>
          <w14:textFill>
            <w14:noFill/>
          </w14:textFill>
        </w:rPr>
      </w:pPr>
    </w:p>
    <w:p>
      <w:pPr>
        <w:pStyle w:val="2"/>
        <w:rPr>
          <w:b/>
          <w:outline/>
          <w:color w:val="FFFFFF"/>
          <w:sz w:val="28"/>
          <w:szCs w:val="28"/>
          <w14:textOutline w14:w="9525" w14:cap="flat" w14:cmpd="sng" w14:algn="ctr">
            <w14:solidFill>
              <w14:srgbClr w14:val="FFFFFF"/>
            </w14:solidFill>
            <w14:prstDash w14:val="solid"/>
            <w14:round/>
          </w14:textOutline>
          <w14:textFill>
            <w14:noFill/>
          </w14:textFill>
        </w:rPr>
      </w:pPr>
    </w:p>
    <w:p>
      <w:pPr>
        <w:pStyle w:val="3"/>
        <w:rPr>
          <w:b/>
          <w:outline/>
          <w:color w:val="FFFFFF"/>
          <w:sz w:val="28"/>
          <w:szCs w:val="28"/>
          <w14:textOutline w14:w="9525" w14:cap="flat" w14:cmpd="sng" w14:algn="ctr">
            <w14:solidFill>
              <w14:srgbClr w14:val="FFFFFF"/>
            </w14:solidFill>
            <w14:prstDash w14:val="solid"/>
            <w14:round/>
          </w14:textOutline>
          <w14:textFill>
            <w14:noFill/>
          </w14:textFill>
        </w:rPr>
      </w:pPr>
    </w:p>
    <w:p/>
    <w:p>
      <w:pPr>
        <w:spacing w:line="480" w:lineRule="auto"/>
        <w:jc w:val="center"/>
        <w:rPr>
          <w:rFonts w:eastAsia="FangSong_GB2312"/>
          <w:b/>
          <w:sz w:val="28"/>
          <w:szCs w:val="28"/>
        </w:rPr>
      </w:pPr>
      <w:r>
        <w:rPr>
          <w:rFonts w:eastAsia="FangSong_GB2312"/>
          <w:b/>
          <w:sz w:val="28"/>
          <w:szCs w:val="28"/>
        </w:rPr>
        <w:t>2025-10</w:t>
      </w:r>
    </w:p>
    <w:p>
      <w:pPr>
        <w:jc w:val="center"/>
        <w:rPr>
          <w:b/>
          <w:bCs/>
          <w:sz w:val="24"/>
          <w:szCs w:val="24"/>
        </w:rPr>
        <w:sectPr>
          <w:headerReference r:id="rId6" w:type="default"/>
          <w:pgSz w:w="11906" w:h="16838"/>
          <w:pgMar w:top="1440" w:right="1800" w:bottom="1440" w:left="1800" w:header="851" w:footer="992" w:gutter="0"/>
          <w:pgNumType w:start="1"/>
          <w:cols w:space="720" w:num="1"/>
          <w:docGrid w:type="lines" w:linePitch="312" w:charSpace="0"/>
        </w:sectPr>
      </w:pPr>
    </w:p>
    <w:p>
      <w:pPr>
        <w:jc w:val="center"/>
        <w:rPr>
          <w:b/>
          <w:bCs/>
          <w:sz w:val="24"/>
          <w:szCs w:val="24"/>
        </w:rPr>
      </w:pPr>
      <w:r>
        <w:rPr>
          <w:rFonts w:hint="eastAsia"/>
          <w:b/>
          <w:bCs/>
          <w:sz w:val="24"/>
          <w:szCs w:val="24"/>
        </w:rPr>
        <w:t>内容一览表</w:t>
      </w:r>
      <w:r>
        <w:rPr>
          <w:b/>
          <w:bCs/>
          <w:sz w:val="24"/>
          <w:szCs w:val="24"/>
        </w:rPr>
        <w:t xml:space="preserve"> TABEL OF CONTENT</w:t>
      </w:r>
    </w:p>
    <w:p>
      <w:pPr>
        <w:pStyle w:val="13"/>
        <w:tabs>
          <w:tab w:val="right" w:leader="dot" w:pos="9660"/>
          <w:tab w:val="clear" w:pos="8812"/>
        </w:tabs>
        <w:rPr>
          <w:sz w:val="24"/>
          <w:szCs w:val="24"/>
        </w:rPr>
      </w:pPr>
      <w:r>
        <w:rPr>
          <w:bCs/>
          <w:sz w:val="24"/>
          <w:szCs w:val="24"/>
        </w:rPr>
        <w:fldChar w:fldCharType="begin"/>
      </w:r>
      <w:r>
        <w:rPr>
          <w:bCs/>
          <w:sz w:val="24"/>
          <w:szCs w:val="24"/>
        </w:rPr>
        <w:instrText xml:space="preserve">TOC \o "1-1" \h \u </w:instrText>
      </w:r>
      <w:r>
        <w:rPr>
          <w:bCs/>
          <w:sz w:val="24"/>
          <w:szCs w:val="24"/>
        </w:rPr>
        <w:fldChar w:fldCharType="separate"/>
      </w:r>
      <w:r>
        <w:rPr>
          <w:bCs/>
          <w:sz w:val="24"/>
          <w:szCs w:val="24"/>
        </w:rPr>
        <w:fldChar w:fldCharType="begin"/>
      </w:r>
      <w:r>
        <w:rPr>
          <w:bCs/>
          <w:sz w:val="24"/>
          <w:szCs w:val="24"/>
        </w:rPr>
        <w:instrText xml:space="preserve"> HYPERLINK \l _Toc14592 </w:instrText>
      </w:r>
      <w:r>
        <w:rPr>
          <w:bCs/>
          <w:sz w:val="24"/>
          <w:szCs w:val="24"/>
        </w:rPr>
        <w:fldChar w:fldCharType="separate"/>
      </w:r>
      <w:r>
        <w:rPr>
          <w:sz w:val="24"/>
          <w:szCs w:val="24"/>
        </w:rPr>
        <w:t>1. 总则</w:t>
      </w:r>
      <w:bookmarkStart w:id="1" w:name="_Hlt175040147"/>
      <w:r>
        <w:rPr>
          <w:sz w:val="24"/>
          <w:szCs w:val="24"/>
        </w:rPr>
        <w:t xml:space="preserve"> </w:t>
      </w:r>
      <w:bookmarkEnd w:id="1"/>
      <w:r>
        <w:rPr>
          <w:sz w:val="24"/>
          <w:szCs w:val="24"/>
        </w:rPr>
        <w:t>UMUM</w:t>
      </w:r>
      <w:r>
        <w:rPr>
          <w:sz w:val="24"/>
          <w:szCs w:val="24"/>
        </w:rPr>
        <w:tab/>
      </w:r>
      <w:r>
        <w:rPr>
          <w:sz w:val="24"/>
          <w:szCs w:val="24"/>
        </w:rPr>
        <w:fldChar w:fldCharType="begin"/>
      </w:r>
      <w:r>
        <w:rPr>
          <w:sz w:val="24"/>
          <w:szCs w:val="24"/>
        </w:rPr>
        <w:instrText xml:space="preserve"> PAGEREF _Toc14592 \h </w:instrText>
      </w:r>
      <w:r>
        <w:rPr>
          <w:sz w:val="24"/>
          <w:szCs w:val="24"/>
        </w:rPr>
        <w:fldChar w:fldCharType="separate"/>
      </w:r>
      <w:r>
        <w:rPr>
          <w:sz w:val="24"/>
          <w:szCs w:val="24"/>
        </w:rPr>
        <w:t>2</w:t>
      </w:r>
      <w:r>
        <w:rPr>
          <w:sz w:val="24"/>
          <w:szCs w:val="24"/>
        </w:rPr>
        <w:fldChar w:fldCharType="end"/>
      </w:r>
      <w:r>
        <w:rPr>
          <w:bCs/>
          <w:sz w:val="24"/>
          <w:szCs w:val="24"/>
        </w:rPr>
        <w:fldChar w:fldCharType="end"/>
      </w:r>
    </w:p>
    <w:p>
      <w:pPr>
        <w:pStyle w:val="13"/>
        <w:tabs>
          <w:tab w:val="right" w:leader="dot" w:pos="9660"/>
          <w:tab w:val="clear" w:pos="8812"/>
        </w:tabs>
        <w:rPr>
          <w:sz w:val="24"/>
          <w:szCs w:val="24"/>
        </w:rPr>
      </w:pPr>
      <w:r>
        <w:rPr>
          <w:bCs/>
          <w:sz w:val="24"/>
          <w:szCs w:val="24"/>
        </w:rPr>
        <w:fldChar w:fldCharType="begin"/>
      </w:r>
      <w:r>
        <w:rPr>
          <w:bCs/>
          <w:sz w:val="24"/>
          <w:szCs w:val="24"/>
        </w:rPr>
        <w:instrText xml:space="preserve"> HYPERLINK \l _Toc30885 </w:instrText>
      </w:r>
      <w:r>
        <w:rPr>
          <w:bCs/>
          <w:sz w:val="24"/>
          <w:szCs w:val="24"/>
        </w:rPr>
        <w:fldChar w:fldCharType="separate"/>
      </w:r>
      <w:r>
        <w:rPr>
          <w:sz w:val="24"/>
          <w:szCs w:val="24"/>
        </w:rPr>
        <w:t>2. 引用标准和</w:t>
      </w:r>
      <w:bookmarkStart w:id="2" w:name="_Hlt175040152"/>
      <w:r>
        <w:rPr>
          <w:sz w:val="24"/>
          <w:szCs w:val="24"/>
        </w:rPr>
        <w:t>规</w:t>
      </w:r>
      <w:bookmarkEnd w:id="2"/>
      <w:r>
        <w:rPr>
          <w:sz w:val="24"/>
          <w:szCs w:val="24"/>
        </w:rPr>
        <w:t>范 STANDAR REFERENSI DAN SPESIFIKASI</w:t>
      </w:r>
      <w:r>
        <w:rPr>
          <w:sz w:val="24"/>
          <w:szCs w:val="24"/>
        </w:rPr>
        <w:tab/>
      </w:r>
      <w:r>
        <w:rPr>
          <w:sz w:val="24"/>
          <w:szCs w:val="24"/>
        </w:rPr>
        <w:fldChar w:fldCharType="begin"/>
      </w:r>
      <w:r>
        <w:rPr>
          <w:sz w:val="24"/>
          <w:szCs w:val="24"/>
        </w:rPr>
        <w:instrText xml:space="preserve"> PAGEREF _Toc30885 \h </w:instrText>
      </w:r>
      <w:r>
        <w:rPr>
          <w:sz w:val="24"/>
          <w:szCs w:val="24"/>
        </w:rPr>
        <w:fldChar w:fldCharType="separate"/>
      </w:r>
      <w:r>
        <w:rPr>
          <w:sz w:val="24"/>
          <w:szCs w:val="24"/>
        </w:rPr>
        <w:t>3</w:t>
      </w:r>
      <w:r>
        <w:rPr>
          <w:sz w:val="24"/>
          <w:szCs w:val="24"/>
        </w:rPr>
        <w:fldChar w:fldCharType="end"/>
      </w:r>
      <w:r>
        <w:rPr>
          <w:bCs/>
          <w:sz w:val="24"/>
          <w:szCs w:val="24"/>
        </w:rPr>
        <w:fldChar w:fldCharType="end"/>
      </w:r>
    </w:p>
    <w:p>
      <w:pPr>
        <w:pStyle w:val="13"/>
        <w:tabs>
          <w:tab w:val="right" w:leader="dot" w:pos="9660"/>
          <w:tab w:val="clear" w:pos="8812"/>
        </w:tabs>
        <w:rPr>
          <w:sz w:val="24"/>
          <w:szCs w:val="24"/>
        </w:rPr>
      </w:pPr>
      <w:r>
        <w:rPr>
          <w:bCs/>
          <w:sz w:val="24"/>
          <w:szCs w:val="24"/>
        </w:rPr>
        <w:fldChar w:fldCharType="begin"/>
      </w:r>
      <w:r>
        <w:rPr>
          <w:bCs/>
          <w:sz w:val="24"/>
          <w:szCs w:val="24"/>
        </w:rPr>
        <w:instrText xml:space="preserve"> HYPERLINK \l _Toc13628 </w:instrText>
      </w:r>
      <w:r>
        <w:rPr>
          <w:bCs/>
          <w:sz w:val="24"/>
          <w:szCs w:val="24"/>
        </w:rPr>
        <w:fldChar w:fldCharType="separate"/>
      </w:r>
      <w:r>
        <w:rPr>
          <w:sz w:val="24"/>
          <w:szCs w:val="24"/>
        </w:rPr>
        <w:t>3. 服务地点LOKA</w:t>
      </w:r>
      <w:bookmarkStart w:id="3" w:name="_Hlt175040158"/>
      <w:r>
        <w:rPr>
          <w:sz w:val="24"/>
          <w:szCs w:val="24"/>
        </w:rPr>
        <w:t>S</w:t>
      </w:r>
      <w:bookmarkEnd w:id="3"/>
      <w:r>
        <w:rPr>
          <w:sz w:val="24"/>
          <w:szCs w:val="24"/>
        </w:rPr>
        <w:t>I LAYANAN</w:t>
      </w:r>
      <w:r>
        <w:rPr>
          <w:sz w:val="24"/>
          <w:szCs w:val="24"/>
        </w:rPr>
        <w:tab/>
      </w:r>
      <w:r>
        <w:rPr>
          <w:sz w:val="24"/>
          <w:szCs w:val="24"/>
        </w:rPr>
        <w:t>5</w:t>
      </w:r>
      <w:r>
        <w:rPr>
          <w:bCs/>
          <w:sz w:val="24"/>
          <w:szCs w:val="24"/>
        </w:rPr>
        <w:fldChar w:fldCharType="end"/>
      </w:r>
    </w:p>
    <w:p>
      <w:pPr>
        <w:pStyle w:val="13"/>
        <w:tabs>
          <w:tab w:val="right" w:leader="dot" w:pos="9660"/>
          <w:tab w:val="clear" w:pos="8812"/>
        </w:tabs>
        <w:rPr>
          <w:sz w:val="24"/>
          <w:szCs w:val="24"/>
        </w:rPr>
      </w:pPr>
      <w:r>
        <w:rPr>
          <w:bCs/>
          <w:sz w:val="24"/>
          <w:szCs w:val="24"/>
        </w:rPr>
        <w:fldChar w:fldCharType="begin"/>
      </w:r>
      <w:r>
        <w:rPr>
          <w:bCs/>
          <w:sz w:val="24"/>
          <w:szCs w:val="24"/>
        </w:rPr>
        <w:instrText xml:space="preserve"> HYPERLINK \l _Toc2771 </w:instrText>
      </w:r>
      <w:r>
        <w:rPr>
          <w:bCs/>
          <w:sz w:val="24"/>
          <w:szCs w:val="24"/>
        </w:rPr>
        <w:fldChar w:fldCharType="separate"/>
      </w:r>
      <w:r>
        <w:rPr>
          <w:sz w:val="24"/>
          <w:szCs w:val="24"/>
        </w:rPr>
        <w:t>4. 服务期限JANGKA W</w:t>
      </w:r>
      <w:bookmarkStart w:id="4" w:name="_Hlt175040175"/>
      <w:r>
        <w:rPr>
          <w:sz w:val="24"/>
          <w:szCs w:val="24"/>
        </w:rPr>
        <w:t>A</w:t>
      </w:r>
      <w:bookmarkEnd w:id="4"/>
      <w:r>
        <w:rPr>
          <w:sz w:val="24"/>
          <w:szCs w:val="24"/>
        </w:rPr>
        <w:t>KTU LAYANAN</w:t>
      </w:r>
      <w:r>
        <w:rPr>
          <w:sz w:val="24"/>
          <w:szCs w:val="24"/>
        </w:rPr>
        <w:tab/>
      </w:r>
      <w:r>
        <w:rPr>
          <w:sz w:val="24"/>
          <w:szCs w:val="24"/>
        </w:rPr>
        <w:t>5</w:t>
      </w:r>
      <w:r>
        <w:rPr>
          <w:bCs/>
          <w:sz w:val="24"/>
          <w:szCs w:val="24"/>
        </w:rPr>
        <w:fldChar w:fldCharType="end"/>
      </w:r>
    </w:p>
    <w:p>
      <w:pPr>
        <w:pStyle w:val="13"/>
        <w:tabs>
          <w:tab w:val="right" w:leader="dot" w:pos="9660"/>
          <w:tab w:val="clear" w:pos="8812"/>
        </w:tabs>
        <w:rPr>
          <w:bCs/>
          <w:sz w:val="24"/>
          <w:szCs w:val="24"/>
        </w:rPr>
      </w:pPr>
      <w:r>
        <w:rPr>
          <w:bCs/>
          <w:sz w:val="24"/>
          <w:szCs w:val="24"/>
        </w:rPr>
        <w:fldChar w:fldCharType="begin"/>
      </w:r>
      <w:r>
        <w:rPr>
          <w:bCs/>
          <w:sz w:val="24"/>
          <w:szCs w:val="24"/>
        </w:rPr>
        <w:instrText xml:space="preserve"> HYPERLINK \l _Toc11817 </w:instrText>
      </w:r>
      <w:r>
        <w:rPr>
          <w:bCs/>
          <w:sz w:val="24"/>
          <w:szCs w:val="24"/>
        </w:rPr>
        <w:fldChar w:fldCharType="separate"/>
      </w:r>
      <w:r>
        <w:rPr>
          <w:sz w:val="24"/>
          <w:szCs w:val="24"/>
        </w:rPr>
        <w:t>5. 工作范围 RUANG LINGKUP PEKERJAAN</w:t>
      </w:r>
      <w:r>
        <w:rPr>
          <w:sz w:val="24"/>
          <w:szCs w:val="24"/>
        </w:rPr>
        <w:tab/>
      </w:r>
      <w:r>
        <w:rPr>
          <w:sz w:val="24"/>
          <w:szCs w:val="24"/>
        </w:rPr>
        <w:t>6</w:t>
      </w:r>
      <w:r>
        <w:rPr>
          <w:bCs/>
          <w:sz w:val="24"/>
          <w:szCs w:val="24"/>
        </w:rPr>
        <w:fldChar w:fldCharType="end"/>
      </w:r>
    </w:p>
    <w:p>
      <w:pPr>
        <w:pStyle w:val="13"/>
        <w:tabs>
          <w:tab w:val="right" w:leader="dot" w:pos="9660"/>
          <w:tab w:val="clear" w:pos="8812"/>
        </w:tabs>
        <w:ind w:left="284" w:hanging="284"/>
        <w:jc w:val="both"/>
        <w:rPr>
          <w:sz w:val="24"/>
          <w:szCs w:val="24"/>
        </w:rPr>
      </w:pPr>
      <w:r>
        <w:t xml:space="preserve">6. </w:t>
      </w:r>
      <w:r>
        <w:rPr>
          <w:sz w:val="24"/>
          <w:szCs w:val="24"/>
        </w:rPr>
        <w:fldChar w:fldCharType="begin"/>
      </w:r>
      <w:r>
        <w:rPr>
          <w:rFonts w:hint="eastAsia"/>
          <w:sz w:val="24"/>
          <w:szCs w:val="24"/>
        </w:rPr>
        <w:instrText xml:space="preserve">HYPERLINK </w:instrText>
      </w:r>
      <w:r>
        <w:rPr>
          <w:sz w:val="24"/>
          <w:szCs w:val="24"/>
        </w:rPr>
        <w:instrText xml:space="preserve"> \l "</w:instrText>
      </w:r>
      <w:r>
        <w:rPr>
          <w:rFonts w:hint="eastAsia"/>
          <w:sz w:val="24"/>
          <w:szCs w:val="24"/>
        </w:rPr>
        <w:instrText xml:space="preserve">_现场工作服务具体内容要求Persyaratan_Konten_Khus</w:instrText>
      </w:r>
      <w:r>
        <w:rPr>
          <w:sz w:val="24"/>
          <w:szCs w:val="24"/>
        </w:rPr>
        <w:instrText xml:space="preserve">"</w:instrText>
      </w:r>
      <w:r>
        <w:rPr>
          <w:sz w:val="24"/>
          <w:szCs w:val="24"/>
        </w:rPr>
        <w:fldChar w:fldCharType="separate"/>
      </w:r>
      <w:r>
        <w:rPr>
          <w:rStyle w:val="24"/>
          <w:rFonts w:hint="eastAsia"/>
          <w:caps w:val="0"/>
          <w:sz w:val="24"/>
          <w:szCs w:val="24"/>
        </w:rPr>
        <w:t>现场工作</w:t>
      </w:r>
      <w:bookmarkStart w:id="5" w:name="_Hlt175040326"/>
      <w:r>
        <w:rPr>
          <w:rFonts w:hint="eastAsia"/>
          <w:caps w:val="0"/>
          <w:sz w:val="24"/>
          <w:szCs w:val="24"/>
        </w:rPr>
        <w:t>服</w:t>
      </w:r>
      <w:bookmarkEnd w:id="5"/>
      <w:bookmarkStart w:id="6" w:name="_Hlt175040532"/>
      <w:r>
        <w:rPr>
          <w:rFonts w:hint="eastAsia"/>
          <w:caps w:val="0"/>
          <w:sz w:val="24"/>
          <w:szCs w:val="24"/>
        </w:rPr>
        <w:t>务</w:t>
      </w:r>
      <w:bookmarkEnd w:id="6"/>
      <w:r>
        <w:rPr>
          <w:rStyle w:val="24"/>
          <w:rFonts w:hint="eastAsia"/>
          <w:caps w:val="0"/>
          <w:sz w:val="24"/>
          <w:szCs w:val="24"/>
        </w:rPr>
        <w:t>具体内容</w:t>
      </w:r>
      <w:bookmarkStart w:id="7" w:name="_Hlt175040267"/>
      <w:r>
        <w:rPr>
          <w:rStyle w:val="24"/>
          <w:rFonts w:hint="eastAsia"/>
          <w:caps w:val="0"/>
          <w:sz w:val="24"/>
          <w:szCs w:val="24"/>
        </w:rPr>
        <w:t>要</w:t>
      </w:r>
      <w:bookmarkEnd w:id="7"/>
      <w:r>
        <w:rPr>
          <w:rStyle w:val="24"/>
          <w:rFonts w:hint="eastAsia"/>
          <w:caps w:val="0"/>
          <w:sz w:val="24"/>
          <w:szCs w:val="24"/>
        </w:rPr>
        <w:t>求</w:t>
      </w:r>
      <w:r>
        <w:rPr>
          <w:rStyle w:val="24"/>
          <w:caps w:val="0"/>
          <w:sz w:val="24"/>
          <w:szCs w:val="24"/>
        </w:rPr>
        <w:t>PERSYARATAN KONTEN KHUSUS UNTUK LAYANAN PEKERJAAN DI LOKASI</w:t>
      </w:r>
      <w:r>
        <w:rPr>
          <w:sz w:val="24"/>
          <w:szCs w:val="24"/>
        </w:rPr>
        <w:fldChar w:fldCharType="end"/>
      </w:r>
      <w:r>
        <w:rPr>
          <w:caps w:val="0"/>
          <w:sz w:val="24"/>
          <w:szCs w:val="24"/>
        </w:rPr>
        <w:tab/>
      </w:r>
      <w:r>
        <w:rPr>
          <w:caps w:val="0"/>
          <w:sz w:val="24"/>
          <w:szCs w:val="24"/>
        </w:rPr>
        <w:t>9</w:t>
      </w:r>
    </w:p>
    <w:p>
      <w:pPr>
        <w:pStyle w:val="13"/>
        <w:tabs>
          <w:tab w:val="right" w:leader="dot" w:pos="9660"/>
          <w:tab w:val="clear" w:pos="8812"/>
        </w:tabs>
        <w:rPr>
          <w:caps w:val="0"/>
          <w:sz w:val="24"/>
          <w:szCs w:val="24"/>
        </w:rPr>
      </w:pPr>
      <w:r>
        <w:rPr>
          <w:caps w:val="0"/>
          <w:sz w:val="24"/>
          <w:szCs w:val="24"/>
        </w:rPr>
        <w:t xml:space="preserve">7. </w:t>
      </w:r>
      <w:r>
        <w:rPr>
          <w:sz w:val="24"/>
          <w:szCs w:val="24"/>
        </w:rPr>
        <w:fldChar w:fldCharType="begin"/>
      </w:r>
      <w:r>
        <w:rPr>
          <w:rFonts w:hint="eastAsia"/>
          <w:sz w:val="24"/>
          <w:szCs w:val="24"/>
        </w:rPr>
        <w:instrText xml:space="preserve">HYPERLINK </w:instrText>
      </w:r>
      <w:r>
        <w:rPr>
          <w:sz w:val="24"/>
          <w:szCs w:val="24"/>
        </w:rPr>
        <w:instrText xml:space="preserve"> \l "</w:instrText>
      </w:r>
      <w:r>
        <w:rPr>
          <w:rFonts w:hint="eastAsia"/>
          <w:sz w:val="24"/>
          <w:szCs w:val="24"/>
        </w:rPr>
        <w:instrText xml:space="preserve">_生产管理_Manajemen_produksi:</w:instrText>
      </w:r>
      <w:r>
        <w:rPr>
          <w:sz w:val="24"/>
          <w:szCs w:val="24"/>
        </w:rPr>
        <w:instrText xml:space="preserve">"</w:instrText>
      </w:r>
      <w:r>
        <w:rPr>
          <w:sz w:val="24"/>
          <w:szCs w:val="24"/>
        </w:rPr>
        <w:fldChar w:fldCharType="separate"/>
      </w:r>
      <w:r>
        <w:rPr>
          <w:rStyle w:val="24"/>
          <w:rFonts w:hint="eastAsia"/>
          <w:caps w:val="0"/>
          <w:sz w:val="24"/>
          <w:szCs w:val="24"/>
        </w:rPr>
        <w:t>生产管理</w:t>
      </w:r>
      <w:r>
        <w:rPr>
          <w:rStyle w:val="24"/>
          <w:caps w:val="0"/>
          <w:sz w:val="24"/>
          <w:szCs w:val="24"/>
        </w:rPr>
        <w:t xml:space="preserve"> MANA</w:t>
      </w:r>
      <w:bookmarkStart w:id="8" w:name="_Hlt175040524"/>
      <w:r>
        <w:rPr>
          <w:rStyle w:val="24"/>
          <w:caps w:val="0"/>
          <w:sz w:val="24"/>
          <w:szCs w:val="24"/>
        </w:rPr>
        <w:t>J</w:t>
      </w:r>
      <w:bookmarkEnd w:id="8"/>
      <w:r>
        <w:rPr>
          <w:rStyle w:val="24"/>
          <w:caps w:val="0"/>
          <w:sz w:val="24"/>
          <w:szCs w:val="24"/>
        </w:rPr>
        <w:t xml:space="preserve">EMEN </w:t>
      </w:r>
      <w:bookmarkStart w:id="9" w:name="_Hlt175040461"/>
      <w:r>
        <w:rPr>
          <w:rStyle w:val="24"/>
          <w:caps w:val="0"/>
          <w:sz w:val="24"/>
          <w:szCs w:val="24"/>
        </w:rPr>
        <w:t>P</w:t>
      </w:r>
      <w:bookmarkEnd w:id="9"/>
      <w:r>
        <w:rPr>
          <w:rStyle w:val="24"/>
          <w:caps w:val="0"/>
          <w:sz w:val="24"/>
          <w:szCs w:val="24"/>
        </w:rPr>
        <w:t>RODUKSI:</w:t>
      </w:r>
      <w:r>
        <w:rPr>
          <w:sz w:val="24"/>
          <w:szCs w:val="24"/>
        </w:rPr>
        <w:fldChar w:fldCharType="end"/>
      </w:r>
      <w:r>
        <w:rPr>
          <w:caps w:val="0"/>
          <w:sz w:val="24"/>
          <w:szCs w:val="24"/>
        </w:rPr>
        <w:tab/>
      </w:r>
      <w:r>
        <w:rPr>
          <w:caps w:val="0"/>
          <w:sz w:val="24"/>
          <w:szCs w:val="24"/>
        </w:rPr>
        <w:t>11</w:t>
      </w:r>
    </w:p>
    <w:p>
      <w:pPr>
        <w:pStyle w:val="13"/>
        <w:tabs>
          <w:tab w:val="right" w:leader="dot" w:pos="9660"/>
          <w:tab w:val="clear" w:pos="8812"/>
        </w:tabs>
      </w:pPr>
      <w:r>
        <w:rPr>
          <w:caps w:val="0"/>
        </w:rPr>
        <w:t>8.</w:t>
      </w:r>
      <w:r>
        <w:rPr>
          <w:caps w:val="0"/>
          <w:sz w:val="24"/>
          <w:szCs w:val="24"/>
        </w:rPr>
        <w:t xml:space="preserve"> </w:t>
      </w:r>
      <w:r>
        <w:rPr>
          <w:sz w:val="24"/>
          <w:szCs w:val="24"/>
        </w:rPr>
        <w:fldChar w:fldCharType="begin"/>
      </w:r>
      <w:r>
        <w:rPr>
          <w:rFonts w:hint="eastAsia"/>
          <w:sz w:val="24"/>
          <w:szCs w:val="24"/>
        </w:rPr>
        <w:instrText xml:space="preserve">HYPERLINK </w:instrText>
      </w:r>
      <w:r>
        <w:rPr>
          <w:sz w:val="24"/>
          <w:szCs w:val="24"/>
        </w:rPr>
        <w:instrText xml:space="preserve"> \l "</w:instrText>
      </w:r>
      <w:r>
        <w:rPr>
          <w:rFonts w:hint="eastAsia"/>
          <w:sz w:val="24"/>
          <w:szCs w:val="24"/>
        </w:rPr>
        <w:instrText xml:space="preserve">_罚则_Hukuman</w:instrText>
      </w:r>
      <w:r>
        <w:rPr>
          <w:sz w:val="24"/>
          <w:szCs w:val="24"/>
        </w:rPr>
        <w:instrText xml:space="preserve">"</w:instrText>
      </w:r>
      <w:r>
        <w:rPr>
          <w:sz w:val="24"/>
          <w:szCs w:val="24"/>
        </w:rPr>
        <w:fldChar w:fldCharType="separate"/>
      </w:r>
      <w:r>
        <w:rPr>
          <w:rStyle w:val="24"/>
          <w:rFonts w:hint="eastAsia"/>
          <w:caps w:val="0"/>
          <w:sz w:val="24"/>
          <w:szCs w:val="24"/>
        </w:rPr>
        <w:t>罚则</w:t>
      </w:r>
      <w:r>
        <w:rPr>
          <w:rStyle w:val="24"/>
          <w:caps w:val="0"/>
          <w:sz w:val="24"/>
          <w:szCs w:val="24"/>
        </w:rPr>
        <w:t xml:space="preserve"> </w:t>
      </w:r>
      <w:bookmarkStart w:id="10" w:name="_Hlt175040511"/>
      <w:r>
        <w:rPr>
          <w:rStyle w:val="24"/>
          <w:caps w:val="0"/>
          <w:sz w:val="24"/>
          <w:szCs w:val="24"/>
        </w:rPr>
        <w:t>H</w:t>
      </w:r>
      <w:bookmarkEnd w:id="10"/>
      <w:r>
        <w:rPr>
          <w:rStyle w:val="24"/>
          <w:caps w:val="0"/>
          <w:sz w:val="24"/>
          <w:szCs w:val="24"/>
        </w:rPr>
        <w:t>UKUMAN</w:t>
      </w:r>
      <w:r>
        <w:rPr>
          <w:caps w:val="0"/>
          <w:sz w:val="24"/>
          <w:szCs w:val="24"/>
        </w:rPr>
        <w:fldChar w:fldCharType="end"/>
      </w:r>
      <w:r>
        <w:rPr>
          <w:caps w:val="0"/>
          <w:sz w:val="24"/>
          <w:szCs w:val="24"/>
        </w:rPr>
        <w:tab/>
      </w:r>
      <w:r>
        <w:rPr>
          <w:caps w:val="0"/>
          <w:sz w:val="24"/>
          <w:szCs w:val="24"/>
        </w:rPr>
        <w:t>12</w:t>
      </w:r>
    </w:p>
    <w:p>
      <w:pPr>
        <w:rPr>
          <w:sz w:val="24"/>
          <w:szCs w:val="24"/>
        </w:rPr>
      </w:pPr>
      <w:r>
        <w:rPr>
          <w:bCs/>
          <w:sz w:val="24"/>
          <w:szCs w:val="24"/>
        </w:rPr>
        <w:fldChar w:fldCharType="end"/>
      </w:r>
    </w:p>
    <w:p>
      <w:pPr>
        <w:pStyle w:val="4"/>
        <w:numPr>
          <w:ilvl w:val="0"/>
          <w:numId w:val="4"/>
        </w:numPr>
        <w:rPr>
          <w:rFonts w:ascii="Times New Roman"/>
          <w:color w:val="auto"/>
          <w:sz w:val="24"/>
          <w:szCs w:val="24"/>
        </w:rPr>
      </w:pPr>
      <w:r>
        <w:rPr>
          <w:rFonts w:ascii="Times New Roman"/>
          <w:b w:val="0"/>
          <w:color w:val="auto"/>
          <w:sz w:val="24"/>
          <w:szCs w:val="24"/>
        </w:rPr>
        <w:br w:type="page"/>
      </w:r>
      <w:bookmarkStart w:id="11" w:name="_Toc14592"/>
      <w:r>
        <w:rPr>
          <w:rFonts w:ascii="Times New Roman"/>
          <w:color w:val="auto"/>
          <w:sz w:val="24"/>
          <w:szCs w:val="24"/>
        </w:rPr>
        <w:t xml:space="preserve">总则 </w:t>
      </w:r>
      <w:bookmarkEnd w:id="11"/>
      <w:r>
        <w:rPr>
          <w:rFonts w:ascii="Times New Roman"/>
          <w:color w:val="auto"/>
          <w:sz w:val="24"/>
          <w:szCs w:val="24"/>
        </w:rPr>
        <w:t>Umum</w:t>
      </w:r>
    </w:p>
    <w:p>
      <w:pPr>
        <w:numPr>
          <w:ilvl w:val="0"/>
          <w:numId w:val="5"/>
        </w:numPr>
        <w:spacing w:line="560" w:lineRule="exact"/>
        <w:rPr>
          <w:sz w:val="24"/>
          <w:szCs w:val="24"/>
        </w:rPr>
      </w:pPr>
      <w:r>
        <w:rPr>
          <w:sz w:val="24"/>
          <w:szCs w:val="24"/>
        </w:rPr>
        <w:t>本技术规范适用于外包至PLTU Sumsel 8公司环境内的危险废物（LB3）的管理（处理、利用和收集）和运输服务。该规范涵盖了工作范围、工作内容、设备质量标准以及与危险废物管理和运输相关的工作要求。</w:t>
      </w:r>
    </w:p>
    <w:p>
      <w:pPr>
        <w:spacing w:line="560" w:lineRule="exact"/>
        <w:ind w:left="426"/>
        <w:rPr>
          <w:sz w:val="24"/>
          <w:szCs w:val="24"/>
        </w:rPr>
      </w:pPr>
      <w:r>
        <w:rPr>
          <w:sz w:val="24"/>
          <w:szCs w:val="24"/>
        </w:rPr>
        <w:t>Spesifikasi teknis ini berlaku untuk layanan pengelolaan (pengolahan, pemanfaatan, penimbunan) dan transportasi pengangkutan Limbah Bahan Berbahaya dan Beracun (LB3) yang dialihdayakan di lingkungan perusahaan PLTU Sumsel 8. Spesifikasi ini mencakup ruang lingkup pekerjaan, isi pekerjaan, standar kualitas peralatan, dan persyaratan pekerjaan terkait pengelolaan dan transportasi Limbah Bahan Berbahaya dan Beracun di lokasi tersebut.</w:t>
      </w:r>
    </w:p>
    <w:p>
      <w:pPr>
        <w:numPr>
          <w:ilvl w:val="0"/>
          <w:numId w:val="5"/>
        </w:numPr>
        <w:spacing w:line="560" w:lineRule="exact"/>
        <w:rPr>
          <w:sz w:val="24"/>
          <w:szCs w:val="24"/>
        </w:rPr>
      </w:pPr>
      <w:r>
        <w:rPr>
          <w:sz w:val="24"/>
          <w:szCs w:val="24"/>
        </w:rPr>
        <w:t>本技术规范提出了最低技术要求和服务标准，但并未详细列出所有适用的技术细节和标准。服务提供商应提供符合技术规范以及相关法规规定的标准和要求的高质量改进和相关服务。</w:t>
      </w:r>
    </w:p>
    <w:p>
      <w:pPr>
        <w:spacing w:line="560" w:lineRule="exact"/>
        <w:ind w:left="426"/>
        <w:rPr>
          <w:sz w:val="24"/>
          <w:szCs w:val="24"/>
        </w:rPr>
      </w:pPr>
      <w:r>
        <w:rPr>
          <w:sz w:val="24"/>
          <w:szCs w:val="24"/>
        </w:rPr>
        <w:t>Spesifikasi teknis ini mengusulkan persyaratan teknis minimum dan standar layanan, tetapi tidak merinci semua detail teknis dan standar yang berlaku. Penyedia Jasa harus menyediakan perbaikan berkualitas tinggi dan layanan terkait yang memenuhi spesifikasi teknis serta standar dan persyaratan yang tercantum sesuai dengan regulasi peraturan yang berlaku.</w:t>
      </w:r>
    </w:p>
    <w:p>
      <w:pPr>
        <w:pStyle w:val="15"/>
        <w:numPr>
          <w:ilvl w:val="0"/>
          <w:numId w:val="5"/>
        </w:numPr>
        <w:spacing w:after="0" w:afterAutospacing="0" w:line="560" w:lineRule="exact"/>
      </w:pPr>
      <w:r>
        <w:rPr>
          <w:rFonts w:eastAsia="宋体"/>
        </w:rPr>
        <w:t>如果对此技术规格没有偏差，则认为服务提供商提供的危险有害废物的管理（</w:t>
      </w:r>
      <w:r>
        <w:rPr>
          <w:rFonts w:eastAsia="宋体"/>
          <w:lang w:val="en-US"/>
        </w:rPr>
        <w:t>处理、利用和收集</w:t>
      </w:r>
      <w:r>
        <w:rPr>
          <w:rFonts w:eastAsia="宋体"/>
        </w:rPr>
        <w:t>）和运输服务符合列出的标准和法规要求。</w:t>
      </w:r>
      <w:r>
        <w:tab/>
      </w:r>
    </w:p>
    <w:p>
      <w:pPr>
        <w:spacing w:line="560" w:lineRule="exact"/>
        <w:ind w:left="426"/>
        <w:rPr>
          <w:sz w:val="24"/>
          <w:szCs w:val="24"/>
          <w:lang w:val="id-ID"/>
        </w:rPr>
      </w:pPr>
      <w:r>
        <w:rPr>
          <w:sz w:val="24"/>
          <w:szCs w:val="24"/>
          <w:lang w:val="id-ID"/>
        </w:rPr>
        <w:t>Jika tidak ada penyimpangan terhadap spesifikasi teknis ini, maka akan dianggap bahwa pengelolaan (pengolahan, pemanfaatan, pengumpulan) dan transportasi pengangkutan Limbah Bahan Berbahaya Dan Beracun untuk jasa layanan terkait yang disediakan oleh Penyedia Jasa memenuhi persyaratan standar dan regulasi yang tercantum.</w:t>
      </w:r>
    </w:p>
    <w:p>
      <w:pPr>
        <w:numPr>
          <w:ilvl w:val="0"/>
          <w:numId w:val="5"/>
        </w:numPr>
        <w:spacing w:line="560" w:lineRule="exact"/>
        <w:rPr>
          <w:sz w:val="24"/>
          <w:szCs w:val="24"/>
        </w:rPr>
      </w:pPr>
      <w:r>
        <w:rPr>
          <w:sz w:val="24"/>
          <w:szCs w:val="24"/>
        </w:rPr>
        <w:t>如果本技术规范和所列标准与服务提供商实施的标准不符，则应采用更高的标准。</w:t>
      </w:r>
    </w:p>
    <w:p>
      <w:pPr>
        <w:spacing w:line="560" w:lineRule="exact"/>
        <w:ind w:left="426"/>
        <w:rPr>
          <w:sz w:val="24"/>
          <w:szCs w:val="24"/>
        </w:rPr>
      </w:pPr>
      <w:r>
        <w:rPr>
          <w:sz w:val="24"/>
          <w:szCs w:val="24"/>
        </w:rPr>
        <w:t>Jika spesifikasi teknis ini dan standar yang tercantum tidak sesuai dengan standar yang diterapkan oleh Penyedia Jasa, maka standar yang lebih tinggi yang akan diterapkan.</w:t>
      </w:r>
    </w:p>
    <w:p>
      <w:pPr>
        <w:numPr>
          <w:ilvl w:val="0"/>
          <w:numId w:val="5"/>
        </w:numPr>
        <w:spacing w:line="560" w:lineRule="exact"/>
        <w:rPr>
          <w:sz w:val="24"/>
          <w:szCs w:val="24"/>
        </w:rPr>
      </w:pPr>
      <w:r>
        <w:rPr>
          <w:sz w:val="24"/>
          <w:szCs w:val="24"/>
        </w:rPr>
        <w:t>如果有最新的标准和法规，服务提供商必须遵循即将实施的最新标准和法规。</w:t>
      </w:r>
    </w:p>
    <w:p>
      <w:pPr>
        <w:spacing w:line="560" w:lineRule="exact"/>
        <w:ind w:left="426"/>
        <w:rPr>
          <w:sz w:val="24"/>
          <w:szCs w:val="24"/>
        </w:rPr>
      </w:pPr>
      <w:r>
        <w:rPr>
          <w:sz w:val="24"/>
          <w:szCs w:val="24"/>
        </w:rPr>
        <w:t>Jika ada standar dan regulasi yang terbaru, maka penyedia jasa wajib mengikuti standar dan regulasi terbaru yang akan diterapkan.</w:t>
      </w:r>
    </w:p>
    <w:p>
      <w:pPr>
        <w:numPr>
          <w:ilvl w:val="0"/>
          <w:numId w:val="5"/>
        </w:numPr>
        <w:spacing w:line="560" w:lineRule="exact"/>
        <w:rPr>
          <w:sz w:val="24"/>
          <w:szCs w:val="24"/>
        </w:rPr>
      </w:pPr>
      <w:r>
        <w:rPr>
          <w:sz w:val="24"/>
          <w:szCs w:val="24"/>
        </w:rPr>
        <w:t>在危险废物（LB3）的管理（处理、利用和收集）和运输过程中，服务提供商必须严格遵守委托方/公司关于所执行工作的相关规定、适用的标准和法规、外包项目的安全管理责任以及电力生产安全的规定。服务提供商应拥有经过认证的危险废物管理专业人员，并对工作中的责任事故、个人伤害和死亡负责。</w:t>
      </w:r>
    </w:p>
    <w:p>
      <w:pPr>
        <w:spacing w:line="560" w:lineRule="exact"/>
        <w:ind w:left="426"/>
        <w:rPr>
          <w:sz w:val="24"/>
          <w:szCs w:val="24"/>
        </w:rPr>
      </w:pPr>
      <w:r>
        <w:rPr>
          <w:sz w:val="24"/>
          <w:szCs w:val="24"/>
        </w:rPr>
        <w:t xml:space="preserve">Dalam proses pengelolaan (pengolahan, pemanfaatan, pengumpulan) dan transportasi pengangkutan limbah bahan berbahaya dan beracun, Penyedia Jasa harus benar-benar mematuhi ketentuan yang berlaku dari Pengguna jasa/ perusahaan tentang pekerjaan yang dilakukan, standar dan regulasi yang berlaku, manajemen tanggung jawab keselamatan proyek yang dialihdayakan, dan ketentuan tentang keselamatan produksi tenaga listrik. Memiliki tenaga ahli yang telah bersertifikat dalam bidang pengelolaan limbah B3. dan Penyedia Jasa harus bertanggung jawab atas kecelakaan tanggung jawab dan cedera pribadi dan kematian dalam pekerjaan. </w:t>
      </w:r>
    </w:p>
    <w:p>
      <w:pPr>
        <w:pStyle w:val="4"/>
        <w:numPr>
          <w:ilvl w:val="0"/>
          <w:numId w:val="4"/>
        </w:numPr>
        <w:rPr>
          <w:rFonts w:ascii="Times New Roman"/>
          <w:color w:val="auto"/>
          <w:sz w:val="24"/>
          <w:szCs w:val="24"/>
        </w:rPr>
      </w:pPr>
      <w:bookmarkStart w:id="12" w:name="_Toc30885"/>
      <w:r>
        <w:rPr>
          <w:rFonts w:ascii="Times New Roman"/>
          <w:color w:val="auto"/>
          <w:sz w:val="24"/>
          <w:szCs w:val="24"/>
        </w:rPr>
        <w:t xml:space="preserve">引用标准和规范 </w:t>
      </w:r>
      <w:bookmarkEnd w:id="12"/>
      <w:r>
        <w:rPr>
          <w:rFonts w:ascii="Times New Roman"/>
          <w:color w:val="auto"/>
          <w:sz w:val="24"/>
          <w:szCs w:val="24"/>
        </w:rPr>
        <w:t>Standar dan spesifikasi referensi</w:t>
      </w:r>
    </w:p>
    <w:p>
      <w:pPr>
        <w:numPr>
          <w:ilvl w:val="0"/>
          <w:numId w:val="6"/>
        </w:numPr>
        <w:spacing w:after="240" w:line="560" w:lineRule="exact"/>
        <w:rPr>
          <w:sz w:val="24"/>
          <w:szCs w:val="24"/>
        </w:rPr>
      </w:pPr>
      <w:r>
        <w:rPr>
          <w:sz w:val="24"/>
          <w:szCs w:val="24"/>
        </w:rPr>
        <w:t>项目服务的技术要求必须符合以下标准以及在工作进行时适用的印度尼西亚法规标准。Persyaratan teknis untuk jasa pelayanan proyek, harus sesuai dengan standar berikut ini dan standar sesuai dengan regulasi yang berlaku Indonesia saat pekerjaan dilakukan.</w:t>
      </w:r>
    </w:p>
    <w:p>
      <w:pPr>
        <w:ind w:left="426"/>
        <w:rPr>
          <w:rFonts w:eastAsia="等线 Light"/>
          <w:sz w:val="24"/>
          <w:szCs w:val="24"/>
        </w:rPr>
      </w:pPr>
      <w:r>
        <w:rPr>
          <w:rFonts w:eastAsia="等线 Light"/>
          <w:sz w:val="24"/>
          <w:szCs w:val="24"/>
        </w:rPr>
        <w:t>请参考以下有关有害和有毒废物的规定：Berdasrkan peraturan terkait limbah berbahaya dan beracun sebagai berikut ini:</w:t>
      </w:r>
    </w:p>
    <w:p>
      <w:pPr>
        <w:pStyle w:val="38"/>
        <w:numPr>
          <w:ilvl w:val="0"/>
          <w:numId w:val="7"/>
        </w:numPr>
        <w:ind w:left="709" w:hanging="284"/>
        <w:jc w:val="both"/>
        <w:rPr>
          <w:rFonts w:ascii="Times New Roman" w:hAnsi="Times New Roman" w:eastAsia="等线 Light"/>
          <w:b/>
          <w:bCs/>
          <w:sz w:val="24"/>
          <w:szCs w:val="24"/>
        </w:rPr>
      </w:pPr>
      <w:r>
        <w:rPr>
          <w:rFonts w:ascii="Times New Roman" w:hAnsi="Times New Roman" w:eastAsia="等线 Light"/>
          <w:sz w:val="24"/>
          <w:szCs w:val="24"/>
          <w:lang w:val="en-US"/>
        </w:rPr>
        <w:t>2009</w:t>
      </w:r>
      <w:r>
        <w:rPr>
          <w:rFonts w:ascii="Times New Roman" w:hAnsi="Times New Roman" w:eastAsia="等线 Light"/>
          <w:sz w:val="24"/>
          <w:szCs w:val="24"/>
        </w:rPr>
        <w:t>年印度尼西亚共和国法第</w:t>
      </w:r>
      <w:r>
        <w:rPr>
          <w:rFonts w:ascii="Times New Roman" w:hAnsi="Times New Roman" w:eastAsia="等线 Light"/>
          <w:sz w:val="24"/>
          <w:szCs w:val="24"/>
          <w:lang w:val="en-US"/>
        </w:rPr>
        <w:t>32</w:t>
      </w:r>
      <w:r>
        <w:rPr>
          <w:rFonts w:ascii="Times New Roman" w:hAnsi="Times New Roman" w:eastAsia="等线 Light"/>
          <w:sz w:val="24"/>
          <w:szCs w:val="24"/>
        </w:rPr>
        <w:t>年有关环境的保护和管理.</w:t>
      </w:r>
    </w:p>
    <w:p>
      <w:pPr>
        <w:pStyle w:val="38"/>
        <w:ind w:left="709"/>
        <w:jc w:val="both"/>
        <w:rPr>
          <w:rFonts w:ascii="Times New Roman" w:hAnsi="Times New Roman" w:eastAsia="等线 Light"/>
          <w:sz w:val="24"/>
          <w:szCs w:val="24"/>
        </w:rPr>
      </w:pPr>
      <w:r>
        <w:rPr>
          <w:rFonts w:ascii="Times New Roman" w:hAnsi="Times New Roman" w:eastAsia="等线 Light"/>
          <w:sz w:val="24"/>
          <w:szCs w:val="24"/>
        </w:rPr>
        <w:t>Undang-undang Republik Indonesia Nomor 32 Tahun 2009 tentang Perlindungan dan Pengelolaan Lingkungan Hidup</w:t>
      </w:r>
    </w:p>
    <w:p>
      <w:pPr>
        <w:pStyle w:val="38"/>
        <w:numPr>
          <w:ilvl w:val="0"/>
          <w:numId w:val="7"/>
        </w:numPr>
        <w:ind w:left="709" w:hanging="284"/>
        <w:jc w:val="both"/>
        <w:rPr>
          <w:rFonts w:ascii="Times New Roman" w:hAnsi="Times New Roman" w:eastAsia="等线 Light"/>
          <w:b/>
          <w:bCs/>
          <w:sz w:val="24"/>
          <w:szCs w:val="24"/>
        </w:rPr>
      </w:pPr>
      <w:r>
        <w:rPr>
          <w:rFonts w:ascii="Times New Roman" w:hAnsi="Times New Roman" w:eastAsia="等线 Light"/>
          <w:sz w:val="24"/>
          <w:szCs w:val="24"/>
        </w:rPr>
        <w:t>印度尼西亚共和国的政府监管</w:t>
      </w:r>
      <w:r>
        <w:rPr>
          <w:rFonts w:ascii="Times New Roman" w:hAnsi="Times New Roman" w:eastAsia="等线 Light"/>
          <w:sz w:val="24"/>
          <w:szCs w:val="24"/>
          <w:lang w:val="en-US"/>
        </w:rPr>
        <w:t>2021</w:t>
      </w:r>
      <w:r>
        <w:rPr>
          <w:rFonts w:ascii="Times New Roman" w:hAnsi="Times New Roman" w:eastAsia="等线 Light"/>
          <w:sz w:val="24"/>
          <w:szCs w:val="24"/>
        </w:rPr>
        <w:t>年，关于实施环境保护和管理。</w:t>
      </w:r>
    </w:p>
    <w:p>
      <w:pPr>
        <w:pStyle w:val="38"/>
        <w:ind w:left="709"/>
        <w:jc w:val="both"/>
        <w:rPr>
          <w:rFonts w:ascii="Times New Roman" w:hAnsi="Times New Roman" w:eastAsia="等线 Light"/>
          <w:b/>
          <w:bCs/>
          <w:sz w:val="24"/>
          <w:szCs w:val="24"/>
        </w:rPr>
      </w:pPr>
      <w:r>
        <w:rPr>
          <w:rFonts w:ascii="Times New Roman" w:hAnsi="Times New Roman" w:eastAsia="等线 Light"/>
          <w:sz w:val="24"/>
          <w:szCs w:val="24"/>
        </w:rPr>
        <w:t>Peraturan Pemerintah Republik Indonesia Nomor 22 Tahun 2021 tentang Penyelenggaraan Perlindungan dan Pengelolaan Lingkungan Hidup.</w:t>
      </w:r>
    </w:p>
    <w:p>
      <w:pPr>
        <w:pStyle w:val="38"/>
        <w:numPr>
          <w:ilvl w:val="0"/>
          <w:numId w:val="7"/>
        </w:numPr>
        <w:ind w:left="709" w:hanging="284"/>
        <w:jc w:val="both"/>
        <w:rPr>
          <w:rFonts w:ascii="Times New Roman" w:hAnsi="Times New Roman" w:eastAsia="等线 Light"/>
          <w:b/>
          <w:bCs/>
          <w:sz w:val="24"/>
          <w:szCs w:val="24"/>
        </w:rPr>
      </w:pPr>
      <w:r>
        <w:rPr>
          <w:rFonts w:ascii="Times New Roman" w:hAnsi="Times New Roman" w:eastAsia="等线 Light"/>
          <w:sz w:val="24"/>
          <w:szCs w:val="24"/>
        </w:rPr>
        <w:t>环境和林业部长的法规</w:t>
      </w:r>
      <w:r>
        <w:rPr>
          <w:rFonts w:ascii="Times New Roman" w:hAnsi="Times New Roman" w:eastAsia="等线 Light"/>
          <w:sz w:val="24"/>
          <w:szCs w:val="24"/>
          <w:lang w:val="en-US"/>
        </w:rPr>
        <w:t>P.95/Menlhk/SetJen/Kum.1/11/2018 2018</w:t>
      </w:r>
      <w:r>
        <w:rPr>
          <w:rFonts w:ascii="Times New Roman" w:hAnsi="Times New Roman" w:eastAsia="等线 Light"/>
          <w:sz w:val="24"/>
          <w:szCs w:val="24"/>
        </w:rPr>
        <w:t>涉及危险物质的许可管理和环境环境环境环境。</w:t>
      </w:r>
    </w:p>
    <w:p>
      <w:pPr>
        <w:pStyle w:val="38"/>
        <w:ind w:left="709"/>
        <w:jc w:val="both"/>
        <w:rPr>
          <w:rFonts w:ascii="Times New Roman" w:hAnsi="Times New Roman" w:eastAsia="等线 Light"/>
          <w:b/>
          <w:bCs/>
          <w:sz w:val="24"/>
          <w:szCs w:val="24"/>
        </w:rPr>
      </w:pPr>
      <w:r>
        <w:rPr>
          <w:rFonts w:ascii="Times New Roman" w:hAnsi="Times New Roman" w:eastAsia="等线 Light"/>
          <w:sz w:val="24"/>
          <w:szCs w:val="24"/>
        </w:rPr>
        <w:t>Peraturan Menteri Lingkungan Hidup dan Kehutanan Nomor P.95/menlhk/setjen/kum.1/11/2018 Tahun 2018 Tentang Perizinan Pengelolaan Limbah Bahan Berbahaya dan Beracun Terintegrasi dengan Izin Lingkungan Melalui Pelayanan Perizinan Berusaha Terintegrasi Secara Elektronik.</w:t>
      </w:r>
    </w:p>
    <w:p>
      <w:pPr>
        <w:pStyle w:val="38"/>
        <w:numPr>
          <w:ilvl w:val="0"/>
          <w:numId w:val="7"/>
        </w:numPr>
        <w:ind w:left="709" w:hanging="284"/>
        <w:jc w:val="both"/>
        <w:rPr>
          <w:rFonts w:ascii="Times New Roman" w:hAnsi="Times New Roman" w:eastAsia="等线 Light"/>
          <w:b/>
          <w:bCs/>
          <w:sz w:val="24"/>
          <w:szCs w:val="24"/>
        </w:rPr>
      </w:pPr>
      <w:r>
        <w:rPr>
          <w:rFonts w:ascii="Times New Roman" w:hAnsi="Times New Roman" w:eastAsia="等线 Light"/>
          <w:sz w:val="24"/>
          <w:szCs w:val="24"/>
          <w:lang w:val="en-US"/>
        </w:rPr>
        <w:t>2020</w:t>
      </w:r>
      <w:r>
        <w:rPr>
          <w:rFonts w:ascii="Times New Roman" w:hAnsi="Times New Roman" w:eastAsia="等线 Light"/>
          <w:sz w:val="24"/>
          <w:szCs w:val="24"/>
        </w:rPr>
        <w:t>年第</w:t>
      </w:r>
      <w:r>
        <w:rPr>
          <w:rFonts w:ascii="Times New Roman" w:hAnsi="Times New Roman" w:eastAsia="等线 Light"/>
          <w:sz w:val="24"/>
          <w:szCs w:val="24"/>
          <w:lang w:val="en-US"/>
        </w:rPr>
        <w:t>1220</w:t>
      </w:r>
      <w:r>
        <w:rPr>
          <w:rFonts w:ascii="Times New Roman" w:hAnsi="Times New Roman" w:eastAsia="等线 Light"/>
          <w:sz w:val="24"/>
          <w:szCs w:val="24"/>
        </w:rPr>
        <w:t>号环境和林业部长的监管，内容涉及储存危险和有毒废物。</w:t>
      </w:r>
    </w:p>
    <w:p>
      <w:pPr>
        <w:pStyle w:val="38"/>
        <w:ind w:left="709"/>
        <w:jc w:val="both"/>
        <w:rPr>
          <w:rFonts w:ascii="Times New Roman" w:hAnsi="Times New Roman" w:eastAsia="等线 Light"/>
          <w:b/>
          <w:bCs/>
          <w:sz w:val="24"/>
          <w:szCs w:val="24"/>
        </w:rPr>
      </w:pPr>
      <w:r>
        <w:rPr>
          <w:rFonts w:ascii="Times New Roman" w:hAnsi="Times New Roman" w:eastAsia="等线 Light"/>
          <w:sz w:val="24"/>
          <w:szCs w:val="24"/>
        </w:rPr>
        <w:t>Peraturan Menteri Lingkungan Hidup dan Kehutanan Nomor 12 Tahun 2020 Tentang Penyimpanan Limbah Bahan Berbahaya dan Beracun.</w:t>
      </w:r>
    </w:p>
    <w:p>
      <w:pPr>
        <w:pStyle w:val="38"/>
        <w:numPr>
          <w:ilvl w:val="0"/>
          <w:numId w:val="7"/>
        </w:numPr>
        <w:ind w:left="709" w:hanging="284"/>
        <w:jc w:val="both"/>
        <w:rPr>
          <w:rFonts w:ascii="Times New Roman" w:hAnsi="Times New Roman" w:eastAsia="等线 Light"/>
          <w:b/>
          <w:bCs/>
          <w:sz w:val="24"/>
          <w:szCs w:val="24"/>
        </w:rPr>
      </w:pPr>
      <w:r>
        <w:rPr>
          <w:rFonts w:ascii="Times New Roman" w:hAnsi="Times New Roman" w:eastAsia="等线 Light"/>
          <w:sz w:val="24"/>
          <w:szCs w:val="24"/>
        </w:rPr>
        <w:t>对印度尼西亚共和国环境和林业部长</w:t>
      </w:r>
      <w:r>
        <w:rPr>
          <w:rFonts w:ascii="Times New Roman" w:hAnsi="Times New Roman" w:eastAsia="等线 Light"/>
          <w:sz w:val="24"/>
          <w:szCs w:val="24"/>
          <w:lang w:val="en-US"/>
        </w:rPr>
        <w:t>2021</w:t>
      </w:r>
      <w:r>
        <w:rPr>
          <w:rFonts w:ascii="Times New Roman" w:hAnsi="Times New Roman" w:eastAsia="等线 Light"/>
          <w:sz w:val="24"/>
          <w:szCs w:val="24"/>
        </w:rPr>
        <w:t>年第</w:t>
      </w:r>
      <w:r>
        <w:rPr>
          <w:rFonts w:ascii="Times New Roman" w:hAnsi="Times New Roman" w:eastAsia="等线 Light"/>
          <w:sz w:val="24"/>
          <w:szCs w:val="24"/>
          <w:lang w:val="en-US"/>
        </w:rPr>
        <w:t>6</w:t>
      </w:r>
      <w:r>
        <w:rPr>
          <w:rFonts w:ascii="Times New Roman" w:hAnsi="Times New Roman" w:eastAsia="等线 Light"/>
          <w:sz w:val="24"/>
          <w:szCs w:val="24"/>
        </w:rPr>
        <w:t>号的监管，涉及对危险和有毒废物管理的程序和要求。</w:t>
      </w:r>
    </w:p>
    <w:p>
      <w:pPr>
        <w:pStyle w:val="38"/>
        <w:ind w:left="709"/>
        <w:jc w:val="both"/>
        <w:rPr>
          <w:rFonts w:ascii="Times New Roman" w:hAnsi="Times New Roman" w:eastAsia="等线 Light"/>
          <w:b/>
          <w:bCs/>
          <w:sz w:val="24"/>
          <w:szCs w:val="24"/>
        </w:rPr>
      </w:pPr>
      <w:r>
        <w:rPr>
          <w:rFonts w:ascii="Times New Roman" w:hAnsi="Times New Roman" w:eastAsia="等线 Light"/>
          <w:sz w:val="24"/>
          <w:szCs w:val="24"/>
          <w:lang w:val="sv-SE"/>
        </w:rPr>
        <w:t>Peraturan Menteri Lingkungan Hidup Dan Kehutanan</w:t>
      </w:r>
      <w:r>
        <w:rPr>
          <w:rFonts w:ascii="Times New Roman" w:hAnsi="Times New Roman" w:eastAsia="等线 Light"/>
          <w:sz w:val="24"/>
          <w:szCs w:val="24"/>
        </w:rPr>
        <w:t xml:space="preserve"> Republik Indonesia Nomor 6 Tahun 2021 Tentang </w:t>
      </w:r>
      <w:r>
        <w:rPr>
          <w:rFonts w:ascii="Times New Roman" w:hAnsi="Times New Roman" w:eastAsia="等线 Light"/>
          <w:sz w:val="24"/>
          <w:szCs w:val="24"/>
          <w:lang w:val="es-ES"/>
        </w:rPr>
        <w:t>Tata Cara Dan Persyaratan Pengelolaan Limbah</w:t>
      </w:r>
      <w:r>
        <w:rPr>
          <w:rFonts w:ascii="Times New Roman" w:hAnsi="Times New Roman" w:eastAsia="等线 Light"/>
          <w:sz w:val="24"/>
          <w:szCs w:val="24"/>
        </w:rPr>
        <w:t xml:space="preserve"> Bahan Berbahaya Dan Beracun.</w:t>
      </w:r>
    </w:p>
    <w:p>
      <w:pPr>
        <w:pStyle w:val="38"/>
        <w:numPr>
          <w:ilvl w:val="0"/>
          <w:numId w:val="7"/>
        </w:numPr>
        <w:ind w:left="709" w:hanging="284"/>
        <w:jc w:val="both"/>
        <w:rPr>
          <w:rFonts w:ascii="Times New Roman" w:hAnsi="Times New Roman" w:eastAsia="等线 Light"/>
          <w:b/>
          <w:bCs/>
          <w:sz w:val="24"/>
          <w:szCs w:val="24"/>
        </w:rPr>
      </w:pPr>
      <w:r>
        <w:rPr>
          <w:rFonts w:ascii="Times New Roman" w:hAnsi="Times New Roman" w:eastAsia="等线 Light"/>
          <w:sz w:val="24"/>
          <w:szCs w:val="24"/>
        </w:rPr>
        <w:t>对印度尼西亚共和国环境和林业部长的规范，有关</w:t>
      </w:r>
      <w:r>
        <w:rPr>
          <w:rFonts w:ascii="Times New Roman" w:hAnsi="Times New Roman" w:eastAsia="等线 Light"/>
          <w:sz w:val="24"/>
          <w:szCs w:val="24"/>
          <w:lang w:val="en-US"/>
        </w:rPr>
        <w:t>2021</w:t>
      </w:r>
      <w:r>
        <w:rPr>
          <w:rFonts w:ascii="Times New Roman" w:hAnsi="Times New Roman" w:eastAsia="等线 Light"/>
          <w:sz w:val="24"/>
          <w:szCs w:val="24"/>
        </w:rPr>
        <w:t>年第</w:t>
      </w:r>
      <w:r>
        <w:rPr>
          <w:rFonts w:ascii="Times New Roman" w:hAnsi="Times New Roman" w:eastAsia="等线 Light"/>
          <w:sz w:val="24"/>
          <w:szCs w:val="24"/>
          <w:lang w:val="en-US"/>
        </w:rPr>
        <w:t>19</w:t>
      </w:r>
      <w:r>
        <w:rPr>
          <w:rFonts w:ascii="Times New Roman" w:hAnsi="Times New Roman" w:eastAsia="等线 Light"/>
          <w:sz w:val="24"/>
          <w:szCs w:val="24"/>
        </w:rPr>
        <w:t>号第</w:t>
      </w:r>
      <w:r>
        <w:rPr>
          <w:rFonts w:ascii="Times New Roman" w:hAnsi="Times New Roman" w:eastAsia="等线 Light"/>
          <w:sz w:val="24"/>
          <w:szCs w:val="24"/>
          <w:lang w:val="en-US"/>
        </w:rPr>
        <w:t>19</w:t>
      </w:r>
      <w:r>
        <w:rPr>
          <w:rFonts w:ascii="Times New Roman" w:hAnsi="Times New Roman" w:eastAsia="等线 Light"/>
          <w:sz w:val="24"/>
          <w:szCs w:val="24"/>
        </w:rPr>
        <w:t>号的监管，以管理非危害和有毒废物的管理程序。</w:t>
      </w:r>
    </w:p>
    <w:p>
      <w:pPr>
        <w:pStyle w:val="38"/>
        <w:ind w:left="709"/>
        <w:jc w:val="both"/>
        <w:rPr>
          <w:rFonts w:ascii="Times New Roman" w:hAnsi="Times New Roman" w:eastAsia="等线 Light"/>
          <w:b/>
          <w:bCs/>
          <w:sz w:val="24"/>
          <w:szCs w:val="24"/>
        </w:rPr>
      </w:pPr>
      <w:r>
        <w:rPr>
          <w:rFonts w:ascii="Times New Roman" w:hAnsi="Times New Roman" w:eastAsia="等线 Light"/>
          <w:sz w:val="24"/>
          <w:szCs w:val="24"/>
          <w:lang w:val="sv-SE"/>
        </w:rPr>
        <w:t xml:space="preserve">Peraturan Menteri Lingkungan Hidup Dan Kehutanan </w:t>
      </w:r>
      <w:r>
        <w:rPr>
          <w:rFonts w:ascii="Times New Roman" w:hAnsi="Times New Roman" w:eastAsia="等线 Light"/>
          <w:sz w:val="24"/>
          <w:szCs w:val="24"/>
        </w:rPr>
        <w:t>Republik Indonesia Nomor 19 Tahun 2021 Tentang Tata Cara Pengelolaan Limbah Non Bahan Berbahaya Dan Beracun.</w:t>
      </w:r>
    </w:p>
    <w:p>
      <w:pPr>
        <w:pStyle w:val="38"/>
        <w:numPr>
          <w:ilvl w:val="0"/>
          <w:numId w:val="7"/>
        </w:numPr>
        <w:ind w:left="709" w:hanging="284"/>
        <w:jc w:val="both"/>
        <w:rPr>
          <w:rFonts w:ascii="Times New Roman" w:hAnsi="Times New Roman" w:eastAsia="等线 Light"/>
          <w:b/>
          <w:bCs/>
          <w:sz w:val="24"/>
          <w:szCs w:val="24"/>
        </w:rPr>
      </w:pPr>
      <w:r>
        <w:rPr>
          <w:rFonts w:ascii="Times New Roman" w:hAnsi="Times New Roman" w:eastAsia="等线 Light"/>
          <w:sz w:val="24"/>
          <w:szCs w:val="24"/>
        </w:rPr>
        <w:t>对环境和林业部长的规定</w:t>
      </w:r>
      <w:r>
        <w:rPr>
          <w:rFonts w:ascii="Times New Roman" w:hAnsi="Times New Roman" w:eastAsia="等线 Light"/>
          <w:sz w:val="24"/>
          <w:szCs w:val="24"/>
          <w:lang w:val="en-US"/>
        </w:rPr>
        <w:t>P.4/Menlhk/Setjen/Kum.1/1/1/2020</w:t>
      </w:r>
      <w:r>
        <w:rPr>
          <w:rFonts w:ascii="Times New Roman" w:hAnsi="Times New Roman" w:eastAsia="等线 Light"/>
          <w:sz w:val="24"/>
          <w:szCs w:val="24"/>
        </w:rPr>
        <w:t>有关危险和有毒废物的运输。</w:t>
      </w:r>
    </w:p>
    <w:p>
      <w:pPr>
        <w:pStyle w:val="38"/>
        <w:ind w:left="709"/>
        <w:jc w:val="both"/>
        <w:rPr>
          <w:rFonts w:ascii="Times New Roman" w:hAnsi="Times New Roman" w:eastAsia="等线 Light"/>
          <w:sz w:val="24"/>
          <w:szCs w:val="24"/>
        </w:rPr>
      </w:pPr>
      <w:r>
        <w:rPr>
          <w:rFonts w:ascii="Times New Roman" w:hAnsi="Times New Roman" w:eastAsia="等线 Light"/>
          <w:sz w:val="24"/>
          <w:szCs w:val="24"/>
        </w:rPr>
        <w:t xml:space="preserve">Peraturan Menteri Lingkungan Hidup Dan Kehutanan Nomor </w:t>
      </w:r>
      <w:r>
        <w:rPr>
          <w:rFonts w:ascii="Times New Roman" w:hAnsi="Times New Roman" w:eastAsia="等线 Light"/>
          <w:sz w:val="24"/>
          <w:szCs w:val="24"/>
          <w:lang w:val="nb-NO"/>
        </w:rPr>
        <w:t>P.4/Menlhk/Setjen/Kum.1/1/2020</w:t>
      </w:r>
      <w:r>
        <w:rPr>
          <w:rFonts w:ascii="Times New Roman" w:hAnsi="Times New Roman" w:eastAsia="等线 Light"/>
          <w:sz w:val="24"/>
          <w:szCs w:val="24"/>
        </w:rPr>
        <w:t xml:space="preserve"> Tentang </w:t>
      </w:r>
      <w:r>
        <w:rPr>
          <w:rFonts w:ascii="Times New Roman" w:hAnsi="Times New Roman" w:eastAsia="等线 Light"/>
          <w:sz w:val="24"/>
          <w:szCs w:val="24"/>
          <w:lang w:val="es-ES"/>
        </w:rPr>
        <w:t>Pengangkutan Limbah Bahan Berbahaya Dan Beracun</w:t>
      </w:r>
      <w:r>
        <w:rPr>
          <w:rFonts w:ascii="Times New Roman" w:hAnsi="Times New Roman" w:eastAsia="等线 Light"/>
          <w:sz w:val="24"/>
          <w:szCs w:val="24"/>
        </w:rPr>
        <w:t>.</w:t>
      </w:r>
    </w:p>
    <w:p>
      <w:pPr>
        <w:pStyle w:val="38"/>
        <w:numPr>
          <w:ilvl w:val="0"/>
          <w:numId w:val="7"/>
        </w:numPr>
        <w:ind w:left="709" w:hanging="284"/>
        <w:jc w:val="both"/>
        <w:rPr>
          <w:rFonts w:ascii="Times New Roman" w:hAnsi="Times New Roman" w:eastAsia="等线 Light"/>
          <w:sz w:val="24"/>
          <w:szCs w:val="24"/>
        </w:rPr>
      </w:pPr>
      <w:r>
        <w:rPr>
          <w:rFonts w:hint="eastAsia" w:ascii="Times New Roman" w:hAnsi="Times New Roman" w:eastAsia="等线 Light"/>
          <w:sz w:val="24"/>
          <w:szCs w:val="24"/>
        </w:rPr>
        <w:t>印度尼西亚环境与林业部长条例第 P.56/Menlhk-Setjen/2015 号（2015 年），关于医疗服务机构危险有害废物管理的程序和技术要求</w:t>
      </w:r>
      <w:r>
        <w:rPr>
          <w:rFonts w:ascii="Times New Roman" w:hAnsi="Times New Roman" w:eastAsia="等线 Light"/>
          <w:sz w:val="24"/>
          <w:szCs w:val="24"/>
        </w:rPr>
        <w:t>。</w:t>
      </w:r>
    </w:p>
    <w:p>
      <w:pPr>
        <w:pStyle w:val="38"/>
        <w:ind w:left="709"/>
        <w:jc w:val="both"/>
        <w:rPr>
          <w:rFonts w:ascii="Times New Roman" w:hAnsi="Times New Roman" w:eastAsia="等线 Light"/>
          <w:sz w:val="24"/>
          <w:szCs w:val="24"/>
        </w:rPr>
      </w:pPr>
      <w:r>
        <w:rPr>
          <w:rFonts w:ascii="Times New Roman" w:hAnsi="Times New Roman" w:eastAsia="等线 Light"/>
          <w:sz w:val="24"/>
          <w:szCs w:val="24"/>
        </w:rPr>
        <w:t>Peraturan Menteri Lingkungan Hidup Dan Kehutanan Nomor P.56/Menlhk-Setjen/2015 Tahun 2015 tentang Tata Cara dan Persyaratan Teknis Pengelolaan Limbah Bahan Berbahaya dan Beracun dari Fasilitas Pelayanan Kesehatan</w:t>
      </w:r>
    </w:p>
    <w:p>
      <w:pPr>
        <w:pStyle w:val="38"/>
        <w:numPr>
          <w:ilvl w:val="0"/>
          <w:numId w:val="7"/>
        </w:numPr>
        <w:ind w:left="709" w:hanging="284"/>
        <w:jc w:val="both"/>
        <w:rPr>
          <w:rFonts w:ascii="Times New Roman" w:hAnsi="Times New Roman" w:eastAsia="等线 Light"/>
          <w:b/>
          <w:bCs/>
          <w:sz w:val="24"/>
          <w:szCs w:val="24"/>
        </w:rPr>
      </w:pPr>
      <w:r>
        <w:rPr>
          <w:rFonts w:ascii="Times New Roman" w:hAnsi="Times New Roman" w:eastAsia="等线 Light"/>
          <w:sz w:val="24"/>
          <w:szCs w:val="24"/>
        </w:rPr>
        <w:t>对印度尼西亚共和国环境部长</w:t>
      </w:r>
      <w:r>
        <w:rPr>
          <w:rFonts w:ascii="Times New Roman" w:hAnsi="Times New Roman" w:eastAsia="等线 Light"/>
          <w:sz w:val="24"/>
          <w:szCs w:val="24"/>
          <w:lang w:val="en-US"/>
        </w:rPr>
        <w:t>2013</w:t>
      </w:r>
      <w:r>
        <w:rPr>
          <w:rFonts w:ascii="Times New Roman" w:hAnsi="Times New Roman" w:eastAsia="等线 Light"/>
          <w:sz w:val="24"/>
          <w:szCs w:val="24"/>
        </w:rPr>
        <w:t>年第</w:t>
      </w:r>
      <w:r>
        <w:rPr>
          <w:rFonts w:ascii="Times New Roman" w:hAnsi="Times New Roman" w:eastAsia="等线 Light"/>
          <w:sz w:val="24"/>
          <w:szCs w:val="24"/>
          <w:lang w:val="en-US"/>
        </w:rPr>
        <w:t>14</w:t>
      </w:r>
      <w:r>
        <w:rPr>
          <w:rFonts w:ascii="Times New Roman" w:hAnsi="Times New Roman" w:eastAsia="等线 Light"/>
          <w:sz w:val="24"/>
          <w:szCs w:val="24"/>
        </w:rPr>
        <w:t>号环境部长的监管，涉及符号和废物标签危险和有毒物质。</w:t>
      </w:r>
    </w:p>
    <w:p>
      <w:pPr>
        <w:pStyle w:val="38"/>
        <w:ind w:left="709"/>
        <w:jc w:val="both"/>
        <w:rPr>
          <w:rFonts w:ascii="Times New Roman" w:hAnsi="Times New Roman" w:eastAsia="等线 Light"/>
          <w:sz w:val="24"/>
          <w:szCs w:val="24"/>
        </w:rPr>
      </w:pPr>
      <w:r>
        <w:rPr>
          <w:rFonts w:ascii="Times New Roman" w:hAnsi="Times New Roman" w:eastAsia="等线 Light"/>
          <w:sz w:val="24"/>
          <w:szCs w:val="24"/>
        </w:rPr>
        <w:t>Peraturan Menteri Lingkungan Hidup Republik Indonesia Nomor 14 Tahun 2013 Tentang Simbol dan Label Limbah Bahan Berbahaya dan Beracun.</w:t>
      </w:r>
    </w:p>
    <w:p>
      <w:pPr>
        <w:pStyle w:val="38"/>
        <w:numPr>
          <w:ilvl w:val="0"/>
          <w:numId w:val="7"/>
        </w:numPr>
        <w:ind w:left="709" w:hanging="284"/>
        <w:jc w:val="both"/>
        <w:rPr>
          <w:rStyle w:val="22"/>
          <w:rFonts w:ascii="Times New Roman" w:hAnsi="Times New Roman" w:eastAsia="等线 Light"/>
          <w:b w:val="0"/>
          <w:bCs w:val="0"/>
          <w:sz w:val="24"/>
          <w:szCs w:val="24"/>
        </w:rPr>
      </w:pPr>
      <w:r>
        <w:rPr>
          <w:rStyle w:val="22"/>
          <w:rFonts w:ascii="Times New Roman" w:hAnsi="Times New Roman" w:eastAsia="等线 Light"/>
          <w:b w:val="0"/>
          <w:bCs w:val="0"/>
          <w:sz w:val="24"/>
          <w:szCs w:val="24"/>
        </w:rPr>
        <w:t>关于危险和有毒废物管理的 2014 年第 101 号政府条例</w:t>
      </w:r>
    </w:p>
    <w:p>
      <w:pPr>
        <w:pStyle w:val="38"/>
        <w:ind w:left="709"/>
        <w:jc w:val="both"/>
        <w:rPr>
          <w:rFonts w:ascii="Times New Roman" w:hAnsi="Times New Roman" w:eastAsia="等线 Light"/>
          <w:sz w:val="24"/>
          <w:szCs w:val="24"/>
        </w:rPr>
      </w:pPr>
      <w:r>
        <w:rPr>
          <w:rStyle w:val="22"/>
          <w:rFonts w:ascii="Times New Roman" w:hAnsi="Times New Roman" w:eastAsia="等线 Light"/>
          <w:b w:val="0"/>
          <w:bCs w:val="0"/>
          <w:sz w:val="24"/>
          <w:szCs w:val="24"/>
        </w:rPr>
        <w:t>Peraturan Pemerintah No. 101 Tahun 2014 tentang Pengelolaan Limbah Bahan Berbahaya dan Beracun</w:t>
      </w:r>
      <w:r>
        <w:rPr>
          <w:rFonts w:ascii="Times New Roman" w:hAnsi="Times New Roman" w:eastAsia="等线 Light"/>
          <w:sz w:val="24"/>
          <w:szCs w:val="24"/>
        </w:rPr>
        <w:t>.</w:t>
      </w:r>
    </w:p>
    <w:p>
      <w:pPr>
        <w:pStyle w:val="4"/>
        <w:numPr>
          <w:ilvl w:val="0"/>
          <w:numId w:val="4"/>
        </w:numPr>
        <w:rPr>
          <w:rFonts w:ascii="Times New Roman"/>
          <w:color w:val="auto"/>
          <w:sz w:val="24"/>
          <w:szCs w:val="24"/>
        </w:rPr>
      </w:pPr>
      <w:bookmarkStart w:id="13" w:name="_Toc13628"/>
      <w:r>
        <w:rPr>
          <w:rFonts w:ascii="Times New Roman"/>
          <w:color w:val="auto"/>
          <w:sz w:val="24"/>
          <w:szCs w:val="24"/>
        </w:rPr>
        <w:t>服务地点</w:t>
      </w:r>
      <w:bookmarkEnd w:id="13"/>
      <w:r>
        <w:rPr>
          <w:rFonts w:ascii="Times New Roman"/>
          <w:color w:val="auto"/>
          <w:sz w:val="24"/>
          <w:szCs w:val="24"/>
        </w:rPr>
        <w:t>Lokasi Layanan</w:t>
      </w:r>
    </w:p>
    <w:p>
      <w:pPr>
        <w:spacing w:line="560" w:lineRule="exact"/>
        <w:rPr>
          <w:sz w:val="24"/>
          <w:szCs w:val="24"/>
          <w:lang w:val="id-ID"/>
        </w:rPr>
      </w:pPr>
      <w:r>
        <w:rPr>
          <w:sz w:val="24"/>
          <w:szCs w:val="24"/>
        </w:rPr>
        <w:t>印尼玻雅发电公司厂区围墙内</w:t>
      </w:r>
    </w:p>
    <w:p>
      <w:pPr>
        <w:pStyle w:val="3"/>
        <w:ind w:firstLine="0"/>
        <w:rPr>
          <w:sz w:val="24"/>
          <w:szCs w:val="24"/>
        </w:rPr>
      </w:pPr>
      <w:r>
        <w:rPr>
          <w:sz w:val="24"/>
          <w:szCs w:val="24"/>
        </w:rPr>
        <w:t>Di dalam tembok pembangkit listrik PT. CHD POWERPLANT OPERATION INDONESIA CABANG MUARA ENIM Pembangkit Listrik.</w:t>
      </w:r>
    </w:p>
    <w:p>
      <w:pPr>
        <w:pStyle w:val="4"/>
        <w:numPr>
          <w:ilvl w:val="0"/>
          <w:numId w:val="4"/>
        </w:numPr>
        <w:rPr>
          <w:rFonts w:ascii="Times New Roman"/>
          <w:color w:val="auto"/>
          <w:sz w:val="24"/>
          <w:szCs w:val="24"/>
        </w:rPr>
      </w:pPr>
      <w:bookmarkStart w:id="14" w:name="_Toc2771"/>
      <w:r>
        <w:rPr>
          <w:rFonts w:ascii="Times New Roman"/>
          <w:color w:val="auto"/>
          <w:sz w:val="24"/>
          <w:szCs w:val="24"/>
        </w:rPr>
        <w:t>服务期限</w:t>
      </w:r>
      <w:bookmarkEnd w:id="14"/>
      <w:r>
        <w:rPr>
          <w:rFonts w:ascii="Times New Roman"/>
          <w:color w:val="auto"/>
          <w:sz w:val="24"/>
          <w:szCs w:val="24"/>
        </w:rPr>
        <w:t>Jangka waktu layanan.</w:t>
      </w:r>
    </w:p>
    <w:p>
      <w:pPr>
        <w:spacing w:line="560" w:lineRule="exact"/>
        <w:rPr>
          <w:sz w:val="24"/>
          <w:szCs w:val="24"/>
        </w:rPr>
      </w:pPr>
      <w:r>
        <w:rPr>
          <w:sz w:val="24"/>
          <w:szCs w:val="24"/>
        </w:rPr>
        <w:t>此计划有效期自</w:t>
      </w:r>
      <w:r>
        <w:rPr>
          <w:rFonts w:hint="eastAsia"/>
          <w:sz w:val="24"/>
          <w:szCs w:val="24"/>
        </w:rPr>
        <w:t>202</w:t>
      </w:r>
      <w:r>
        <w:rPr>
          <w:sz w:val="24"/>
          <w:szCs w:val="24"/>
        </w:rPr>
        <w:t>5</w:t>
      </w:r>
      <w:r>
        <w:rPr>
          <w:rFonts w:hint="eastAsia"/>
          <w:sz w:val="24"/>
          <w:szCs w:val="24"/>
        </w:rPr>
        <w:t xml:space="preserve"> 年</w:t>
      </w:r>
      <w:r>
        <w:rPr>
          <w:sz w:val="24"/>
          <w:szCs w:val="24"/>
        </w:rPr>
        <w:t>11</w:t>
      </w:r>
      <w:r>
        <w:rPr>
          <w:rFonts w:hint="eastAsia"/>
          <w:sz w:val="24"/>
          <w:szCs w:val="24"/>
        </w:rPr>
        <w:t>月</w:t>
      </w:r>
      <w:r>
        <w:rPr>
          <w:sz w:val="24"/>
          <w:szCs w:val="24"/>
        </w:rPr>
        <w:t>1</w:t>
      </w:r>
      <w:r>
        <w:rPr>
          <w:rFonts w:hint="eastAsia"/>
          <w:sz w:val="24"/>
          <w:szCs w:val="24"/>
        </w:rPr>
        <w:t>日</w:t>
      </w:r>
      <w:r>
        <w:rPr>
          <w:sz w:val="24"/>
          <w:szCs w:val="24"/>
        </w:rPr>
        <w:t>至2026年10月31</w:t>
      </w:r>
      <w:r>
        <w:rPr>
          <w:rFonts w:hint="eastAsia"/>
          <w:sz w:val="24"/>
          <w:szCs w:val="24"/>
        </w:rPr>
        <w:t>日</w:t>
      </w:r>
      <w:r>
        <w:rPr>
          <w:sz w:val="24"/>
          <w:szCs w:val="24"/>
        </w:rPr>
        <w:t>（服务期限1年，具体开始日期以购买者通知的日期为准）。</w:t>
      </w:r>
    </w:p>
    <w:p>
      <w:pPr>
        <w:spacing w:line="560" w:lineRule="exact"/>
        <w:rPr>
          <w:sz w:val="24"/>
          <w:szCs w:val="24"/>
        </w:rPr>
      </w:pPr>
      <w:r>
        <w:rPr>
          <w:sz w:val="24"/>
          <w:szCs w:val="24"/>
        </w:rPr>
        <w:t>Paket ini berlaku mulai 1 November 2025 hingga 31 Oktober 2026 (periode layanan satu tahun, tanggal mulai spesifik bergantung pada tanggal yang diberitahukan oleh pembeli).</w:t>
      </w:r>
    </w:p>
    <w:p>
      <w:pPr>
        <w:pStyle w:val="4"/>
        <w:numPr>
          <w:ilvl w:val="0"/>
          <w:numId w:val="4"/>
        </w:numPr>
        <w:spacing w:after="0"/>
        <w:rPr>
          <w:rFonts w:ascii="Times New Roman"/>
          <w:color w:val="auto"/>
          <w:sz w:val="24"/>
          <w:szCs w:val="24"/>
        </w:rPr>
      </w:pPr>
      <w:bookmarkStart w:id="15" w:name="_Toc11817"/>
      <w:r>
        <w:rPr>
          <w:rFonts w:ascii="Times New Roman"/>
          <w:color w:val="auto"/>
          <w:sz w:val="24"/>
          <w:szCs w:val="24"/>
        </w:rPr>
        <w:t xml:space="preserve">工作范围 </w:t>
      </w:r>
      <w:bookmarkEnd w:id="15"/>
      <w:r>
        <w:rPr>
          <w:rFonts w:ascii="Times New Roman"/>
          <w:color w:val="auto"/>
          <w:sz w:val="24"/>
          <w:szCs w:val="24"/>
        </w:rPr>
        <w:t>Ruang lingkup pekerjaan</w:t>
      </w:r>
    </w:p>
    <w:p>
      <w:pPr>
        <w:spacing w:line="560" w:lineRule="exact"/>
        <w:rPr>
          <w:sz w:val="24"/>
          <w:szCs w:val="24"/>
        </w:rPr>
      </w:pPr>
      <w:r>
        <w:rPr>
          <w:sz w:val="24"/>
          <w:szCs w:val="24"/>
        </w:rPr>
        <w:tab/>
      </w:r>
      <w:r>
        <w:rPr>
          <w:sz w:val="24"/>
          <w:szCs w:val="24"/>
        </w:rPr>
        <w:t>服务提供商负责实施危险有害废物（</w:t>
      </w:r>
      <w:r>
        <w:rPr>
          <w:sz w:val="24"/>
          <w:szCs w:val="24"/>
          <w:lang w:val="id-ID"/>
        </w:rPr>
        <w:t>L</w:t>
      </w:r>
      <w:r>
        <w:rPr>
          <w:sz w:val="24"/>
          <w:szCs w:val="24"/>
        </w:rPr>
        <w:t>B3）的管理活动，包括处理、利用、收集及运输。Penyedia Jasa bertanggung jawab untuk melakukan pengelolaan (pengolahan, pemanfaatan, pengumpulan) dan transportasi terkait limbah bahan berbahaya dan beracun (LB3);</w:t>
      </w:r>
    </w:p>
    <w:p>
      <w:pPr>
        <w:pStyle w:val="39"/>
        <w:numPr>
          <w:ilvl w:val="0"/>
          <w:numId w:val="8"/>
        </w:numPr>
        <w:tabs>
          <w:tab w:val="left" w:pos="426"/>
        </w:tabs>
        <w:ind w:left="426" w:hanging="426"/>
        <w:jc w:val="both"/>
        <w:rPr>
          <w:rFonts w:ascii="Times New Roman" w:hAnsi="Times New Roman" w:eastAsia="等线 Light"/>
          <w:szCs w:val="24"/>
        </w:rPr>
      </w:pPr>
      <w:r>
        <w:rPr>
          <w:rFonts w:ascii="Times New Roman" w:hAnsi="Times New Roman" w:eastAsia="等线 Light"/>
          <w:szCs w:val="24"/>
        </w:rPr>
        <w:t>服务提供商必须遵守项目现场的所有规定。Penyedia Jasa wajib mentaati semua peraturan yang ada di lokasi proyek.</w:t>
      </w:r>
    </w:p>
    <w:p>
      <w:pPr>
        <w:pStyle w:val="39"/>
        <w:numPr>
          <w:ilvl w:val="0"/>
          <w:numId w:val="8"/>
        </w:numPr>
        <w:tabs>
          <w:tab w:val="left" w:pos="426"/>
        </w:tabs>
        <w:ind w:left="426" w:hanging="426"/>
        <w:jc w:val="both"/>
        <w:rPr>
          <w:rFonts w:ascii="Times New Roman" w:hAnsi="Times New Roman" w:eastAsia="等线 Light"/>
          <w:szCs w:val="24"/>
        </w:rPr>
      </w:pPr>
      <w:r>
        <w:rPr>
          <w:rFonts w:ascii="Times New Roman" w:hAnsi="Times New Roman" w:eastAsia="等线 Light"/>
          <w:szCs w:val="24"/>
        </w:rPr>
        <w:t>按照已制定的标准或现行法规，进行危险有害废物的管理（处理、利用和收集）和运输。Melakukan pengelolaan (pengolahan, pemanfaatan, pengumpulan) dan pengangkutan limbah bahan berbahaya dan beracun sesuai dengan standar yang telah ditetapkan atau regulasi yang berlaku.</w:t>
      </w:r>
    </w:p>
    <w:p>
      <w:pPr>
        <w:pStyle w:val="39"/>
        <w:numPr>
          <w:ilvl w:val="0"/>
          <w:numId w:val="8"/>
        </w:numPr>
        <w:tabs>
          <w:tab w:val="left" w:pos="426"/>
        </w:tabs>
        <w:ind w:left="426" w:hanging="426"/>
        <w:jc w:val="both"/>
        <w:rPr>
          <w:rFonts w:ascii="Times New Roman" w:hAnsi="Times New Roman" w:eastAsia="等线 Light"/>
          <w:szCs w:val="24"/>
        </w:rPr>
      </w:pPr>
      <w:r>
        <w:rPr>
          <w:rFonts w:ascii="Times New Roman" w:hAnsi="Times New Roman" w:eastAsia="等线 Light"/>
          <w:szCs w:val="24"/>
        </w:rPr>
        <w:t>每月提供关于危险有害废物的管理和运输活动的报告给公司。Menyediakan laporan bulanan mengenai kegiatan pengelolaan dan pengangkutan limbah bahan berbahaya dan beracun kepada Perusahaan.</w:t>
      </w:r>
    </w:p>
    <w:p>
      <w:pPr>
        <w:pStyle w:val="39"/>
        <w:numPr>
          <w:ilvl w:val="0"/>
          <w:numId w:val="8"/>
        </w:numPr>
        <w:tabs>
          <w:tab w:val="left" w:pos="426"/>
        </w:tabs>
        <w:ind w:left="426" w:hanging="426"/>
        <w:jc w:val="both"/>
        <w:rPr>
          <w:rFonts w:ascii="Times New Roman" w:hAnsi="Times New Roman" w:eastAsia="等线 Light"/>
          <w:szCs w:val="24"/>
        </w:rPr>
      </w:pPr>
      <w:r>
        <w:rPr>
          <w:rFonts w:ascii="Times New Roman" w:hAnsi="Times New Roman" w:eastAsia="等线 Light"/>
          <w:szCs w:val="24"/>
        </w:rPr>
        <w:t>遵循所有适用的安全和健康工作程序。Mengikuti semua prosedur keselamatan dan kesehatan kerja yang berlaku</w:t>
      </w:r>
    </w:p>
    <w:p>
      <w:pPr>
        <w:pStyle w:val="39"/>
        <w:numPr>
          <w:ilvl w:val="0"/>
          <w:numId w:val="8"/>
        </w:numPr>
        <w:tabs>
          <w:tab w:val="left" w:pos="426"/>
        </w:tabs>
        <w:ind w:left="426" w:hanging="426"/>
        <w:jc w:val="both"/>
        <w:rPr>
          <w:rFonts w:ascii="Times New Roman" w:hAnsi="Times New Roman" w:eastAsia="等线 Light"/>
          <w:szCs w:val="24"/>
        </w:rPr>
      </w:pPr>
      <w:r>
        <w:rPr>
          <w:rFonts w:ascii="Times New Roman" w:hAnsi="Times New Roman" w:eastAsia="等线 Light"/>
          <w:szCs w:val="24"/>
        </w:rPr>
        <w:t>负责与从该区域出口某些废物相关的环境保护程序，并承担相关费用。如果在运输过程中发生泄漏和运输物品损坏，所有责任由服务提供商承担。Bertanggung jawab atas prosedur perlindungan lingkungan yang terkait dengan ekspor limbah tertentu dari area tersebut, dan menanggung biaya terkait. Apabila ketika pengangkutan terjadi kebocoran dan kerusakan terhadap barang yang diangkut, semua merupakan tanggung jawab penyedia jasa.</w:t>
      </w:r>
    </w:p>
    <w:p>
      <w:pPr>
        <w:pStyle w:val="39"/>
        <w:numPr>
          <w:ilvl w:val="0"/>
          <w:numId w:val="8"/>
        </w:numPr>
        <w:tabs>
          <w:tab w:val="left" w:pos="426"/>
        </w:tabs>
        <w:ind w:left="426" w:hanging="426"/>
        <w:jc w:val="both"/>
        <w:rPr>
          <w:rFonts w:ascii="Times New Roman" w:hAnsi="Times New Roman" w:eastAsia="等线 Light"/>
          <w:szCs w:val="24"/>
        </w:rPr>
      </w:pPr>
      <w:r>
        <w:rPr>
          <w:rFonts w:ascii="Times New Roman" w:hAnsi="Times New Roman" w:eastAsia="等线 Light"/>
          <w:szCs w:val="24"/>
        </w:rPr>
        <w:t>如果库存达到运输要求的数量，服务提供商必须在7天内制定运输计划。Apabila jumlah stok sudah mencapai angka untuk pengangkutan, maka penyedia jasa wajib membuat jadwal pengangkutan dalam kurun waktu sebelum 7 hari.</w:t>
      </w:r>
    </w:p>
    <w:p>
      <w:pPr>
        <w:pStyle w:val="39"/>
        <w:numPr>
          <w:ilvl w:val="0"/>
          <w:numId w:val="8"/>
        </w:numPr>
        <w:tabs>
          <w:tab w:val="left" w:pos="426"/>
        </w:tabs>
        <w:ind w:left="426" w:hanging="426"/>
        <w:jc w:val="both"/>
        <w:rPr>
          <w:rFonts w:ascii="Times New Roman" w:hAnsi="Times New Roman" w:eastAsia="等线 Light"/>
          <w:szCs w:val="24"/>
        </w:rPr>
      </w:pPr>
      <w:r>
        <w:rPr>
          <w:rFonts w:ascii="Times New Roman" w:hAnsi="Times New Roman" w:eastAsia="等线 Light"/>
          <w:szCs w:val="24"/>
        </w:rPr>
        <w:t>必须对搬运工、运输工具和运输时间、以及运输废物的安全规定进行安排。Harus melakukan pengaturan terhadap buruh angkut, angkutan dan transportasi ,waktu pengangkutan dan regulasi keamanan terhadap pengangkutan limbah.</w:t>
      </w:r>
    </w:p>
    <w:p>
      <w:pPr>
        <w:pStyle w:val="39"/>
        <w:numPr>
          <w:ilvl w:val="0"/>
          <w:numId w:val="8"/>
        </w:numPr>
        <w:tabs>
          <w:tab w:val="left" w:pos="426"/>
        </w:tabs>
        <w:ind w:left="426" w:hanging="426"/>
        <w:jc w:val="both"/>
        <w:rPr>
          <w:rFonts w:ascii="Times New Roman" w:hAnsi="Times New Roman" w:eastAsia="等线 Light"/>
          <w:szCs w:val="24"/>
        </w:rPr>
      </w:pPr>
      <w:r>
        <w:rPr>
          <w:rFonts w:ascii="Times New Roman" w:hAnsi="Times New Roman" w:eastAsia="等线 Light"/>
          <w:szCs w:val="24"/>
        </w:rPr>
        <w:t>必须记录所管理的废物种类和数量，并提供“危险有害废物转移清单”报告。Harus melakukan pencatatan terhadap jenis dan jumlah limbah yang dikelola dan menyediakan laporan “Manifest Limbah Bahan Berbahaya Dan Beracun”.</w:t>
      </w:r>
    </w:p>
    <w:p>
      <w:pPr>
        <w:pStyle w:val="15"/>
        <w:numPr>
          <w:ilvl w:val="0"/>
          <w:numId w:val="8"/>
        </w:numPr>
        <w:ind w:left="426" w:hanging="426"/>
        <w:jc w:val="both"/>
      </w:pPr>
      <w:r>
        <w:rPr>
          <w:rFonts w:eastAsia="等线 Light"/>
          <w:kern w:val="2"/>
        </w:rPr>
        <w:tab/>
      </w:r>
      <w:r>
        <w:rPr>
          <w:rFonts w:eastAsia="等线 Light"/>
          <w:kern w:val="2"/>
          <w:lang w:val="en-US"/>
        </w:rPr>
        <w:t>服务提供商必须按照现行法规或政府规定处理和销毁废物，如果在销毁或处理废物过程中发生污染，则由服务提供商承担责任。 Penyedia Jasa wajib melakukan pengolahan dan pemusnahan</w:t>
      </w:r>
      <w:r>
        <w:rPr>
          <w:rFonts w:eastAsia="等线 Light"/>
        </w:rPr>
        <w:t xml:space="preserve"> limbah sesuai dengan regulasi atau peraturan pemerintah yang berlaku, apabila ketika dilakukan pemusnahan atau pengolahan limbah terjadi pencemaran, maka itu merupakan tanggung jawab Penyedia Jasa.</w:t>
      </w:r>
    </w:p>
    <w:tbl>
      <w:tblPr>
        <w:tblStyle w:val="18"/>
        <w:tblW w:w="11019" w:type="dxa"/>
        <w:tblInd w:w="-743" w:type="dxa"/>
        <w:tblLayout w:type="fixed"/>
        <w:tblCellMar>
          <w:top w:w="0" w:type="dxa"/>
          <w:left w:w="108" w:type="dxa"/>
          <w:bottom w:w="0" w:type="dxa"/>
          <w:right w:w="108" w:type="dxa"/>
        </w:tblCellMar>
      </w:tblPr>
      <w:tblGrid>
        <w:gridCol w:w="704"/>
        <w:gridCol w:w="4960"/>
        <w:gridCol w:w="1444"/>
        <w:gridCol w:w="1295"/>
        <w:gridCol w:w="1286"/>
        <w:gridCol w:w="1080"/>
        <w:gridCol w:w="236"/>
        <w:gridCol w:w="14"/>
      </w:tblGrid>
      <w:tr>
        <w:tblPrEx>
          <w:tblLayout w:type="fixed"/>
          <w:tblCellMar>
            <w:top w:w="0" w:type="dxa"/>
            <w:left w:w="108" w:type="dxa"/>
            <w:bottom w:w="0" w:type="dxa"/>
            <w:right w:w="108" w:type="dxa"/>
          </w:tblCellMar>
        </w:tblPrEx>
        <w:trPr>
          <w:gridAfter w:val="2"/>
          <w:wAfter w:w="250" w:type="dxa"/>
          <w:trHeight w:val="819" w:hRule="atLeast"/>
        </w:trPr>
        <w:tc>
          <w:tcPr>
            <w:tcW w:w="704" w:type="dxa"/>
            <w:vMerge w:val="restart"/>
            <w:tcBorders>
              <w:top w:val="single" w:color="auto" w:sz="4" w:space="0"/>
              <w:left w:val="single" w:color="auto" w:sz="4" w:space="0"/>
              <w:bottom w:val="single" w:color="000000" w:sz="4" w:space="0"/>
              <w:right w:val="single" w:color="auto" w:sz="4" w:space="0"/>
            </w:tcBorders>
            <w:noWrap w:val="0"/>
            <w:vAlign w:val="center"/>
          </w:tcPr>
          <w:p>
            <w:pPr>
              <w:widowControl/>
              <w:adjustRightInd w:val="0"/>
              <w:snapToGrid w:val="0"/>
              <w:jc w:val="center"/>
              <w:rPr>
                <w:rFonts w:eastAsia="等线"/>
                <w:b/>
                <w:bCs/>
                <w:color w:val="000000"/>
                <w:kern w:val="0"/>
                <w:sz w:val="22"/>
                <w:szCs w:val="22"/>
                <w:lang w:val="id-ID"/>
              </w:rPr>
            </w:pPr>
            <w:r>
              <w:rPr>
                <w:rFonts w:eastAsia="等线"/>
                <w:b/>
                <w:bCs/>
                <w:color w:val="000000"/>
                <w:kern w:val="0"/>
                <w:sz w:val="22"/>
                <w:szCs w:val="22"/>
                <w:lang w:val="id-ID"/>
              </w:rPr>
              <w:t>书号</w:t>
            </w:r>
            <w:r>
              <w:rPr>
                <w:rFonts w:eastAsia="等线"/>
                <w:b/>
                <w:bCs/>
                <w:color w:val="000000"/>
                <w:kern w:val="0"/>
                <w:sz w:val="22"/>
                <w:szCs w:val="22"/>
                <w:lang w:val="id-ID"/>
              </w:rPr>
              <w:br w:type="textWrapping"/>
            </w:r>
            <w:r>
              <w:rPr>
                <w:rFonts w:eastAsia="等线"/>
                <w:b/>
                <w:bCs/>
                <w:color w:val="000000"/>
                <w:kern w:val="0"/>
                <w:sz w:val="22"/>
                <w:szCs w:val="22"/>
                <w:lang w:val="id-ID"/>
              </w:rPr>
              <w:t>No.</w:t>
            </w:r>
          </w:p>
        </w:tc>
        <w:tc>
          <w:tcPr>
            <w:tcW w:w="4960" w:type="dxa"/>
            <w:vMerge w:val="restart"/>
            <w:tcBorders>
              <w:top w:val="single" w:color="auto" w:sz="4" w:space="0"/>
              <w:left w:val="single" w:color="auto" w:sz="4" w:space="0"/>
              <w:bottom w:val="single" w:color="000000" w:sz="4" w:space="0"/>
              <w:right w:val="single" w:color="auto" w:sz="4" w:space="0"/>
            </w:tcBorders>
            <w:noWrap w:val="0"/>
            <w:vAlign w:val="center"/>
          </w:tcPr>
          <w:p>
            <w:pPr>
              <w:widowControl/>
              <w:adjustRightInd w:val="0"/>
              <w:snapToGrid w:val="0"/>
              <w:jc w:val="center"/>
              <w:rPr>
                <w:rFonts w:eastAsia="等线"/>
                <w:b/>
                <w:bCs/>
                <w:color w:val="000000"/>
                <w:kern w:val="0"/>
                <w:sz w:val="22"/>
                <w:szCs w:val="22"/>
                <w:lang w:val="id-ID"/>
              </w:rPr>
            </w:pPr>
            <w:r>
              <w:rPr>
                <w:rFonts w:eastAsia="等线"/>
                <w:b/>
                <w:bCs/>
                <w:color w:val="000000"/>
                <w:kern w:val="0"/>
                <w:sz w:val="22"/>
                <w:szCs w:val="22"/>
                <w:lang w:val="id-ID"/>
              </w:rPr>
              <w:t>列表名称有毒和危险废物</w:t>
            </w:r>
          </w:p>
          <w:p>
            <w:pPr>
              <w:widowControl/>
              <w:adjustRightInd w:val="0"/>
              <w:snapToGrid w:val="0"/>
              <w:jc w:val="center"/>
              <w:rPr>
                <w:rFonts w:eastAsia="等线"/>
                <w:b/>
                <w:bCs/>
                <w:color w:val="000000"/>
                <w:kern w:val="0"/>
                <w:sz w:val="22"/>
                <w:szCs w:val="22"/>
                <w:lang w:val="id-ID"/>
              </w:rPr>
            </w:pPr>
            <w:r>
              <w:rPr>
                <w:rFonts w:eastAsia="等线"/>
                <w:b/>
                <w:bCs/>
                <w:color w:val="000000"/>
                <w:kern w:val="0"/>
                <w:sz w:val="22"/>
                <w:szCs w:val="22"/>
                <w:lang w:val="id-ID"/>
              </w:rPr>
              <w:t>NAME OF LIST LB3</w:t>
            </w:r>
          </w:p>
        </w:tc>
        <w:tc>
          <w:tcPr>
            <w:tcW w:w="1444" w:type="dxa"/>
            <w:vMerge w:val="restart"/>
            <w:tcBorders>
              <w:top w:val="single" w:color="auto" w:sz="4" w:space="0"/>
              <w:left w:val="single" w:color="auto" w:sz="4" w:space="0"/>
              <w:bottom w:val="single" w:color="000000" w:sz="4" w:space="0"/>
              <w:right w:val="single" w:color="auto" w:sz="4" w:space="0"/>
            </w:tcBorders>
            <w:noWrap w:val="0"/>
            <w:vAlign w:val="center"/>
          </w:tcPr>
          <w:p>
            <w:pPr>
              <w:widowControl/>
              <w:adjustRightInd w:val="0"/>
              <w:snapToGrid w:val="0"/>
              <w:jc w:val="center"/>
              <w:rPr>
                <w:rFonts w:eastAsia="等线"/>
                <w:b/>
                <w:bCs/>
                <w:color w:val="000000"/>
                <w:kern w:val="0"/>
                <w:sz w:val="22"/>
                <w:szCs w:val="22"/>
                <w:lang w:val="id-ID"/>
              </w:rPr>
            </w:pPr>
            <w:r>
              <w:rPr>
                <w:rFonts w:eastAsia="等线"/>
                <w:b/>
                <w:bCs/>
                <w:color w:val="000000"/>
                <w:kern w:val="0"/>
                <w:sz w:val="22"/>
                <w:szCs w:val="22"/>
                <w:lang w:val="id-ID"/>
              </w:rPr>
              <w:t>来源SOURCE</w:t>
            </w:r>
          </w:p>
        </w:tc>
        <w:tc>
          <w:tcPr>
            <w:tcW w:w="1295" w:type="dxa"/>
            <w:vMerge w:val="restart"/>
            <w:tcBorders>
              <w:top w:val="single" w:color="auto" w:sz="4" w:space="0"/>
              <w:left w:val="single" w:color="auto" w:sz="4" w:space="0"/>
              <w:bottom w:val="single" w:color="000000" w:sz="4" w:space="0"/>
              <w:right w:val="single" w:color="auto" w:sz="4" w:space="0"/>
            </w:tcBorders>
            <w:noWrap w:val="0"/>
            <w:vAlign w:val="center"/>
          </w:tcPr>
          <w:p>
            <w:pPr>
              <w:widowControl/>
              <w:adjustRightInd w:val="0"/>
              <w:snapToGrid w:val="0"/>
              <w:jc w:val="center"/>
              <w:rPr>
                <w:rFonts w:eastAsia="等线"/>
                <w:b/>
                <w:bCs/>
                <w:color w:val="000000"/>
                <w:kern w:val="0"/>
                <w:sz w:val="22"/>
                <w:szCs w:val="22"/>
                <w:lang w:val="id-ID"/>
              </w:rPr>
            </w:pPr>
            <w:r>
              <w:rPr>
                <w:rFonts w:eastAsia="等线"/>
                <w:b/>
                <w:bCs/>
                <w:color w:val="000000"/>
                <w:kern w:val="0"/>
                <w:sz w:val="22"/>
                <w:szCs w:val="22"/>
                <w:lang w:val="id-ID"/>
              </w:rPr>
              <w:t>废物代码WASTE CODE</w:t>
            </w:r>
          </w:p>
        </w:tc>
        <w:tc>
          <w:tcPr>
            <w:tcW w:w="1286" w:type="dxa"/>
            <w:vMerge w:val="restart"/>
            <w:tcBorders>
              <w:top w:val="single" w:color="auto" w:sz="4" w:space="0"/>
              <w:left w:val="single" w:color="auto" w:sz="4" w:space="0"/>
              <w:right w:val="single" w:color="auto" w:sz="4" w:space="0"/>
            </w:tcBorders>
            <w:noWrap w:val="0"/>
            <w:vAlign w:val="center"/>
          </w:tcPr>
          <w:p>
            <w:pPr>
              <w:widowControl/>
              <w:adjustRightInd w:val="0"/>
              <w:snapToGrid w:val="0"/>
              <w:jc w:val="center"/>
              <w:rPr>
                <w:rFonts w:ascii="等线" w:hAnsi="等线" w:eastAsia="等线" w:cs="等线"/>
                <w:b/>
                <w:bCs/>
                <w:color w:val="000000"/>
                <w:sz w:val="22"/>
                <w:szCs w:val="22"/>
                <w:lang w:val="id-ID"/>
              </w:rPr>
            </w:pPr>
            <w:r>
              <w:rPr>
                <w:rFonts w:hint="eastAsia" w:ascii="等线" w:hAnsi="等线" w:eastAsia="等线" w:cs="等线"/>
                <w:b/>
                <w:bCs/>
                <w:color w:val="000000"/>
                <w:sz w:val="22"/>
                <w:szCs w:val="22"/>
              </w:rPr>
              <w:t>数量</w:t>
            </w:r>
          </w:p>
          <w:p>
            <w:pPr>
              <w:widowControl/>
              <w:adjustRightInd w:val="0"/>
              <w:snapToGrid w:val="0"/>
              <w:jc w:val="center"/>
              <w:rPr>
                <w:rFonts w:eastAsia="等线"/>
                <w:b/>
                <w:bCs/>
                <w:color w:val="000000"/>
                <w:kern w:val="0"/>
                <w:sz w:val="22"/>
                <w:szCs w:val="22"/>
                <w:lang w:val="id-ID"/>
              </w:rPr>
            </w:pPr>
            <w:r>
              <w:rPr>
                <w:rFonts w:ascii="等线" w:hAnsi="等线" w:eastAsia="等线" w:cs="等线"/>
                <w:b/>
                <w:bCs/>
                <w:color w:val="000000"/>
                <w:sz w:val="22"/>
                <w:szCs w:val="22"/>
              </w:rPr>
              <w:t>QUANTITY</w:t>
            </w:r>
          </w:p>
        </w:tc>
        <w:tc>
          <w:tcPr>
            <w:tcW w:w="1080"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eastAsia="等线"/>
                <w:b/>
                <w:bCs/>
                <w:color w:val="000000"/>
                <w:kern w:val="0"/>
                <w:sz w:val="22"/>
                <w:szCs w:val="22"/>
                <w:lang w:val="id-ID"/>
              </w:rPr>
            </w:pPr>
            <w:r>
              <w:rPr>
                <w:rFonts w:hint="eastAsia" w:ascii="等线" w:hAnsi="等线" w:eastAsia="等线" w:cs="等线"/>
                <w:b/>
                <w:bCs/>
                <w:color w:val="000000"/>
                <w:sz w:val="22"/>
                <w:szCs w:val="22"/>
              </w:rPr>
              <w:t>单位UNIT</w:t>
            </w:r>
          </w:p>
        </w:tc>
      </w:tr>
      <w:tr>
        <w:tblPrEx>
          <w:tblLayout w:type="fixed"/>
          <w:tblCellMar>
            <w:top w:w="0" w:type="dxa"/>
            <w:left w:w="108" w:type="dxa"/>
            <w:bottom w:w="0" w:type="dxa"/>
            <w:right w:w="108" w:type="dxa"/>
          </w:tblCellMar>
        </w:tblPrEx>
        <w:trPr>
          <w:gridAfter w:val="1"/>
          <w:wAfter w:w="14" w:type="dxa"/>
          <w:trHeight w:val="54" w:hRule="atLeast"/>
        </w:trPr>
        <w:tc>
          <w:tcPr>
            <w:tcW w:w="704" w:type="dxa"/>
            <w:vMerge w:val="continue"/>
            <w:tcBorders>
              <w:top w:val="single" w:color="auto" w:sz="4" w:space="0"/>
              <w:left w:val="single" w:color="auto" w:sz="4" w:space="0"/>
              <w:bottom w:val="single" w:color="000000" w:sz="4" w:space="0"/>
              <w:right w:val="single" w:color="auto" w:sz="4" w:space="0"/>
            </w:tcBorders>
            <w:noWrap w:val="0"/>
            <w:vAlign w:val="center"/>
          </w:tcPr>
          <w:p>
            <w:pPr>
              <w:widowControl/>
              <w:adjustRightInd w:val="0"/>
              <w:snapToGrid w:val="0"/>
              <w:jc w:val="left"/>
              <w:rPr>
                <w:rFonts w:eastAsia="等线"/>
                <w:b/>
                <w:bCs/>
                <w:color w:val="000000"/>
                <w:kern w:val="0"/>
                <w:sz w:val="22"/>
                <w:szCs w:val="22"/>
                <w:lang w:val="id-ID"/>
              </w:rPr>
            </w:pPr>
          </w:p>
        </w:tc>
        <w:tc>
          <w:tcPr>
            <w:tcW w:w="4960" w:type="dxa"/>
            <w:vMerge w:val="continue"/>
            <w:tcBorders>
              <w:top w:val="single" w:color="auto" w:sz="4" w:space="0"/>
              <w:left w:val="single" w:color="auto" w:sz="4" w:space="0"/>
              <w:bottom w:val="single" w:color="000000" w:sz="4" w:space="0"/>
              <w:right w:val="single" w:color="auto" w:sz="4" w:space="0"/>
            </w:tcBorders>
            <w:noWrap w:val="0"/>
            <w:vAlign w:val="center"/>
          </w:tcPr>
          <w:p>
            <w:pPr>
              <w:widowControl/>
              <w:adjustRightInd w:val="0"/>
              <w:snapToGrid w:val="0"/>
              <w:jc w:val="left"/>
              <w:rPr>
                <w:rFonts w:eastAsia="等线"/>
                <w:b/>
                <w:bCs/>
                <w:color w:val="000000"/>
                <w:kern w:val="0"/>
                <w:sz w:val="22"/>
                <w:szCs w:val="22"/>
                <w:lang w:val="id-ID"/>
              </w:rPr>
            </w:pPr>
          </w:p>
        </w:tc>
        <w:tc>
          <w:tcPr>
            <w:tcW w:w="1444" w:type="dxa"/>
            <w:vMerge w:val="continue"/>
            <w:tcBorders>
              <w:top w:val="single" w:color="auto" w:sz="4" w:space="0"/>
              <w:left w:val="single" w:color="auto" w:sz="4" w:space="0"/>
              <w:bottom w:val="single" w:color="000000" w:sz="4" w:space="0"/>
              <w:right w:val="single" w:color="auto" w:sz="4" w:space="0"/>
            </w:tcBorders>
            <w:noWrap w:val="0"/>
            <w:vAlign w:val="center"/>
          </w:tcPr>
          <w:p>
            <w:pPr>
              <w:widowControl/>
              <w:adjustRightInd w:val="0"/>
              <w:snapToGrid w:val="0"/>
              <w:jc w:val="left"/>
              <w:rPr>
                <w:rFonts w:eastAsia="等线"/>
                <w:b/>
                <w:bCs/>
                <w:color w:val="000000"/>
                <w:kern w:val="0"/>
                <w:sz w:val="22"/>
                <w:szCs w:val="22"/>
                <w:lang w:val="id-ID"/>
              </w:rPr>
            </w:pPr>
          </w:p>
        </w:tc>
        <w:tc>
          <w:tcPr>
            <w:tcW w:w="1295" w:type="dxa"/>
            <w:vMerge w:val="continue"/>
            <w:tcBorders>
              <w:top w:val="single" w:color="auto" w:sz="4" w:space="0"/>
              <w:left w:val="single" w:color="auto" w:sz="4" w:space="0"/>
              <w:bottom w:val="single" w:color="000000" w:sz="4" w:space="0"/>
              <w:right w:val="single" w:color="auto" w:sz="4" w:space="0"/>
            </w:tcBorders>
            <w:noWrap w:val="0"/>
            <w:vAlign w:val="center"/>
          </w:tcPr>
          <w:p>
            <w:pPr>
              <w:widowControl/>
              <w:adjustRightInd w:val="0"/>
              <w:snapToGrid w:val="0"/>
              <w:jc w:val="left"/>
              <w:rPr>
                <w:rFonts w:eastAsia="等线"/>
                <w:b/>
                <w:bCs/>
                <w:color w:val="000000"/>
                <w:kern w:val="0"/>
                <w:sz w:val="22"/>
                <w:szCs w:val="22"/>
                <w:lang w:val="id-ID"/>
              </w:rPr>
            </w:pPr>
          </w:p>
        </w:tc>
        <w:tc>
          <w:tcPr>
            <w:tcW w:w="1286" w:type="dxa"/>
            <w:vMerge w:val="continue"/>
            <w:tcBorders>
              <w:left w:val="single" w:color="auto" w:sz="4" w:space="0"/>
              <w:bottom w:val="single" w:color="auto" w:sz="4" w:space="0"/>
              <w:right w:val="single" w:color="auto" w:sz="4" w:space="0"/>
            </w:tcBorders>
            <w:noWrap w:val="0"/>
            <w:vAlign w:val="top"/>
          </w:tcPr>
          <w:p>
            <w:pPr>
              <w:widowControl/>
              <w:jc w:val="center"/>
              <w:rPr>
                <w:rFonts w:eastAsia="等线"/>
                <w:b/>
                <w:bCs/>
                <w:color w:val="000000"/>
                <w:kern w:val="0"/>
                <w:sz w:val="22"/>
                <w:szCs w:val="22"/>
                <w:lang w:val="id-ID"/>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top"/>
          </w:tcPr>
          <w:p>
            <w:pPr>
              <w:widowControl/>
              <w:jc w:val="center"/>
              <w:rPr>
                <w:rFonts w:eastAsia="等线"/>
                <w:b/>
                <w:bCs/>
                <w:color w:val="000000"/>
                <w:kern w:val="0"/>
                <w:sz w:val="22"/>
                <w:szCs w:val="22"/>
                <w:lang w:val="id-ID"/>
              </w:rPr>
            </w:pPr>
          </w:p>
        </w:tc>
        <w:tc>
          <w:tcPr>
            <w:tcW w:w="236" w:type="dxa"/>
            <w:tcBorders>
              <w:top w:val="nil"/>
              <w:left w:val="single" w:color="auto" w:sz="4" w:space="0"/>
              <w:bottom w:val="nil"/>
              <w:right w:val="nil"/>
            </w:tcBorders>
            <w:noWrap/>
            <w:vAlign w:val="bottom"/>
          </w:tcPr>
          <w:p>
            <w:pPr>
              <w:widowControl/>
              <w:jc w:val="center"/>
              <w:rPr>
                <w:rFonts w:eastAsia="等线"/>
                <w:b/>
                <w:bCs/>
                <w:color w:val="000000"/>
                <w:kern w:val="0"/>
                <w:sz w:val="22"/>
                <w:szCs w:val="22"/>
                <w:lang w:val="id-ID"/>
              </w:rPr>
            </w:pPr>
          </w:p>
        </w:tc>
      </w:tr>
      <w:tr>
        <w:tblPrEx>
          <w:tblLayout w:type="fixed"/>
          <w:tblCellMar>
            <w:top w:w="0" w:type="dxa"/>
            <w:left w:w="108" w:type="dxa"/>
            <w:bottom w:w="0" w:type="dxa"/>
            <w:right w:w="108" w:type="dxa"/>
          </w:tblCellMar>
        </w:tblPrEx>
        <w:trPr>
          <w:gridAfter w:val="1"/>
          <w:wAfter w:w="14" w:type="dxa"/>
          <w:trHeight w:val="560" w:hRule="atLeast"/>
        </w:trPr>
        <w:tc>
          <w:tcPr>
            <w:tcW w:w="704" w:type="dxa"/>
            <w:tcBorders>
              <w:top w:val="nil"/>
              <w:left w:val="single" w:color="auto" w:sz="4" w:space="0"/>
              <w:bottom w:val="single" w:color="auto" w:sz="4" w:space="0"/>
              <w:right w:val="single" w:color="auto" w:sz="4" w:space="0"/>
            </w:tcBorders>
            <w:noWrap/>
            <w:vAlign w:val="center"/>
          </w:tcPr>
          <w:p>
            <w:pPr>
              <w:widowControl/>
              <w:adjustRightInd w:val="0"/>
              <w:snapToGrid w:val="0"/>
              <w:jc w:val="center"/>
              <w:rPr>
                <w:rFonts w:eastAsia="等线"/>
                <w:color w:val="000000"/>
                <w:kern w:val="0"/>
                <w:sz w:val="22"/>
                <w:szCs w:val="22"/>
                <w:lang w:val="id-ID"/>
              </w:rPr>
            </w:pPr>
            <w:r>
              <w:rPr>
                <w:rFonts w:eastAsia="等线"/>
                <w:color w:val="000000"/>
                <w:kern w:val="0"/>
                <w:sz w:val="22"/>
                <w:szCs w:val="22"/>
                <w:lang w:val="id-ID"/>
              </w:rPr>
              <w:t>1</w:t>
            </w:r>
          </w:p>
        </w:tc>
        <w:tc>
          <w:tcPr>
            <w:tcW w:w="4960" w:type="dxa"/>
            <w:tcBorders>
              <w:top w:val="nil"/>
              <w:left w:val="nil"/>
              <w:bottom w:val="single" w:color="auto" w:sz="4" w:space="0"/>
              <w:right w:val="single" w:color="auto" w:sz="4" w:space="0"/>
            </w:tcBorders>
            <w:noWrap w:val="0"/>
            <w:vAlign w:val="center"/>
          </w:tcPr>
          <w:p>
            <w:pPr>
              <w:widowControl/>
              <w:adjustRightInd w:val="0"/>
              <w:snapToGrid w:val="0"/>
              <w:jc w:val="left"/>
              <w:rPr>
                <w:rFonts w:eastAsia="等线"/>
                <w:color w:val="000000"/>
                <w:kern w:val="0"/>
                <w:sz w:val="22"/>
                <w:szCs w:val="22"/>
                <w:lang w:val="id-ID"/>
              </w:rPr>
            </w:pPr>
            <w:r>
              <w:rPr>
                <w:rFonts w:eastAsia="等线"/>
                <w:i/>
                <w:iCs/>
                <w:color w:val="000000"/>
                <w:kern w:val="0"/>
                <w:sz w:val="22"/>
                <w:szCs w:val="22"/>
                <w:lang w:val="id-ID"/>
              </w:rPr>
              <w:t>废润滑剂</w:t>
            </w:r>
            <w:r>
              <w:rPr>
                <w:rFonts w:eastAsia="等线"/>
                <w:color w:val="000000"/>
                <w:kern w:val="0"/>
                <w:sz w:val="22"/>
                <w:szCs w:val="22"/>
                <w:lang w:val="id-ID"/>
              </w:rPr>
              <w:t xml:space="preserve"> Pelumas Bekas </w:t>
            </w:r>
          </w:p>
        </w:tc>
        <w:tc>
          <w:tcPr>
            <w:tcW w:w="1444" w:type="dxa"/>
            <w:tcBorders>
              <w:top w:val="nil"/>
              <w:left w:val="nil"/>
              <w:bottom w:val="single" w:color="auto" w:sz="4" w:space="0"/>
              <w:right w:val="single" w:color="auto" w:sz="4" w:space="0"/>
            </w:tcBorders>
            <w:noWrap w:val="0"/>
            <w:vAlign w:val="center"/>
          </w:tcPr>
          <w:p>
            <w:pPr>
              <w:widowControl/>
              <w:adjustRightInd w:val="0"/>
              <w:snapToGrid w:val="0"/>
              <w:jc w:val="center"/>
              <w:rPr>
                <w:rFonts w:eastAsia="等线"/>
                <w:color w:val="000000"/>
                <w:kern w:val="0"/>
                <w:sz w:val="22"/>
                <w:szCs w:val="22"/>
                <w:lang w:val="id-ID"/>
              </w:rPr>
            </w:pPr>
            <w:r>
              <w:rPr>
                <w:rFonts w:eastAsia="等线"/>
                <w:color w:val="000000"/>
                <w:kern w:val="0"/>
                <w:sz w:val="22"/>
                <w:szCs w:val="22"/>
                <w:lang w:val="id-ID"/>
              </w:rPr>
              <w:t>Maintenance维护</w:t>
            </w:r>
          </w:p>
        </w:tc>
        <w:tc>
          <w:tcPr>
            <w:tcW w:w="1295" w:type="dxa"/>
            <w:tcBorders>
              <w:top w:val="nil"/>
              <w:left w:val="nil"/>
              <w:bottom w:val="single" w:color="auto" w:sz="4" w:space="0"/>
              <w:right w:val="single" w:color="auto" w:sz="4" w:space="0"/>
            </w:tcBorders>
            <w:noWrap/>
            <w:vAlign w:val="center"/>
          </w:tcPr>
          <w:p>
            <w:pPr>
              <w:widowControl/>
              <w:adjustRightInd w:val="0"/>
              <w:snapToGrid w:val="0"/>
              <w:jc w:val="center"/>
              <w:rPr>
                <w:rFonts w:eastAsia="等线"/>
                <w:color w:val="000000"/>
                <w:kern w:val="0"/>
                <w:sz w:val="22"/>
                <w:szCs w:val="22"/>
                <w:lang w:val="id-ID"/>
              </w:rPr>
            </w:pPr>
            <w:r>
              <w:rPr>
                <w:rFonts w:eastAsia="等线"/>
                <w:color w:val="000000"/>
                <w:kern w:val="0"/>
                <w:sz w:val="22"/>
                <w:szCs w:val="22"/>
                <w:lang w:val="id-ID"/>
              </w:rPr>
              <w:t>B105d</w:t>
            </w:r>
          </w:p>
        </w:tc>
        <w:tc>
          <w:tcPr>
            <w:tcW w:w="1286" w:type="dxa"/>
            <w:tcBorders>
              <w:top w:val="single" w:color="auto" w:sz="4" w:space="0"/>
              <w:bottom w:val="single" w:color="auto" w:sz="4" w:space="0"/>
              <w:right w:val="single" w:color="auto" w:sz="4" w:space="0"/>
            </w:tcBorders>
            <w:noWrap w:val="0"/>
            <w:vAlign w:val="top"/>
          </w:tcPr>
          <w:p>
            <w:pPr>
              <w:widowControl/>
              <w:jc w:val="center"/>
              <w:rPr>
                <w:rFonts w:eastAsia="Times New Roman"/>
                <w:kern w:val="0"/>
                <w:sz w:val="22"/>
                <w:szCs w:val="22"/>
                <w:lang w:val="id-ID"/>
              </w:rPr>
            </w:pPr>
            <w:r>
              <w:rPr>
                <w:rFonts w:eastAsia="Times New Roman"/>
                <w:kern w:val="0"/>
                <w:sz w:val="22"/>
                <w:szCs w:val="22"/>
                <w:lang w:val="id-ID"/>
              </w:rPr>
              <w:t>12000</w:t>
            </w:r>
          </w:p>
        </w:tc>
        <w:tc>
          <w:tcPr>
            <w:tcW w:w="1080" w:type="dxa"/>
            <w:tcBorders>
              <w:top w:val="single" w:color="auto" w:sz="4" w:space="0"/>
              <w:left w:val="single" w:color="auto" w:sz="4" w:space="0"/>
              <w:bottom w:val="single" w:color="auto" w:sz="4" w:space="0"/>
              <w:right w:val="single" w:color="auto" w:sz="4" w:space="0"/>
            </w:tcBorders>
            <w:noWrap w:val="0"/>
            <w:vAlign w:val="top"/>
          </w:tcPr>
          <w:p>
            <w:pPr>
              <w:widowControl/>
              <w:jc w:val="center"/>
              <w:rPr>
                <w:rFonts w:eastAsia="Times New Roman"/>
                <w:kern w:val="0"/>
                <w:sz w:val="22"/>
                <w:szCs w:val="22"/>
                <w:lang w:val="id-ID"/>
              </w:rPr>
            </w:pPr>
            <w:r>
              <w:rPr>
                <w:rFonts w:hint="eastAsia" w:ascii="等线" w:hAnsi="等线" w:eastAsia="等线" w:cs="等线"/>
                <w:sz w:val="22"/>
                <w:szCs w:val="22"/>
              </w:rPr>
              <w:t>公斤Kg</w:t>
            </w:r>
          </w:p>
        </w:tc>
        <w:tc>
          <w:tcPr>
            <w:tcW w:w="236" w:type="dxa"/>
            <w:tcBorders>
              <w:left w:val="single" w:color="auto" w:sz="4" w:space="0"/>
            </w:tcBorders>
            <w:noWrap w:val="0"/>
            <w:vAlign w:val="center"/>
          </w:tcPr>
          <w:p>
            <w:pPr>
              <w:widowControl/>
              <w:jc w:val="left"/>
              <w:rPr>
                <w:rFonts w:eastAsia="Times New Roman"/>
                <w:kern w:val="0"/>
                <w:sz w:val="22"/>
                <w:szCs w:val="22"/>
                <w:lang w:val="id-ID"/>
              </w:rPr>
            </w:pPr>
          </w:p>
        </w:tc>
      </w:tr>
      <w:tr>
        <w:tblPrEx>
          <w:tblLayout w:type="fixed"/>
          <w:tblCellMar>
            <w:top w:w="0" w:type="dxa"/>
            <w:left w:w="108" w:type="dxa"/>
            <w:bottom w:w="0" w:type="dxa"/>
            <w:right w:w="108" w:type="dxa"/>
          </w:tblCellMar>
        </w:tblPrEx>
        <w:trPr>
          <w:gridAfter w:val="1"/>
          <w:wAfter w:w="14" w:type="dxa"/>
          <w:trHeight w:val="560" w:hRule="atLeast"/>
        </w:trPr>
        <w:tc>
          <w:tcPr>
            <w:tcW w:w="704" w:type="dxa"/>
            <w:tcBorders>
              <w:top w:val="nil"/>
              <w:left w:val="single" w:color="auto" w:sz="4" w:space="0"/>
              <w:bottom w:val="single" w:color="auto" w:sz="4" w:space="0"/>
              <w:right w:val="single" w:color="auto" w:sz="4" w:space="0"/>
            </w:tcBorders>
            <w:noWrap/>
            <w:vAlign w:val="center"/>
          </w:tcPr>
          <w:p>
            <w:pPr>
              <w:widowControl/>
              <w:adjustRightInd w:val="0"/>
              <w:snapToGrid w:val="0"/>
              <w:jc w:val="center"/>
              <w:rPr>
                <w:rFonts w:eastAsia="等线"/>
                <w:color w:val="000000"/>
                <w:kern w:val="0"/>
                <w:sz w:val="22"/>
                <w:szCs w:val="22"/>
                <w:lang w:val="id-ID"/>
              </w:rPr>
            </w:pPr>
            <w:r>
              <w:rPr>
                <w:rFonts w:eastAsia="等线"/>
                <w:color w:val="000000"/>
                <w:kern w:val="0"/>
                <w:sz w:val="22"/>
                <w:szCs w:val="22"/>
                <w:lang w:val="id-ID"/>
              </w:rPr>
              <w:t>2</w:t>
            </w:r>
          </w:p>
        </w:tc>
        <w:tc>
          <w:tcPr>
            <w:tcW w:w="4960" w:type="dxa"/>
            <w:tcBorders>
              <w:top w:val="nil"/>
              <w:left w:val="nil"/>
              <w:bottom w:val="single" w:color="auto" w:sz="4" w:space="0"/>
              <w:right w:val="single" w:color="auto" w:sz="4" w:space="0"/>
            </w:tcBorders>
            <w:noWrap w:val="0"/>
            <w:vAlign w:val="center"/>
          </w:tcPr>
          <w:p>
            <w:pPr>
              <w:widowControl/>
              <w:adjustRightInd w:val="0"/>
              <w:snapToGrid w:val="0"/>
              <w:jc w:val="left"/>
              <w:rPr>
                <w:rFonts w:eastAsia="等线"/>
                <w:color w:val="000000"/>
                <w:kern w:val="0"/>
                <w:sz w:val="22"/>
                <w:szCs w:val="22"/>
                <w:lang w:val="id-ID"/>
              </w:rPr>
            </w:pPr>
            <w:r>
              <w:rPr>
                <w:rFonts w:eastAsia="等线"/>
                <w:i/>
                <w:iCs/>
                <w:color w:val="000000"/>
                <w:kern w:val="0"/>
                <w:sz w:val="22"/>
                <w:szCs w:val="22"/>
                <w:lang w:val="id-ID"/>
              </w:rPr>
              <w:t xml:space="preserve">用过的抹布/吸油布等 </w:t>
            </w:r>
            <w:r>
              <w:rPr>
                <w:rFonts w:eastAsia="等线"/>
                <w:color w:val="000000"/>
                <w:kern w:val="0"/>
                <w:sz w:val="22"/>
                <w:szCs w:val="22"/>
                <w:lang w:val="id-ID"/>
              </w:rPr>
              <w:t>Majun Bekas (used rags)/ Penyerap Oli dan sejenisnya</w:t>
            </w:r>
          </w:p>
        </w:tc>
        <w:tc>
          <w:tcPr>
            <w:tcW w:w="1444" w:type="dxa"/>
            <w:tcBorders>
              <w:top w:val="nil"/>
              <w:left w:val="nil"/>
              <w:bottom w:val="single" w:color="auto" w:sz="4" w:space="0"/>
              <w:right w:val="single" w:color="auto" w:sz="4" w:space="0"/>
            </w:tcBorders>
            <w:noWrap w:val="0"/>
            <w:vAlign w:val="center"/>
          </w:tcPr>
          <w:p>
            <w:pPr>
              <w:widowControl/>
              <w:adjustRightInd w:val="0"/>
              <w:snapToGrid w:val="0"/>
              <w:jc w:val="center"/>
              <w:rPr>
                <w:rFonts w:eastAsia="等线"/>
                <w:color w:val="000000"/>
                <w:kern w:val="0"/>
                <w:sz w:val="22"/>
                <w:szCs w:val="22"/>
                <w:lang w:val="id-ID"/>
              </w:rPr>
            </w:pPr>
            <w:r>
              <w:rPr>
                <w:rFonts w:eastAsia="等线"/>
                <w:color w:val="000000"/>
                <w:kern w:val="0"/>
                <w:sz w:val="22"/>
                <w:szCs w:val="22"/>
                <w:lang w:val="id-ID"/>
              </w:rPr>
              <w:t>Maintenance维护</w:t>
            </w:r>
          </w:p>
        </w:tc>
        <w:tc>
          <w:tcPr>
            <w:tcW w:w="1295" w:type="dxa"/>
            <w:tcBorders>
              <w:top w:val="nil"/>
              <w:left w:val="nil"/>
              <w:bottom w:val="single" w:color="auto" w:sz="4" w:space="0"/>
              <w:right w:val="single" w:color="auto" w:sz="4" w:space="0"/>
            </w:tcBorders>
            <w:noWrap/>
            <w:vAlign w:val="center"/>
          </w:tcPr>
          <w:p>
            <w:pPr>
              <w:widowControl/>
              <w:adjustRightInd w:val="0"/>
              <w:snapToGrid w:val="0"/>
              <w:jc w:val="center"/>
              <w:rPr>
                <w:rFonts w:eastAsia="等线"/>
                <w:color w:val="000000"/>
                <w:kern w:val="0"/>
                <w:sz w:val="22"/>
                <w:szCs w:val="22"/>
                <w:lang w:val="id-ID"/>
              </w:rPr>
            </w:pPr>
            <w:r>
              <w:rPr>
                <w:rFonts w:eastAsia="等线"/>
                <w:color w:val="000000"/>
                <w:kern w:val="0"/>
                <w:sz w:val="22"/>
                <w:szCs w:val="22"/>
                <w:lang w:val="id-ID"/>
              </w:rPr>
              <w:t>B110d</w:t>
            </w:r>
          </w:p>
        </w:tc>
        <w:tc>
          <w:tcPr>
            <w:tcW w:w="1286" w:type="dxa"/>
            <w:tcBorders>
              <w:top w:val="single" w:color="auto" w:sz="4" w:space="0"/>
              <w:bottom w:val="single" w:color="auto" w:sz="4" w:space="0"/>
              <w:right w:val="single" w:color="auto" w:sz="4" w:space="0"/>
            </w:tcBorders>
            <w:noWrap w:val="0"/>
            <w:vAlign w:val="top"/>
          </w:tcPr>
          <w:p>
            <w:pPr>
              <w:widowControl/>
              <w:jc w:val="center"/>
              <w:rPr>
                <w:rFonts w:eastAsia="Times New Roman"/>
                <w:kern w:val="0"/>
                <w:sz w:val="22"/>
                <w:szCs w:val="22"/>
                <w:lang w:val="id-ID"/>
              </w:rPr>
            </w:pPr>
            <w:r>
              <w:rPr>
                <w:rFonts w:eastAsia="Times New Roman"/>
                <w:kern w:val="0"/>
                <w:sz w:val="22"/>
                <w:szCs w:val="22"/>
                <w:lang w:val="id-ID"/>
              </w:rPr>
              <w:t>1920</w:t>
            </w:r>
          </w:p>
        </w:tc>
        <w:tc>
          <w:tcPr>
            <w:tcW w:w="1080" w:type="dxa"/>
            <w:tcBorders>
              <w:top w:val="single" w:color="auto" w:sz="4" w:space="0"/>
              <w:left w:val="single" w:color="auto" w:sz="4" w:space="0"/>
              <w:bottom w:val="single" w:color="auto" w:sz="4" w:space="0"/>
              <w:right w:val="single" w:color="auto" w:sz="4" w:space="0"/>
            </w:tcBorders>
            <w:noWrap w:val="0"/>
            <w:vAlign w:val="top"/>
          </w:tcPr>
          <w:p>
            <w:pPr>
              <w:widowControl/>
              <w:jc w:val="left"/>
              <w:rPr>
                <w:rFonts w:eastAsia="Times New Roman"/>
                <w:kern w:val="0"/>
                <w:sz w:val="22"/>
                <w:szCs w:val="22"/>
                <w:lang w:val="id-ID"/>
              </w:rPr>
            </w:pPr>
            <w:r>
              <w:rPr>
                <w:rFonts w:hint="eastAsia" w:ascii="等线" w:hAnsi="等线" w:eastAsia="等线" w:cs="等线"/>
                <w:sz w:val="22"/>
                <w:szCs w:val="22"/>
              </w:rPr>
              <w:t>公斤Kg</w:t>
            </w:r>
          </w:p>
        </w:tc>
        <w:tc>
          <w:tcPr>
            <w:tcW w:w="236" w:type="dxa"/>
            <w:tcBorders>
              <w:left w:val="single" w:color="auto" w:sz="4" w:space="0"/>
            </w:tcBorders>
            <w:noWrap w:val="0"/>
            <w:vAlign w:val="center"/>
          </w:tcPr>
          <w:p>
            <w:pPr>
              <w:widowControl/>
              <w:jc w:val="left"/>
              <w:rPr>
                <w:rFonts w:eastAsia="Times New Roman"/>
                <w:kern w:val="0"/>
                <w:sz w:val="22"/>
                <w:szCs w:val="22"/>
                <w:lang w:val="id-ID"/>
              </w:rPr>
            </w:pPr>
          </w:p>
        </w:tc>
      </w:tr>
      <w:tr>
        <w:tblPrEx>
          <w:tblLayout w:type="fixed"/>
          <w:tblCellMar>
            <w:top w:w="0" w:type="dxa"/>
            <w:left w:w="108" w:type="dxa"/>
            <w:bottom w:w="0" w:type="dxa"/>
            <w:right w:w="108" w:type="dxa"/>
          </w:tblCellMar>
        </w:tblPrEx>
        <w:trPr>
          <w:gridAfter w:val="1"/>
          <w:wAfter w:w="14" w:type="dxa"/>
          <w:cantSplit/>
          <w:trHeight w:val="57" w:hRule="atLeast"/>
        </w:trPr>
        <w:tc>
          <w:tcPr>
            <w:tcW w:w="704" w:type="dxa"/>
            <w:vMerge w:val="restart"/>
            <w:tcBorders>
              <w:top w:val="nil"/>
              <w:left w:val="single" w:color="auto" w:sz="4" w:space="0"/>
              <w:right w:val="single" w:color="auto" w:sz="4" w:space="0"/>
            </w:tcBorders>
            <w:noWrap/>
            <w:vAlign w:val="center"/>
          </w:tcPr>
          <w:p>
            <w:pPr>
              <w:widowControl/>
              <w:adjustRightInd w:val="0"/>
              <w:snapToGrid w:val="0"/>
              <w:jc w:val="center"/>
              <w:rPr>
                <w:rFonts w:eastAsia="等线"/>
                <w:color w:val="000000"/>
                <w:kern w:val="0"/>
                <w:sz w:val="22"/>
                <w:szCs w:val="22"/>
                <w:lang w:val="id-ID"/>
              </w:rPr>
            </w:pPr>
            <w:r>
              <w:rPr>
                <w:rFonts w:eastAsia="等线"/>
                <w:color w:val="000000"/>
                <w:kern w:val="0"/>
                <w:sz w:val="22"/>
                <w:szCs w:val="22"/>
                <w:lang w:val="id-ID"/>
              </w:rPr>
              <w:t>3</w:t>
            </w:r>
          </w:p>
        </w:tc>
        <w:tc>
          <w:tcPr>
            <w:tcW w:w="10065" w:type="dxa"/>
            <w:gridSpan w:val="5"/>
            <w:tcBorders>
              <w:top w:val="nil"/>
              <w:left w:val="nil"/>
              <w:bottom w:val="single" w:color="auto" w:sz="4" w:space="0"/>
              <w:right w:val="single" w:color="auto" w:sz="4" w:space="0"/>
            </w:tcBorders>
            <w:noWrap w:val="0"/>
            <w:vAlign w:val="center"/>
          </w:tcPr>
          <w:p>
            <w:pPr>
              <w:widowControl/>
              <w:adjustRightInd w:val="0"/>
              <w:snapToGrid w:val="0"/>
              <w:jc w:val="left"/>
              <w:rPr>
                <w:rFonts w:eastAsia="等线"/>
                <w:color w:val="000000"/>
                <w:kern w:val="0"/>
                <w:sz w:val="22"/>
                <w:szCs w:val="22"/>
                <w:lang w:val="id-ID"/>
              </w:rPr>
            </w:pPr>
            <w:r>
              <w:rPr>
                <w:rFonts w:eastAsia="等线"/>
                <w:i/>
                <w:iCs/>
                <w:color w:val="000000"/>
                <w:kern w:val="0"/>
                <w:sz w:val="22"/>
                <w:szCs w:val="22"/>
                <w:lang w:val="id-ID"/>
              </w:rPr>
              <w:t xml:space="preserve">受有毒有害物质污染的包装（桶、塑料桶、袋子、瓶子、托盘、盒子、纸箱、滤网等） </w:t>
            </w:r>
            <w:r>
              <w:rPr>
                <w:rFonts w:eastAsia="等线"/>
                <w:color w:val="000000"/>
                <w:kern w:val="0"/>
                <w:sz w:val="22"/>
                <w:szCs w:val="22"/>
                <w:lang w:val="id-ID"/>
              </w:rPr>
              <w:t>Kemasan Terkontaminasi B3 (Drum, Derigen, Karung, Botol, Palet, Box, Karton, Filter dll)</w:t>
            </w:r>
          </w:p>
        </w:tc>
        <w:tc>
          <w:tcPr>
            <w:tcW w:w="236" w:type="dxa"/>
            <w:tcBorders>
              <w:left w:val="single" w:color="auto" w:sz="4" w:space="0"/>
            </w:tcBorders>
            <w:noWrap w:val="0"/>
            <w:vAlign w:val="center"/>
          </w:tcPr>
          <w:p>
            <w:pPr>
              <w:widowControl/>
              <w:jc w:val="left"/>
              <w:rPr>
                <w:rFonts w:eastAsia="Times New Roman"/>
                <w:kern w:val="0"/>
                <w:sz w:val="22"/>
                <w:szCs w:val="22"/>
                <w:lang w:val="id-ID"/>
              </w:rPr>
            </w:pPr>
          </w:p>
        </w:tc>
      </w:tr>
      <w:tr>
        <w:tblPrEx>
          <w:tblLayout w:type="fixed"/>
          <w:tblCellMar>
            <w:top w:w="0" w:type="dxa"/>
            <w:left w:w="108" w:type="dxa"/>
            <w:bottom w:w="0" w:type="dxa"/>
            <w:right w:w="108" w:type="dxa"/>
          </w:tblCellMar>
        </w:tblPrEx>
        <w:trPr>
          <w:gridAfter w:val="1"/>
          <w:wAfter w:w="14" w:type="dxa"/>
          <w:trHeight w:val="560" w:hRule="atLeast"/>
        </w:trPr>
        <w:tc>
          <w:tcPr>
            <w:tcW w:w="704" w:type="dxa"/>
            <w:vMerge w:val="continue"/>
            <w:tcBorders>
              <w:left w:val="single" w:color="auto" w:sz="4" w:space="0"/>
              <w:right w:val="single" w:color="auto" w:sz="4" w:space="0"/>
            </w:tcBorders>
            <w:noWrap/>
            <w:vAlign w:val="center"/>
          </w:tcPr>
          <w:p>
            <w:pPr>
              <w:widowControl/>
              <w:adjustRightInd w:val="0"/>
              <w:snapToGrid w:val="0"/>
              <w:jc w:val="center"/>
              <w:rPr>
                <w:rFonts w:eastAsia="等线"/>
                <w:color w:val="000000"/>
                <w:kern w:val="0"/>
                <w:sz w:val="22"/>
                <w:szCs w:val="22"/>
                <w:lang w:val="id-ID"/>
              </w:rPr>
            </w:pPr>
          </w:p>
        </w:tc>
        <w:tc>
          <w:tcPr>
            <w:tcW w:w="4960" w:type="dxa"/>
            <w:tcBorders>
              <w:top w:val="nil"/>
              <w:left w:val="nil"/>
              <w:bottom w:val="single" w:color="auto" w:sz="4" w:space="0"/>
              <w:right w:val="single" w:color="auto" w:sz="4" w:space="0"/>
            </w:tcBorders>
            <w:noWrap w:val="0"/>
            <w:vAlign w:val="center"/>
          </w:tcPr>
          <w:p>
            <w:pPr>
              <w:widowControl/>
              <w:adjustRightInd w:val="0"/>
              <w:snapToGrid w:val="0"/>
              <w:jc w:val="left"/>
              <w:rPr>
                <w:rFonts w:eastAsia="等线"/>
                <w:i/>
                <w:iCs/>
                <w:color w:val="000000"/>
                <w:kern w:val="0"/>
                <w:sz w:val="22"/>
                <w:szCs w:val="22"/>
                <w:lang w:val="id-ID"/>
              </w:rPr>
            </w:pPr>
            <w:r>
              <w:rPr>
                <w:rFonts w:hint="eastAsia" w:ascii="等线" w:hAnsi="等线" w:eastAsia="等线" w:cs="等线"/>
                <w:sz w:val="22"/>
                <w:szCs w:val="22"/>
              </w:rPr>
              <w:t>- 200升桶</w:t>
            </w:r>
            <w:r>
              <w:rPr>
                <w:rFonts w:ascii="等线" w:hAnsi="等线" w:eastAsia="等线" w:cs="等线"/>
                <w:sz w:val="22"/>
                <w:szCs w:val="22"/>
                <w:lang w:val="id-ID"/>
              </w:rPr>
              <w:t xml:space="preserve">/ </w:t>
            </w:r>
            <w:r>
              <w:rPr>
                <w:rFonts w:ascii="等线" w:hAnsi="等线" w:eastAsia="等线" w:cs="等线"/>
                <w:sz w:val="22"/>
                <w:szCs w:val="22"/>
              </w:rPr>
              <w:t>Drum Plastik 200 Liter</w:t>
            </w:r>
          </w:p>
        </w:tc>
        <w:tc>
          <w:tcPr>
            <w:tcW w:w="1444" w:type="dxa"/>
            <w:vMerge w:val="restart"/>
            <w:tcBorders>
              <w:top w:val="nil"/>
              <w:left w:val="nil"/>
              <w:right w:val="single" w:color="auto" w:sz="4" w:space="0"/>
            </w:tcBorders>
            <w:noWrap w:val="0"/>
            <w:vAlign w:val="center"/>
          </w:tcPr>
          <w:p>
            <w:pPr>
              <w:widowControl/>
              <w:adjustRightInd w:val="0"/>
              <w:snapToGrid w:val="0"/>
              <w:jc w:val="center"/>
              <w:rPr>
                <w:rFonts w:eastAsia="等线"/>
                <w:color w:val="000000"/>
                <w:kern w:val="0"/>
                <w:sz w:val="22"/>
                <w:szCs w:val="22"/>
                <w:lang w:val="id-ID"/>
              </w:rPr>
            </w:pPr>
            <w:r>
              <w:rPr>
                <w:rFonts w:eastAsia="等线"/>
                <w:color w:val="000000"/>
                <w:kern w:val="0"/>
                <w:sz w:val="22"/>
                <w:szCs w:val="22"/>
                <w:lang w:val="id-ID"/>
              </w:rPr>
              <w:t>Maintenance维护</w:t>
            </w:r>
          </w:p>
          <w:p>
            <w:pPr>
              <w:widowControl/>
              <w:adjustRightInd w:val="0"/>
              <w:snapToGrid w:val="0"/>
              <w:jc w:val="center"/>
              <w:rPr>
                <w:rFonts w:eastAsia="等线"/>
                <w:color w:val="000000"/>
                <w:kern w:val="0"/>
                <w:sz w:val="22"/>
                <w:szCs w:val="22"/>
                <w:lang w:val="id-ID"/>
              </w:rPr>
            </w:pPr>
          </w:p>
        </w:tc>
        <w:tc>
          <w:tcPr>
            <w:tcW w:w="1295" w:type="dxa"/>
            <w:vMerge w:val="restart"/>
            <w:tcBorders>
              <w:top w:val="nil"/>
              <w:left w:val="nil"/>
              <w:right w:val="single" w:color="auto" w:sz="4" w:space="0"/>
            </w:tcBorders>
            <w:noWrap/>
            <w:vAlign w:val="center"/>
          </w:tcPr>
          <w:p>
            <w:pPr>
              <w:widowControl/>
              <w:adjustRightInd w:val="0"/>
              <w:snapToGrid w:val="0"/>
              <w:jc w:val="center"/>
              <w:rPr>
                <w:rFonts w:eastAsia="等线"/>
                <w:color w:val="000000"/>
                <w:kern w:val="0"/>
                <w:sz w:val="22"/>
                <w:szCs w:val="22"/>
                <w:lang w:val="id-ID"/>
              </w:rPr>
            </w:pPr>
            <w:r>
              <w:rPr>
                <w:rFonts w:eastAsia="等线"/>
                <w:color w:val="000000"/>
                <w:kern w:val="0"/>
                <w:sz w:val="22"/>
                <w:szCs w:val="22"/>
                <w:lang w:val="id-ID"/>
              </w:rPr>
              <w:t>B104d</w:t>
            </w:r>
          </w:p>
          <w:p>
            <w:pPr>
              <w:widowControl/>
              <w:adjustRightInd w:val="0"/>
              <w:snapToGrid w:val="0"/>
              <w:jc w:val="center"/>
              <w:rPr>
                <w:rFonts w:eastAsia="等线"/>
                <w:color w:val="000000"/>
                <w:kern w:val="0"/>
                <w:sz w:val="22"/>
                <w:szCs w:val="22"/>
                <w:lang w:val="id-ID"/>
              </w:rPr>
            </w:pPr>
          </w:p>
        </w:tc>
        <w:tc>
          <w:tcPr>
            <w:tcW w:w="1286" w:type="dxa"/>
            <w:tcBorders>
              <w:top w:val="single" w:color="auto" w:sz="4" w:space="0"/>
              <w:bottom w:val="single" w:color="auto" w:sz="4" w:space="0"/>
              <w:right w:val="single" w:color="auto" w:sz="4" w:space="0"/>
            </w:tcBorders>
            <w:noWrap w:val="0"/>
            <w:vAlign w:val="top"/>
          </w:tcPr>
          <w:p>
            <w:pPr>
              <w:widowControl/>
              <w:jc w:val="center"/>
              <w:rPr>
                <w:rFonts w:eastAsia="Times New Roman"/>
                <w:kern w:val="0"/>
                <w:sz w:val="22"/>
                <w:szCs w:val="22"/>
                <w:lang w:val="id-ID"/>
              </w:rPr>
            </w:pPr>
            <w:r>
              <w:rPr>
                <w:rFonts w:eastAsia="Times New Roman"/>
                <w:kern w:val="0"/>
                <w:sz w:val="22"/>
                <w:szCs w:val="22"/>
                <w:lang w:val="id-ID"/>
              </w:rPr>
              <w:t>24</w:t>
            </w:r>
          </w:p>
        </w:tc>
        <w:tc>
          <w:tcPr>
            <w:tcW w:w="1080" w:type="dxa"/>
            <w:tcBorders>
              <w:top w:val="single" w:color="auto" w:sz="4" w:space="0"/>
              <w:left w:val="single" w:color="auto" w:sz="4" w:space="0"/>
              <w:bottom w:val="single" w:color="auto" w:sz="4" w:space="0"/>
              <w:right w:val="single" w:color="auto" w:sz="4" w:space="0"/>
            </w:tcBorders>
            <w:noWrap w:val="0"/>
            <w:vAlign w:val="top"/>
          </w:tcPr>
          <w:p>
            <w:pPr>
              <w:widowControl/>
              <w:jc w:val="center"/>
              <w:rPr>
                <w:rFonts w:eastAsia="Times New Roman"/>
                <w:kern w:val="0"/>
                <w:sz w:val="22"/>
                <w:szCs w:val="22"/>
                <w:lang w:val="id-ID"/>
              </w:rPr>
            </w:pPr>
            <w:r>
              <w:rPr>
                <w:rFonts w:hint="eastAsia" w:ascii="等线" w:hAnsi="等线" w:eastAsia="等线" w:cs="等线"/>
                <w:sz w:val="22"/>
                <w:szCs w:val="22"/>
              </w:rPr>
              <w:t>桶Drum</w:t>
            </w:r>
          </w:p>
        </w:tc>
        <w:tc>
          <w:tcPr>
            <w:tcW w:w="236" w:type="dxa"/>
            <w:tcBorders>
              <w:left w:val="single" w:color="auto" w:sz="4" w:space="0"/>
            </w:tcBorders>
            <w:noWrap w:val="0"/>
            <w:vAlign w:val="center"/>
          </w:tcPr>
          <w:p>
            <w:pPr>
              <w:widowControl/>
              <w:jc w:val="left"/>
              <w:rPr>
                <w:rFonts w:eastAsia="Times New Roman"/>
                <w:kern w:val="0"/>
                <w:sz w:val="22"/>
                <w:szCs w:val="22"/>
                <w:lang w:val="id-ID"/>
              </w:rPr>
            </w:pPr>
          </w:p>
        </w:tc>
      </w:tr>
      <w:tr>
        <w:tblPrEx>
          <w:tblLayout w:type="fixed"/>
          <w:tblCellMar>
            <w:top w:w="0" w:type="dxa"/>
            <w:left w:w="108" w:type="dxa"/>
            <w:bottom w:w="0" w:type="dxa"/>
            <w:right w:w="108" w:type="dxa"/>
          </w:tblCellMar>
        </w:tblPrEx>
        <w:trPr>
          <w:gridAfter w:val="1"/>
          <w:wAfter w:w="14" w:type="dxa"/>
          <w:trHeight w:val="560" w:hRule="atLeast"/>
        </w:trPr>
        <w:tc>
          <w:tcPr>
            <w:tcW w:w="704" w:type="dxa"/>
            <w:vMerge w:val="continue"/>
            <w:tcBorders>
              <w:left w:val="single" w:color="auto" w:sz="4" w:space="0"/>
              <w:right w:val="single" w:color="auto" w:sz="4" w:space="0"/>
            </w:tcBorders>
            <w:noWrap/>
            <w:vAlign w:val="center"/>
          </w:tcPr>
          <w:p>
            <w:pPr>
              <w:widowControl/>
              <w:adjustRightInd w:val="0"/>
              <w:snapToGrid w:val="0"/>
              <w:jc w:val="center"/>
              <w:rPr>
                <w:rFonts w:eastAsia="等线"/>
                <w:color w:val="000000"/>
                <w:kern w:val="0"/>
                <w:sz w:val="22"/>
                <w:szCs w:val="22"/>
                <w:lang w:val="id-ID"/>
              </w:rPr>
            </w:pPr>
          </w:p>
        </w:tc>
        <w:tc>
          <w:tcPr>
            <w:tcW w:w="4960" w:type="dxa"/>
            <w:tcBorders>
              <w:top w:val="nil"/>
              <w:left w:val="nil"/>
              <w:bottom w:val="single" w:color="auto" w:sz="4" w:space="0"/>
              <w:right w:val="single" w:color="auto" w:sz="4" w:space="0"/>
            </w:tcBorders>
            <w:noWrap w:val="0"/>
            <w:vAlign w:val="center"/>
          </w:tcPr>
          <w:p>
            <w:pPr>
              <w:widowControl/>
              <w:adjustRightInd w:val="0"/>
              <w:snapToGrid w:val="0"/>
              <w:jc w:val="left"/>
              <w:rPr>
                <w:rFonts w:eastAsia="等线"/>
                <w:i/>
                <w:iCs/>
                <w:color w:val="000000"/>
                <w:kern w:val="0"/>
                <w:sz w:val="22"/>
                <w:szCs w:val="22"/>
                <w:lang w:val="id-ID"/>
              </w:rPr>
            </w:pPr>
            <w:r>
              <w:rPr>
                <w:rFonts w:hint="eastAsia" w:ascii="等线" w:hAnsi="等线" w:eastAsia="等线" w:cs="等线"/>
                <w:sz w:val="22"/>
                <w:szCs w:val="22"/>
              </w:rPr>
              <w:t>-</w:t>
            </w:r>
            <w:r>
              <w:rPr>
                <w:rFonts w:ascii="等线" w:hAnsi="等线" w:eastAsia="等线" w:cs="等线"/>
                <w:sz w:val="22"/>
                <w:szCs w:val="22"/>
              </w:rPr>
              <w:t xml:space="preserve"> 25Kg</w:t>
            </w:r>
            <w:r>
              <w:rPr>
                <w:rFonts w:hint="eastAsia" w:ascii="等线" w:hAnsi="等线" w:eastAsia="等线" w:cs="等线"/>
                <w:sz w:val="22"/>
                <w:szCs w:val="22"/>
              </w:rPr>
              <w:t>塑料桶</w:t>
            </w:r>
            <w:r>
              <w:rPr>
                <w:rFonts w:ascii="等线" w:hAnsi="等线" w:eastAsia="等线" w:cs="等线"/>
                <w:sz w:val="22"/>
                <w:szCs w:val="22"/>
                <w:lang w:val="id-ID"/>
              </w:rPr>
              <w:t xml:space="preserve">/ </w:t>
            </w:r>
            <w:r>
              <w:rPr>
                <w:rFonts w:ascii="等线" w:hAnsi="等线" w:eastAsia="等线" w:cs="等线"/>
                <w:sz w:val="22"/>
                <w:szCs w:val="22"/>
              </w:rPr>
              <w:t>D</w:t>
            </w:r>
            <w:r>
              <w:rPr>
                <w:rFonts w:hint="eastAsia" w:ascii="等线" w:hAnsi="等线" w:eastAsia="等线" w:cs="等线"/>
                <w:sz w:val="22"/>
                <w:szCs w:val="22"/>
              </w:rPr>
              <w:t>erigen bekas</w:t>
            </w:r>
            <w:r>
              <w:rPr>
                <w:rFonts w:ascii="等线" w:hAnsi="等线" w:eastAsia="等线" w:cs="等线"/>
                <w:sz w:val="22"/>
                <w:szCs w:val="22"/>
              </w:rPr>
              <w:t xml:space="preserve"> 25Kg</w:t>
            </w:r>
          </w:p>
        </w:tc>
        <w:tc>
          <w:tcPr>
            <w:tcW w:w="1444" w:type="dxa"/>
            <w:vMerge w:val="continue"/>
            <w:tcBorders>
              <w:left w:val="nil"/>
              <w:right w:val="single" w:color="auto" w:sz="4" w:space="0"/>
            </w:tcBorders>
            <w:noWrap w:val="0"/>
            <w:vAlign w:val="top"/>
          </w:tcPr>
          <w:p>
            <w:pPr>
              <w:widowControl/>
              <w:adjustRightInd w:val="0"/>
              <w:snapToGrid w:val="0"/>
              <w:jc w:val="center"/>
              <w:rPr>
                <w:rFonts w:eastAsia="等线"/>
                <w:color w:val="000000"/>
                <w:kern w:val="0"/>
                <w:sz w:val="22"/>
                <w:szCs w:val="22"/>
                <w:lang w:val="id-ID"/>
              </w:rPr>
            </w:pPr>
          </w:p>
        </w:tc>
        <w:tc>
          <w:tcPr>
            <w:tcW w:w="1295" w:type="dxa"/>
            <w:vMerge w:val="continue"/>
            <w:tcBorders>
              <w:left w:val="nil"/>
              <w:right w:val="single" w:color="auto" w:sz="4" w:space="0"/>
            </w:tcBorders>
            <w:noWrap/>
            <w:vAlign w:val="top"/>
          </w:tcPr>
          <w:p>
            <w:pPr>
              <w:widowControl/>
              <w:adjustRightInd w:val="0"/>
              <w:snapToGrid w:val="0"/>
              <w:jc w:val="center"/>
              <w:rPr>
                <w:rFonts w:eastAsia="等线"/>
                <w:color w:val="000000"/>
                <w:kern w:val="0"/>
                <w:sz w:val="22"/>
                <w:szCs w:val="22"/>
                <w:lang w:val="id-ID"/>
              </w:rPr>
            </w:pPr>
          </w:p>
        </w:tc>
        <w:tc>
          <w:tcPr>
            <w:tcW w:w="1286" w:type="dxa"/>
            <w:tcBorders>
              <w:top w:val="single" w:color="auto" w:sz="4" w:space="0"/>
              <w:bottom w:val="single" w:color="auto" w:sz="4" w:space="0"/>
              <w:right w:val="single" w:color="auto" w:sz="4" w:space="0"/>
            </w:tcBorders>
            <w:noWrap w:val="0"/>
            <w:vAlign w:val="top"/>
          </w:tcPr>
          <w:p>
            <w:pPr>
              <w:widowControl/>
              <w:jc w:val="center"/>
              <w:rPr>
                <w:rFonts w:eastAsia="Times New Roman"/>
                <w:kern w:val="0"/>
                <w:sz w:val="22"/>
                <w:szCs w:val="22"/>
                <w:lang w:val="id-ID"/>
              </w:rPr>
            </w:pPr>
            <w:r>
              <w:rPr>
                <w:rFonts w:eastAsia="Times New Roman"/>
                <w:kern w:val="0"/>
                <w:sz w:val="22"/>
                <w:szCs w:val="22"/>
                <w:lang w:val="id-ID"/>
              </w:rPr>
              <w:t>12240</w:t>
            </w:r>
          </w:p>
        </w:tc>
        <w:tc>
          <w:tcPr>
            <w:tcW w:w="1080" w:type="dxa"/>
            <w:tcBorders>
              <w:top w:val="single" w:color="auto" w:sz="4" w:space="0"/>
              <w:left w:val="single" w:color="auto" w:sz="4" w:space="0"/>
              <w:bottom w:val="single" w:color="auto" w:sz="4" w:space="0"/>
              <w:right w:val="single" w:color="auto" w:sz="4" w:space="0"/>
            </w:tcBorders>
            <w:noWrap w:val="0"/>
            <w:vAlign w:val="top"/>
          </w:tcPr>
          <w:p>
            <w:pPr>
              <w:widowControl/>
              <w:jc w:val="center"/>
              <w:rPr>
                <w:rFonts w:eastAsia="Times New Roman"/>
                <w:kern w:val="0"/>
                <w:sz w:val="22"/>
                <w:szCs w:val="22"/>
                <w:lang w:val="id-ID"/>
              </w:rPr>
            </w:pPr>
            <w:r>
              <w:rPr>
                <w:rFonts w:hint="eastAsia" w:ascii="等线" w:hAnsi="等线" w:eastAsia="等线" w:cs="等线"/>
                <w:sz w:val="22"/>
                <w:szCs w:val="22"/>
              </w:rPr>
              <w:t>个pcs</w:t>
            </w:r>
          </w:p>
        </w:tc>
        <w:tc>
          <w:tcPr>
            <w:tcW w:w="236" w:type="dxa"/>
            <w:tcBorders>
              <w:left w:val="single" w:color="auto" w:sz="4" w:space="0"/>
            </w:tcBorders>
            <w:noWrap w:val="0"/>
            <w:vAlign w:val="center"/>
          </w:tcPr>
          <w:p>
            <w:pPr>
              <w:widowControl/>
              <w:jc w:val="left"/>
              <w:rPr>
                <w:rFonts w:eastAsia="Times New Roman"/>
                <w:kern w:val="0"/>
                <w:sz w:val="22"/>
                <w:szCs w:val="22"/>
                <w:lang w:val="id-ID"/>
              </w:rPr>
            </w:pPr>
          </w:p>
        </w:tc>
      </w:tr>
      <w:tr>
        <w:tblPrEx>
          <w:tblLayout w:type="fixed"/>
          <w:tblCellMar>
            <w:top w:w="0" w:type="dxa"/>
            <w:left w:w="108" w:type="dxa"/>
            <w:bottom w:w="0" w:type="dxa"/>
            <w:right w:w="108" w:type="dxa"/>
          </w:tblCellMar>
        </w:tblPrEx>
        <w:trPr>
          <w:gridAfter w:val="1"/>
          <w:wAfter w:w="14" w:type="dxa"/>
          <w:trHeight w:val="560" w:hRule="atLeast"/>
        </w:trPr>
        <w:tc>
          <w:tcPr>
            <w:tcW w:w="704" w:type="dxa"/>
            <w:vMerge w:val="continue"/>
            <w:tcBorders>
              <w:left w:val="single" w:color="auto" w:sz="4" w:space="0"/>
              <w:right w:val="single" w:color="auto" w:sz="4" w:space="0"/>
            </w:tcBorders>
            <w:noWrap/>
            <w:vAlign w:val="center"/>
          </w:tcPr>
          <w:p>
            <w:pPr>
              <w:widowControl/>
              <w:adjustRightInd w:val="0"/>
              <w:snapToGrid w:val="0"/>
              <w:jc w:val="center"/>
              <w:rPr>
                <w:rFonts w:eastAsia="等线"/>
                <w:color w:val="000000"/>
                <w:kern w:val="0"/>
                <w:sz w:val="22"/>
                <w:szCs w:val="22"/>
                <w:lang w:val="id-ID"/>
              </w:rPr>
            </w:pPr>
          </w:p>
        </w:tc>
        <w:tc>
          <w:tcPr>
            <w:tcW w:w="4960" w:type="dxa"/>
            <w:tcBorders>
              <w:top w:val="nil"/>
              <w:left w:val="nil"/>
              <w:bottom w:val="single" w:color="auto" w:sz="4" w:space="0"/>
              <w:right w:val="single" w:color="auto" w:sz="4" w:space="0"/>
            </w:tcBorders>
            <w:noWrap w:val="0"/>
            <w:vAlign w:val="center"/>
          </w:tcPr>
          <w:p>
            <w:pPr>
              <w:widowControl/>
              <w:adjustRightInd w:val="0"/>
              <w:snapToGrid w:val="0"/>
              <w:jc w:val="left"/>
              <w:rPr>
                <w:rFonts w:hint="eastAsia" w:ascii="等线" w:hAnsi="等线" w:eastAsia="等线" w:cs="等线"/>
                <w:sz w:val="22"/>
                <w:szCs w:val="22"/>
              </w:rPr>
            </w:pPr>
            <w:r>
              <w:rPr>
                <w:rFonts w:hint="eastAsia" w:ascii="等线" w:hAnsi="等线" w:eastAsia="等线" w:cs="等线"/>
                <w:sz w:val="22"/>
                <w:szCs w:val="22"/>
              </w:rPr>
              <w:t>-</w:t>
            </w:r>
            <w:r>
              <w:rPr>
                <w:rFonts w:ascii="等线" w:hAnsi="等线" w:eastAsia="等线" w:cs="等线"/>
                <w:sz w:val="22"/>
                <w:szCs w:val="22"/>
              </w:rPr>
              <w:t xml:space="preserve"> 10Kg</w:t>
            </w:r>
            <w:r>
              <w:rPr>
                <w:rFonts w:hint="eastAsia" w:ascii="等线" w:hAnsi="等线" w:eastAsia="等线" w:cs="等线"/>
                <w:sz w:val="22"/>
                <w:szCs w:val="22"/>
              </w:rPr>
              <w:t>塑料桶</w:t>
            </w:r>
            <w:r>
              <w:rPr>
                <w:rFonts w:ascii="等线" w:hAnsi="等线" w:eastAsia="等线" w:cs="等线"/>
                <w:sz w:val="22"/>
                <w:szCs w:val="22"/>
                <w:lang w:val="id-ID"/>
              </w:rPr>
              <w:t xml:space="preserve">/ </w:t>
            </w:r>
            <w:r>
              <w:rPr>
                <w:rFonts w:ascii="等线" w:hAnsi="等线" w:eastAsia="等线" w:cs="等线"/>
                <w:sz w:val="22"/>
                <w:szCs w:val="22"/>
              </w:rPr>
              <w:t>D</w:t>
            </w:r>
            <w:r>
              <w:rPr>
                <w:rFonts w:hint="eastAsia" w:ascii="等线" w:hAnsi="等线" w:eastAsia="等线" w:cs="等线"/>
                <w:sz w:val="22"/>
                <w:szCs w:val="22"/>
              </w:rPr>
              <w:t>erigen bekas</w:t>
            </w:r>
            <w:r>
              <w:rPr>
                <w:rFonts w:ascii="等线" w:hAnsi="等线" w:eastAsia="等线" w:cs="等线"/>
                <w:sz w:val="22"/>
                <w:szCs w:val="22"/>
              </w:rPr>
              <w:t xml:space="preserve"> 10Kg</w:t>
            </w:r>
          </w:p>
        </w:tc>
        <w:tc>
          <w:tcPr>
            <w:tcW w:w="1444" w:type="dxa"/>
            <w:vMerge w:val="continue"/>
            <w:tcBorders>
              <w:left w:val="nil"/>
              <w:right w:val="single" w:color="auto" w:sz="4" w:space="0"/>
            </w:tcBorders>
            <w:noWrap w:val="0"/>
            <w:vAlign w:val="top"/>
          </w:tcPr>
          <w:p>
            <w:pPr>
              <w:widowControl/>
              <w:adjustRightInd w:val="0"/>
              <w:snapToGrid w:val="0"/>
              <w:jc w:val="center"/>
              <w:rPr>
                <w:rFonts w:eastAsia="等线"/>
                <w:color w:val="000000"/>
                <w:kern w:val="0"/>
                <w:sz w:val="22"/>
                <w:szCs w:val="22"/>
                <w:lang w:val="id-ID"/>
              </w:rPr>
            </w:pPr>
          </w:p>
        </w:tc>
        <w:tc>
          <w:tcPr>
            <w:tcW w:w="1295" w:type="dxa"/>
            <w:vMerge w:val="continue"/>
            <w:tcBorders>
              <w:left w:val="nil"/>
              <w:right w:val="single" w:color="auto" w:sz="4" w:space="0"/>
            </w:tcBorders>
            <w:noWrap/>
            <w:vAlign w:val="top"/>
          </w:tcPr>
          <w:p>
            <w:pPr>
              <w:widowControl/>
              <w:adjustRightInd w:val="0"/>
              <w:snapToGrid w:val="0"/>
              <w:jc w:val="center"/>
              <w:rPr>
                <w:rFonts w:eastAsia="等线"/>
                <w:color w:val="000000"/>
                <w:kern w:val="0"/>
                <w:sz w:val="22"/>
                <w:szCs w:val="22"/>
                <w:lang w:val="id-ID"/>
              </w:rPr>
            </w:pPr>
          </w:p>
        </w:tc>
        <w:tc>
          <w:tcPr>
            <w:tcW w:w="1286" w:type="dxa"/>
            <w:tcBorders>
              <w:top w:val="single" w:color="auto" w:sz="4" w:space="0"/>
              <w:bottom w:val="single" w:color="auto" w:sz="4" w:space="0"/>
              <w:right w:val="single" w:color="auto" w:sz="4" w:space="0"/>
            </w:tcBorders>
            <w:noWrap w:val="0"/>
            <w:vAlign w:val="top"/>
          </w:tcPr>
          <w:p>
            <w:pPr>
              <w:widowControl/>
              <w:jc w:val="center"/>
              <w:rPr>
                <w:rFonts w:eastAsia="Times New Roman"/>
                <w:kern w:val="0"/>
                <w:sz w:val="22"/>
                <w:szCs w:val="22"/>
                <w:lang w:val="id-ID"/>
              </w:rPr>
            </w:pPr>
            <w:r>
              <w:rPr>
                <w:rFonts w:eastAsia="Times New Roman"/>
                <w:kern w:val="0"/>
                <w:sz w:val="22"/>
                <w:szCs w:val="22"/>
                <w:lang w:val="id-ID"/>
              </w:rPr>
              <w:t>360</w:t>
            </w:r>
          </w:p>
        </w:tc>
        <w:tc>
          <w:tcPr>
            <w:tcW w:w="1080" w:type="dxa"/>
            <w:tcBorders>
              <w:top w:val="single" w:color="auto" w:sz="4" w:space="0"/>
              <w:left w:val="single" w:color="auto" w:sz="4" w:space="0"/>
              <w:bottom w:val="single" w:color="auto" w:sz="4" w:space="0"/>
              <w:right w:val="single" w:color="auto" w:sz="4" w:space="0"/>
            </w:tcBorders>
            <w:noWrap w:val="0"/>
            <w:vAlign w:val="top"/>
          </w:tcPr>
          <w:p>
            <w:pPr>
              <w:widowControl/>
              <w:jc w:val="center"/>
              <w:rPr>
                <w:rFonts w:hint="eastAsia" w:ascii="等线" w:hAnsi="等线" w:eastAsia="等线" w:cs="等线"/>
                <w:sz w:val="22"/>
                <w:szCs w:val="22"/>
              </w:rPr>
            </w:pPr>
            <w:r>
              <w:rPr>
                <w:rFonts w:hint="eastAsia" w:ascii="等线" w:hAnsi="等线" w:eastAsia="等线" w:cs="等线"/>
                <w:sz w:val="22"/>
                <w:szCs w:val="22"/>
              </w:rPr>
              <w:t>个pcs</w:t>
            </w:r>
          </w:p>
        </w:tc>
        <w:tc>
          <w:tcPr>
            <w:tcW w:w="236" w:type="dxa"/>
            <w:tcBorders>
              <w:left w:val="single" w:color="auto" w:sz="4" w:space="0"/>
            </w:tcBorders>
            <w:noWrap w:val="0"/>
            <w:vAlign w:val="center"/>
          </w:tcPr>
          <w:p>
            <w:pPr>
              <w:widowControl/>
              <w:jc w:val="left"/>
              <w:rPr>
                <w:rFonts w:eastAsia="Times New Roman"/>
                <w:kern w:val="0"/>
                <w:sz w:val="22"/>
                <w:szCs w:val="22"/>
                <w:lang w:val="id-ID"/>
              </w:rPr>
            </w:pPr>
          </w:p>
        </w:tc>
      </w:tr>
      <w:tr>
        <w:tblPrEx>
          <w:tblLayout w:type="fixed"/>
          <w:tblCellMar>
            <w:top w:w="0" w:type="dxa"/>
            <w:left w:w="108" w:type="dxa"/>
            <w:bottom w:w="0" w:type="dxa"/>
            <w:right w:w="108" w:type="dxa"/>
          </w:tblCellMar>
        </w:tblPrEx>
        <w:trPr>
          <w:gridAfter w:val="1"/>
          <w:wAfter w:w="14" w:type="dxa"/>
          <w:trHeight w:val="560" w:hRule="atLeast"/>
        </w:trPr>
        <w:tc>
          <w:tcPr>
            <w:tcW w:w="704" w:type="dxa"/>
            <w:vMerge w:val="continue"/>
            <w:tcBorders>
              <w:left w:val="single" w:color="auto" w:sz="4" w:space="0"/>
              <w:right w:val="single" w:color="auto" w:sz="4" w:space="0"/>
            </w:tcBorders>
            <w:noWrap/>
            <w:vAlign w:val="center"/>
          </w:tcPr>
          <w:p>
            <w:pPr>
              <w:widowControl/>
              <w:adjustRightInd w:val="0"/>
              <w:snapToGrid w:val="0"/>
              <w:jc w:val="center"/>
              <w:rPr>
                <w:rFonts w:eastAsia="等线"/>
                <w:color w:val="000000"/>
                <w:kern w:val="0"/>
                <w:sz w:val="22"/>
                <w:szCs w:val="22"/>
                <w:lang w:val="id-ID"/>
              </w:rPr>
            </w:pPr>
          </w:p>
        </w:tc>
        <w:tc>
          <w:tcPr>
            <w:tcW w:w="4960" w:type="dxa"/>
            <w:tcBorders>
              <w:top w:val="nil"/>
              <w:left w:val="nil"/>
              <w:bottom w:val="single" w:color="auto" w:sz="4" w:space="0"/>
              <w:right w:val="single" w:color="auto" w:sz="4" w:space="0"/>
            </w:tcBorders>
            <w:noWrap w:val="0"/>
            <w:vAlign w:val="center"/>
          </w:tcPr>
          <w:p>
            <w:pPr>
              <w:widowControl/>
              <w:adjustRightInd w:val="0"/>
              <w:snapToGrid w:val="0"/>
              <w:jc w:val="left"/>
              <w:rPr>
                <w:rFonts w:eastAsia="等线"/>
                <w:i/>
                <w:iCs/>
                <w:color w:val="000000"/>
                <w:kern w:val="0"/>
                <w:sz w:val="22"/>
                <w:szCs w:val="22"/>
                <w:lang w:val="id-ID"/>
              </w:rPr>
            </w:pPr>
            <w:r>
              <w:rPr>
                <w:rFonts w:hint="eastAsia" w:ascii="等线" w:hAnsi="等线" w:eastAsia="等线" w:cs="等线"/>
                <w:sz w:val="22"/>
                <w:szCs w:val="22"/>
              </w:rPr>
              <w:t>- 中型散装容器</w:t>
            </w:r>
            <w:r>
              <w:rPr>
                <w:rFonts w:ascii="等线" w:hAnsi="等线" w:eastAsia="等线" w:cs="等线"/>
                <w:sz w:val="22"/>
                <w:szCs w:val="22"/>
                <w:lang w:val="id-ID"/>
              </w:rPr>
              <w:t>/</w:t>
            </w:r>
            <w:r>
              <w:rPr>
                <w:rFonts w:ascii="等线" w:hAnsi="等线" w:eastAsia="等线" w:cs="等线"/>
                <w:sz w:val="22"/>
                <w:szCs w:val="22"/>
              </w:rPr>
              <w:t>Intermediate bulk container Tank</w:t>
            </w:r>
          </w:p>
        </w:tc>
        <w:tc>
          <w:tcPr>
            <w:tcW w:w="1444" w:type="dxa"/>
            <w:vMerge w:val="continue"/>
            <w:tcBorders>
              <w:left w:val="nil"/>
              <w:right w:val="single" w:color="auto" w:sz="4" w:space="0"/>
            </w:tcBorders>
            <w:noWrap w:val="0"/>
            <w:vAlign w:val="top"/>
          </w:tcPr>
          <w:p>
            <w:pPr>
              <w:widowControl/>
              <w:adjustRightInd w:val="0"/>
              <w:snapToGrid w:val="0"/>
              <w:jc w:val="center"/>
              <w:rPr>
                <w:rFonts w:eastAsia="等线"/>
                <w:color w:val="000000"/>
                <w:kern w:val="0"/>
                <w:sz w:val="22"/>
                <w:szCs w:val="22"/>
                <w:lang w:val="id-ID"/>
              </w:rPr>
            </w:pPr>
          </w:p>
        </w:tc>
        <w:tc>
          <w:tcPr>
            <w:tcW w:w="1295" w:type="dxa"/>
            <w:vMerge w:val="continue"/>
            <w:tcBorders>
              <w:left w:val="nil"/>
              <w:right w:val="single" w:color="auto" w:sz="4" w:space="0"/>
            </w:tcBorders>
            <w:noWrap/>
            <w:vAlign w:val="top"/>
          </w:tcPr>
          <w:p>
            <w:pPr>
              <w:widowControl/>
              <w:adjustRightInd w:val="0"/>
              <w:snapToGrid w:val="0"/>
              <w:jc w:val="center"/>
              <w:rPr>
                <w:rFonts w:eastAsia="等线"/>
                <w:color w:val="000000"/>
                <w:kern w:val="0"/>
                <w:sz w:val="22"/>
                <w:szCs w:val="22"/>
                <w:lang w:val="id-ID"/>
              </w:rPr>
            </w:pPr>
          </w:p>
        </w:tc>
        <w:tc>
          <w:tcPr>
            <w:tcW w:w="1286" w:type="dxa"/>
            <w:tcBorders>
              <w:top w:val="single" w:color="auto" w:sz="4" w:space="0"/>
              <w:bottom w:val="single" w:color="auto" w:sz="4" w:space="0"/>
              <w:right w:val="single" w:color="auto" w:sz="4" w:space="0"/>
            </w:tcBorders>
            <w:noWrap w:val="0"/>
            <w:vAlign w:val="top"/>
          </w:tcPr>
          <w:p>
            <w:pPr>
              <w:widowControl/>
              <w:jc w:val="center"/>
              <w:rPr>
                <w:rFonts w:eastAsia="Times New Roman"/>
                <w:kern w:val="0"/>
                <w:sz w:val="22"/>
                <w:szCs w:val="22"/>
                <w:lang w:val="id-ID"/>
              </w:rPr>
            </w:pPr>
            <w:r>
              <w:rPr>
                <w:rFonts w:eastAsia="Times New Roman"/>
                <w:kern w:val="0"/>
                <w:sz w:val="22"/>
                <w:szCs w:val="22"/>
                <w:lang w:val="id-ID"/>
              </w:rPr>
              <w:t>48</w:t>
            </w:r>
          </w:p>
        </w:tc>
        <w:tc>
          <w:tcPr>
            <w:tcW w:w="1080" w:type="dxa"/>
            <w:tcBorders>
              <w:top w:val="single" w:color="auto" w:sz="4" w:space="0"/>
              <w:left w:val="single" w:color="auto" w:sz="4" w:space="0"/>
              <w:bottom w:val="single" w:color="auto" w:sz="4" w:space="0"/>
              <w:right w:val="single" w:color="auto" w:sz="4" w:space="0"/>
            </w:tcBorders>
            <w:noWrap w:val="0"/>
            <w:vAlign w:val="top"/>
          </w:tcPr>
          <w:p>
            <w:pPr>
              <w:widowControl/>
              <w:jc w:val="center"/>
              <w:rPr>
                <w:rFonts w:eastAsia="Times New Roman"/>
                <w:kern w:val="0"/>
                <w:sz w:val="22"/>
                <w:szCs w:val="22"/>
                <w:lang w:val="id-ID"/>
              </w:rPr>
            </w:pPr>
            <w:r>
              <w:rPr>
                <w:rFonts w:hint="eastAsia" w:ascii="等线" w:hAnsi="等线" w:eastAsia="等线" w:cs="等线"/>
                <w:sz w:val="22"/>
                <w:szCs w:val="22"/>
              </w:rPr>
              <w:t>个pcs</w:t>
            </w:r>
          </w:p>
        </w:tc>
        <w:tc>
          <w:tcPr>
            <w:tcW w:w="236" w:type="dxa"/>
            <w:tcBorders>
              <w:left w:val="single" w:color="auto" w:sz="4" w:space="0"/>
            </w:tcBorders>
            <w:noWrap w:val="0"/>
            <w:vAlign w:val="center"/>
          </w:tcPr>
          <w:p>
            <w:pPr>
              <w:widowControl/>
              <w:jc w:val="left"/>
              <w:rPr>
                <w:rFonts w:eastAsia="Times New Roman"/>
                <w:kern w:val="0"/>
                <w:sz w:val="22"/>
                <w:szCs w:val="22"/>
                <w:lang w:val="id-ID"/>
              </w:rPr>
            </w:pPr>
          </w:p>
        </w:tc>
      </w:tr>
      <w:tr>
        <w:tblPrEx>
          <w:tblLayout w:type="fixed"/>
          <w:tblCellMar>
            <w:top w:w="0" w:type="dxa"/>
            <w:left w:w="108" w:type="dxa"/>
            <w:bottom w:w="0" w:type="dxa"/>
            <w:right w:w="108" w:type="dxa"/>
          </w:tblCellMar>
        </w:tblPrEx>
        <w:trPr>
          <w:gridAfter w:val="1"/>
          <w:wAfter w:w="14" w:type="dxa"/>
          <w:trHeight w:val="560" w:hRule="atLeast"/>
        </w:trPr>
        <w:tc>
          <w:tcPr>
            <w:tcW w:w="704" w:type="dxa"/>
            <w:vMerge w:val="continue"/>
            <w:tcBorders>
              <w:left w:val="single" w:color="auto" w:sz="4" w:space="0"/>
              <w:bottom w:val="single" w:color="auto" w:sz="4" w:space="0"/>
              <w:right w:val="single" w:color="auto" w:sz="4" w:space="0"/>
            </w:tcBorders>
            <w:noWrap/>
            <w:vAlign w:val="center"/>
          </w:tcPr>
          <w:p>
            <w:pPr>
              <w:widowControl/>
              <w:adjustRightInd w:val="0"/>
              <w:snapToGrid w:val="0"/>
              <w:jc w:val="center"/>
              <w:rPr>
                <w:rFonts w:eastAsia="等线"/>
                <w:color w:val="000000"/>
                <w:kern w:val="0"/>
                <w:sz w:val="22"/>
                <w:szCs w:val="22"/>
                <w:lang w:val="id-ID"/>
              </w:rPr>
            </w:pPr>
          </w:p>
        </w:tc>
        <w:tc>
          <w:tcPr>
            <w:tcW w:w="4960" w:type="dxa"/>
            <w:tcBorders>
              <w:top w:val="nil"/>
              <w:left w:val="nil"/>
              <w:bottom w:val="single" w:color="auto" w:sz="4" w:space="0"/>
              <w:right w:val="single" w:color="auto" w:sz="4" w:space="0"/>
            </w:tcBorders>
            <w:noWrap w:val="0"/>
            <w:vAlign w:val="center"/>
          </w:tcPr>
          <w:p>
            <w:pPr>
              <w:widowControl/>
              <w:adjustRightInd w:val="0"/>
              <w:snapToGrid w:val="0"/>
              <w:jc w:val="left"/>
              <w:rPr>
                <w:rFonts w:eastAsia="等线"/>
                <w:i/>
                <w:iCs/>
                <w:color w:val="000000"/>
                <w:kern w:val="0"/>
                <w:sz w:val="22"/>
                <w:szCs w:val="22"/>
                <w:lang w:val="id-ID"/>
              </w:rPr>
            </w:pPr>
            <w:r>
              <w:rPr>
                <w:rFonts w:hint="eastAsia" w:ascii="等线" w:hAnsi="等线" w:eastAsia="等线" w:cs="等线"/>
                <w:sz w:val="22"/>
                <w:szCs w:val="22"/>
              </w:rPr>
              <w:t>- 塑料袋化学品</w:t>
            </w:r>
            <w:r>
              <w:rPr>
                <w:rFonts w:ascii="等线" w:hAnsi="等线" w:eastAsia="等线" w:cs="等线"/>
                <w:sz w:val="22"/>
                <w:szCs w:val="22"/>
                <w:lang w:val="id-ID"/>
              </w:rPr>
              <w:t xml:space="preserve">/ </w:t>
            </w:r>
            <w:r>
              <w:rPr>
                <w:rFonts w:ascii="等线" w:hAnsi="等线" w:eastAsia="等线" w:cs="等线"/>
                <w:sz w:val="22"/>
                <w:szCs w:val="22"/>
              </w:rPr>
              <w:t>Karung Kimia</w:t>
            </w:r>
          </w:p>
        </w:tc>
        <w:tc>
          <w:tcPr>
            <w:tcW w:w="1444" w:type="dxa"/>
            <w:vMerge w:val="continue"/>
            <w:tcBorders>
              <w:left w:val="nil"/>
              <w:bottom w:val="single" w:color="auto" w:sz="4" w:space="0"/>
              <w:right w:val="single" w:color="auto" w:sz="4" w:space="0"/>
            </w:tcBorders>
            <w:noWrap w:val="0"/>
            <w:vAlign w:val="top"/>
          </w:tcPr>
          <w:p>
            <w:pPr>
              <w:widowControl/>
              <w:adjustRightInd w:val="0"/>
              <w:snapToGrid w:val="0"/>
              <w:jc w:val="center"/>
              <w:rPr>
                <w:rFonts w:eastAsia="等线"/>
                <w:color w:val="000000"/>
                <w:kern w:val="0"/>
                <w:sz w:val="22"/>
                <w:szCs w:val="22"/>
                <w:lang w:val="id-ID"/>
              </w:rPr>
            </w:pPr>
          </w:p>
        </w:tc>
        <w:tc>
          <w:tcPr>
            <w:tcW w:w="1295" w:type="dxa"/>
            <w:vMerge w:val="continue"/>
            <w:tcBorders>
              <w:left w:val="nil"/>
              <w:bottom w:val="single" w:color="auto" w:sz="4" w:space="0"/>
              <w:right w:val="single" w:color="auto" w:sz="4" w:space="0"/>
            </w:tcBorders>
            <w:noWrap/>
            <w:vAlign w:val="top"/>
          </w:tcPr>
          <w:p>
            <w:pPr>
              <w:widowControl/>
              <w:adjustRightInd w:val="0"/>
              <w:snapToGrid w:val="0"/>
              <w:jc w:val="center"/>
              <w:rPr>
                <w:rFonts w:eastAsia="等线"/>
                <w:color w:val="000000"/>
                <w:kern w:val="0"/>
                <w:sz w:val="22"/>
                <w:szCs w:val="22"/>
                <w:lang w:val="id-ID"/>
              </w:rPr>
            </w:pPr>
          </w:p>
        </w:tc>
        <w:tc>
          <w:tcPr>
            <w:tcW w:w="1286" w:type="dxa"/>
            <w:tcBorders>
              <w:top w:val="single" w:color="auto" w:sz="4" w:space="0"/>
              <w:bottom w:val="single" w:color="auto" w:sz="4" w:space="0"/>
              <w:right w:val="single" w:color="auto" w:sz="4" w:space="0"/>
            </w:tcBorders>
            <w:noWrap w:val="0"/>
            <w:vAlign w:val="top"/>
          </w:tcPr>
          <w:p>
            <w:pPr>
              <w:widowControl/>
              <w:jc w:val="center"/>
              <w:rPr>
                <w:rFonts w:eastAsia="Times New Roman"/>
                <w:kern w:val="0"/>
                <w:sz w:val="22"/>
                <w:szCs w:val="22"/>
                <w:lang w:val="id-ID"/>
              </w:rPr>
            </w:pPr>
            <w:r>
              <w:rPr>
                <w:rFonts w:eastAsia="Times New Roman"/>
                <w:kern w:val="0"/>
                <w:sz w:val="22"/>
                <w:szCs w:val="22"/>
                <w:lang w:val="id-ID"/>
              </w:rPr>
              <w:t>13200</w:t>
            </w:r>
          </w:p>
        </w:tc>
        <w:tc>
          <w:tcPr>
            <w:tcW w:w="1080" w:type="dxa"/>
            <w:tcBorders>
              <w:top w:val="single" w:color="auto" w:sz="4" w:space="0"/>
              <w:left w:val="single" w:color="auto" w:sz="4" w:space="0"/>
              <w:bottom w:val="single" w:color="auto" w:sz="4" w:space="0"/>
              <w:right w:val="single" w:color="auto" w:sz="4" w:space="0"/>
            </w:tcBorders>
            <w:noWrap w:val="0"/>
            <w:vAlign w:val="top"/>
          </w:tcPr>
          <w:p>
            <w:pPr>
              <w:widowControl/>
              <w:jc w:val="center"/>
              <w:rPr>
                <w:rFonts w:eastAsia="Times New Roman"/>
                <w:kern w:val="0"/>
                <w:sz w:val="22"/>
                <w:szCs w:val="22"/>
                <w:lang w:val="id-ID"/>
              </w:rPr>
            </w:pPr>
            <w:r>
              <w:rPr>
                <w:rFonts w:hint="eastAsia" w:ascii="等线" w:hAnsi="等线" w:eastAsia="等线" w:cs="等线"/>
                <w:sz w:val="22"/>
                <w:szCs w:val="22"/>
              </w:rPr>
              <w:t>个pcs</w:t>
            </w:r>
          </w:p>
        </w:tc>
        <w:tc>
          <w:tcPr>
            <w:tcW w:w="236" w:type="dxa"/>
            <w:tcBorders>
              <w:left w:val="single" w:color="auto" w:sz="4" w:space="0"/>
            </w:tcBorders>
            <w:noWrap w:val="0"/>
            <w:vAlign w:val="center"/>
          </w:tcPr>
          <w:p>
            <w:pPr>
              <w:widowControl/>
              <w:jc w:val="left"/>
              <w:rPr>
                <w:rFonts w:eastAsia="Times New Roman"/>
                <w:kern w:val="0"/>
                <w:sz w:val="22"/>
                <w:szCs w:val="22"/>
                <w:lang w:val="id-ID"/>
              </w:rPr>
            </w:pPr>
          </w:p>
        </w:tc>
      </w:tr>
      <w:tr>
        <w:tblPrEx>
          <w:tblLayout w:type="fixed"/>
          <w:tblCellMar>
            <w:top w:w="0" w:type="dxa"/>
            <w:left w:w="108" w:type="dxa"/>
            <w:bottom w:w="0" w:type="dxa"/>
            <w:right w:w="108" w:type="dxa"/>
          </w:tblCellMar>
        </w:tblPrEx>
        <w:trPr>
          <w:gridAfter w:val="1"/>
          <w:wAfter w:w="14" w:type="dxa"/>
          <w:trHeight w:val="560" w:hRule="atLeast"/>
        </w:trPr>
        <w:tc>
          <w:tcPr>
            <w:tcW w:w="704" w:type="dxa"/>
            <w:tcBorders>
              <w:top w:val="nil"/>
              <w:left w:val="single" w:color="auto" w:sz="4" w:space="0"/>
              <w:bottom w:val="single" w:color="auto" w:sz="4" w:space="0"/>
              <w:right w:val="single" w:color="auto" w:sz="4" w:space="0"/>
            </w:tcBorders>
            <w:noWrap/>
            <w:vAlign w:val="center"/>
          </w:tcPr>
          <w:p>
            <w:pPr>
              <w:widowControl/>
              <w:adjustRightInd w:val="0"/>
              <w:snapToGrid w:val="0"/>
              <w:jc w:val="center"/>
              <w:rPr>
                <w:rFonts w:eastAsia="等线"/>
                <w:color w:val="000000"/>
                <w:kern w:val="0"/>
                <w:sz w:val="22"/>
                <w:szCs w:val="22"/>
                <w:lang w:val="id-ID"/>
              </w:rPr>
            </w:pPr>
            <w:r>
              <w:rPr>
                <w:rFonts w:eastAsia="等线"/>
                <w:color w:val="000000"/>
                <w:kern w:val="0"/>
                <w:sz w:val="22"/>
                <w:szCs w:val="22"/>
                <w:lang w:val="id-ID"/>
              </w:rPr>
              <w:t>4</w:t>
            </w:r>
          </w:p>
        </w:tc>
        <w:tc>
          <w:tcPr>
            <w:tcW w:w="4960" w:type="dxa"/>
            <w:tcBorders>
              <w:top w:val="nil"/>
              <w:left w:val="nil"/>
              <w:bottom w:val="single" w:color="auto" w:sz="4" w:space="0"/>
              <w:right w:val="single" w:color="auto" w:sz="4" w:space="0"/>
            </w:tcBorders>
            <w:noWrap w:val="0"/>
            <w:vAlign w:val="center"/>
          </w:tcPr>
          <w:p>
            <w:pPr>
              <w:widowControl/>
              <w:adjustRightInd w:val="0"/>
              <w:snapToGrid w:val="0"/>
              <w:jc w:val="left"/>
              <w:rPr>
                <w:rFonts w:eastAsia="等线"/>
                <w:i/>
                <w:iCs/>
                <w:color w:val="000000"/>
                <w:kern w:val="0"/>
                <w:sz w:val="22"/>
                <w:szCs w:val="22"/>
                <w:lang w:val="id-ID"/>
              </w:rPr>
            </w:pPr>
            <w:r>
              <w:rPr>
                <w:rFonts w:eastAsia="等线"/>
                <w:i/>
                <w:iCs/>
                <w:color w:val="000000"/>
                <w:kern w:val="0"/>
                <w:sz w:val="22"/>
                <w:szCs w:val="22"/>
                <w:lang w:val="id-ID"/>
              </w:rPr>
              <w:t>含石棉绝缘材料</w:t>
            </w:r>
            <w:r>
              <w:rPr>
                <w:rFonts w:eastAsia="等线"/>
                <w:color w:val="000000"/>
                <w:kern w:val="0"/>
                <w:sz w:val="22"/>
                <w:szCs w:val="22"/>
                <w:lang w:val="id-ID"/>
              </w:rPr>
              <w:t xml:space="preserve">Material insulasi yang mengandung asbestos </w:t>
            </w:r>
          </w:p>
        </w:tc>
        <w:tc>
          <w:tcPr>
            <w:tcW w:w="1444" w:type="dxa"/>
            <w:tcBorders>
              <w:top w:val="nil"/>
              <w:left w:val="nil"/>
              <w:bottom w:val="single" w:color="auto" w:sz="4" w:space="0"/>
              <w:right w:val="single" w:color="auto" w:sz="4" w:space="0"/>
            </w:tcBorders>
            <w:noWrap w:val="0"/>
            <w:vAlign w:val="center"/>
          </w:tcPr>
          <w:p>
            <w:pPr>
              <w:widowControl/>
              <w:adjustRightInd w:val="0"/>
              <w:snapToGrid w:val="0"/>
              <w:jc w:val="center"/>
              <w:rPr>
                <w:rFonts w:eastAsia="等线"/>
                <w:color w:val="000000"/>
                <w:kern w:val="0"/>
                <w:sz w:val="22"/>
                <w:szCs w:val="22"/>
                <w:lang w:val="id-ID"/>
              </w:rPr>
            </w:pPr>
            <w:r>
              <w:rPr>
                <w:rFonts w:eastAsia="等线"/>
                <w:color w:val="000000"/>
                <w:kern w:val="0"/>
                <w:sz w:val="22"/>
                <w:szCs w:val="22"/>
                <w:lang w:val="id-ID"/>
              </w:rPr>
              <w:t>Maintenance维护</w:t>
            </w:r>
          </w:p>
        </w:tc>
        <w:tc>
          <w:tcPr>
            <w:tcW w:w="1295" w:type="dxa"/>
            <w:tcBorders>
              <w:top w:val="nil"/>
              <w:left w:val="nil"/>
              <w:bottom w:val="single" w:color="auto" w:sz="4" w:space="0"/>
              <w:right w:val="single" w:color="auto" w:sz="4" w:space="0"/>
            </w:tcBorders>
            <w:noWrap/>
            <w:vAlign w:val="center"/>
          </w:tcPr>
          <w:p>
            <w:pPr>
              <w:widowControl/>
              <w:adjustRightInd w:val="0"/>
              <w:snapToGrid w:val="0"/>
              <w:jc w:val="center"/>
              <w:rPr>
                <w:rFonts w:eastAsia="等线"/>
                <w:color w:val="000000"/>
                <w:kern w:val="0"/>
                <w:sz w:val="22"/>
                <w:szCs w:val="22"/>
                <w:lang w:val="id-ID"/>
              </w:rPr>
            </w:pPr>
            <w:r>
              <w:rPr>
                <w:rFonts w:eastAsia="等线"/>
                <w:color w:val="000000"/>
                <w:kern w:val="0"/>
                <w:sz w:val="22"/>
                <w:szCs w:val="22"/>
                <w:lang w:val="id-ID"/>
              </w:rPr>
              <w:t>B354-4</w:t>
            </w:r>
          </w:p>
        </w:tc>
        <w:tc>
          <w:tcPr>
            <w:tcW w:w="1286" w:type="dxa"/>
            <w:tcBorders>
              <w:top w:val="single" w:color="auto" w:sz="4" w:space="0"/>
              <w:bottom w:val="single" w:color="auto" w:sz="4" w:space="0"/>
              <w:right w:val="single" w:color="auto" w:sz="4" w:space="0"/>
            </w:tcBorders>
            <w:noWrap w:val="0"/>
            <w:vAlign w:val="top"/>
          </w:tcPr>
          <w:p>
            <w:pPr>
              <w:widowControl/>
              <w:jc w:val="center"/>
              <w:rPr>
                <w:rFonts w:eastAsia="Times New Roman"/>
                <w:kern w:val="0"/>
                <w:sz w:val="22"/>
                <w:szCs w:val="22"/>
                <w:lang w:val="id-ID"/>
              </w:rPr>
            </w:pPr>
            <w:r>
              <w:rPr>
                <w:rFonts w:eastAsia="Times New Roman"/>
                <w:kern w:val="0"/>
                <w:sz w:val="22"/>
                <w:szCs w:val="22"/>
                <w:lang w:val="id-ID"/>
              </w:rPr>
              <w:t>20</w:t>
            </w:r>
          </w:p>
        </w:tc>
        <w:tc>
          <w:tcPr>
            <w:tcW w:w="1080" w:type="dxa"/>
            <w:tcBorders>
              <w:top w:val="single" w:color="auto" w:sz="4" w:space="0"/>
              <w:left w:val="single" w:color="auto" w:sz="4" w:space="0"/>
              <w:bottom w:val="single" w:color="auto" w:sz="4" w:space="0"/>
              <w:right w:val="single" w:color="auto" w:sz="4" w:space="0"/>
            </w:tcBorders>
            <w:noWrap w:val="0"/>
            <w:vAlign w:val="top"/>
          </w:tcPr>
          <w:p>
            <w:pPr>
              <w:widowControl/>
              <w:jc w:val="center"/>
              <w:rPr>
                <w:rFonts w:hint="eastAsia" w:ascii="等线" w:hAnsi="等线" w:eastAsia="等线" w:cs="等线"/>
                <w:sz w:val="22"/>
                <w:szCs w:val="22"/>
              </w:rPr>
            </w:pPr>
            <w:r>
              <w:rPr>
                <w:rFonts w:hint="eastAsia" w:ascii="等线" w:hAnsi="等线" w:eastAsia="等线" w:cs="等线"/>
                <w:sz w:val="22"/>
                <w:szCs w:val="22"/>
              </w:rPr>
              <w:t>公斤kg</w:t>
            </w:r>
          </w:p>
        </w:tc>
        <w:tc>
          <w:tcPr>
            <w:tcW w:w="236" w:type="dxa"/>
            <w:tcBorders>
              <w:left w:val="single" w:color="auto" w:sz="4" w:space="0"/>
            </w:tcBorders>
            <w:noWrap w:val="0"/>
            <w:vAlign w:val="center"/>
          </w:tcPr>
          <w:p>
            <w:pPr>
              <w:widowControl/>
              <w:jc w:val="left"/>
              <w:rPr>
                <w:rFonts w:eastAsia="Times New Roman"/>
                <w:kern w:val="0"/>
                <w:sz w:val="22"/>
                <w:szCs w:val="22"/>
                <w:lang w:val="id-ID"/>
              </w:rPr>
            </w:pPr>
          </w:p>
        </w:tc>
      </w:tr>
      <w:tr>
        <w:tblPrEx>
          <w:tblLayout w:type="fixed"/>
          <w:tblCellMar>
            <w:top w:w="0" w:type="dxa"/>
            <w:left w:w="108" w:type="dxa"/>
            <w:bottom w:w="0" w:type="dxa"/>
            <w:right w:w="108" w:type="dxa"/>
          </w:tblCellMar>
        </w:tblPrEx>
        <w:trPr>
          <w:gridAfter w:val="1"/>
          <w:wAfter w:w="14" w:type="dxa"/>
          <w:trHeight w:val="560" w:hRule="atLeast"/>
        </w:trPr>
        <w:tc>
          <w:tcPr>
            <w:tcW w:w="704" w:type="dxa"/>
            <w:tcBorders>
              <w:top w:val="nil"/>
              <w:left w:val="single" w:color="auto" w:sz="4" w:space="0"/>
              <w:bottom w:val="single" w:color="auto" w:sz="4" w:space="0"/>
              <w:right w:val="single" w:color="auto" w:sz="4" w:space="0"/>
            </w:tcBorders>
            <w:noWrap/>
            <w:vAlign w:val="center"/>
          </w:tcPr>
          <w:p>
            <w:pPr>
              <w:widowControl/>
              <w:adjustRightInd w:val="0"/>
              <w:snapToGrid w:val="0"/>
              <w:jc w:val="center"/>
              <w:rPr>
                <w:rFonts w:eastAsia="等线"/>
                <w:color w:val="000000"/>
                <w:kern w:val="0"/>
                <w:sz w:val="22"/>
                <w:szCs w:val="22"/>
                <w:lang w:val="id-ID"/>
              </w:rPr>
            </w:pPr>
            <w:r>
              <w:rPr>
                <w:rFonts w:eastAsia="等线"/>
                <w:color w:val="000000"/>
                <w:kern w:val="0"/>
                <w:sz w:val="22"/>
                <w:szCs w:val="22"/>
                <w:lang w:val="id-ID"/>
              </w:rPr>
              <w:t>5</w:t>
            </w:r>
          </w:p>
        </w:tc>
        <w:tc>
          <w:tcPr>
            <w:tcW w:w="4960" w:type="dxa"/>
            <w:tcBorders>
              <w:top w:val="nil"/>
              <w:left w:val="nil"/>
              <w:bottom w:val="single" w:color="auto" w:sz="4" w:space="0"/>
              <w:right w:val="single" w:color="auto" w:sz="4" w:space="0"/>
            </w:tcBorders>
            <w:noWrap w:val="0"/>
            <w:vAlign w:val="center"/>
          </w:tcPr>
          <w:p>
            <w:pPr>
              <w:widowControl/>
              <w:adjustRightInd w:val="0"/>
              <w:snapToGrid w:val="0"/>
              <w:jc w:val="left"/>
              <w:rPr>
                <w:rFonts w:eastAsia="等线"/>
                <w:i/>
                <w:iCs/>
                <w:color w:val="000000"/>
                <w:kern w:val="0"/>
                <w:sz w:val="22"/>
                <w:szCs w:val="22"/>
                <w:lang w:val="id-ID"/>
              </w:rPr>
            </w:pPr>
            <w:r>
              <w:rPr>
                <w:rFonts w:eastAsia="等线"/>
                <w:i/>
                <w:iCs/>
                <w:color w:val="000000"/>
                <w:kern w:val="0"/>
                <w:sz w:val="22"/>
                <w:szCs w:val="22"/>
                <w:lang w:val="id-ID"/>
              </w:rPr>
              <w:t>爆破过程的残余</w:t>
            </w:r>
            <w:r>
              <w:rPr>
                <w:rFonts w:eastAsia="等线"/>
                <w:color w:val="000000"/>
                <w:kern w:val="0"/>
                <w:sz w:val="22"/>
                <w:szCs w:val="22"/>
                <w:lang w:val="id-ID"/>
              </w:rPr>
              <w:t xml:space="preserve">Sisa proses blasting </w:t>
            </w:r>
          </w:p>
        </w:tc>
        <w:tc>
          <w:tcPr>
            <w:tcW w:w="1444" w:type="dxa"/>
            <w:tcBorders>
              <w:top w:val="nil"/>
              <w:left w:val="nil"/>
              <w:bottom w:val="single" w:color="auto" w:sz="4" w:space="0"/>
              <w:right w:val="single" w:color="auto" w:sz="4" w:space="0"/>
            </w:tcBorders>
            <w:noWrap w:val="0"/>
            <w:vAlign w:val="center"/>
          </w:tcPr>
          <w:p>
            <w:pPr>
              <w:widowControl/>
              <w:adjustRightInd w:val="0"/>
              <w:snapToGrid w:val="0"/>
              <w:jc w:val="center"/>
              <w:rPr>
                <w:rFonts w:eastAsia="等线"/>
                <w:color w:val="000000"/>
                <w:kern w:val="0"/>
                <w:sz w:val="22"/>
                <w:szCs w:val="22"/>
                <w:lang w:val="id-ID"/>
              </w:rPr>
            </w:pPr>
            <w:r>
              <w:rPr>
                <w:rFonts w:eastAsia="等线"/>
                <w:color w:val="000000"/>
                <w:kern w:val="0"/>
                <w:sz w:val="22"/>
                <w:szCs w:val="22"/>
                <w:lang w:val="id-ID"/>
              </w:rPr>
              <w:t>Maintenance维护</w:t>
            </w:r>
          </w:p>
        </w:tc>
        <w:tc>
          <w:tcPr>
            <w:tcW w:w="1295" w:type="dxa"/>
            <w:tcBorders>
              <w:top w:val="nil"/>
              <w:left w:val="nil"/>
              <w:bottom w:val="single" w:color="auto" w:sz="4" w:space="0"/>
              <w:right w:val="single" w:color="auto" w:sz="4" w:space="0"/>
            </w:tcBorders>
            <w:noWrap/>
            <w:vAlign w:val="center"/>
          </w:tcPr>
          <w:p>
            <w:pPr>
              <w:widowControl/>
              <w:adjustRightInd w:val="0"/>
              <w:snapToGrid w:val="0"/>
              <w:jc w:val="center"/>
              <w:rPr>
                <w:rFonts w:eastAsia="等线"/>
                <w:color w:val="000000"/>
                <w:kern w:val="0"/>
                <w:sz w:val="22"/>
                <w:szCs w:val="22"/>
                <w:lang w:val="id-ID"/>
              </w:rPr>
            </w:pPr>
            <w:r>
              <w:rPr>
                <w:rFonts w:eastAsia="等线"/>
                <w:color w:val="000000"/>
                <w:kern w:val="0"/>
                <w:sz w:val="22"/>
                <w:szCs w:val="22"/>
                <w:lang w:val="id-ID"/>
              </w:rPr>
              <w:t>B323-1</w:t>
            </w:r>
          </w:p>
        </w:tc>
        <w:tc>
          <w:tcPr>
            <w:tcW w:w="1286" w:type="dxa"/>
            <w:tcBorders>
              <w:top w:val="single" w:color="auto" w:sz="4" w:space="0"/>
              <w:bottom w:val="single" w:color="auto" w:sz="4" w:space="0"/>
              <w:right w:val="single" w:color="auto" w:sz="4" w:space="0"/>
            </w:tcBorders>
            <w:noWrap w:val="0"/>
            <w:vAlign w:val="top"/>
          </w:tcPr>
          <w:p>
            <w:pPr>
              <w:widowControl/>
              <w:jc w:val="center"/>
              <w:rPr>
                <w:rFonts w:eastAsia="Times New Roman"/>
                <w:kern w:val="0"/>
                <w:sz w:val="22"/>
                <w:szCs w:val="22"/>
                <w:lang w:val="id-ID"/>
              </w:rPr>
            </w:pPr>
            <w:r>
              <w:rPr>
                <w:rFonts w:eastAsia="Times New Roman"/>
                <w:kern w:val="0"/>
                <w:sz w:val="22"/>
                <w:szCs w:val="22"/>
                <w:lang w:val="id-ID"/>
              </w:rPr>
              <w:t>20</w:t>
            </w:r>
          </w:p>
        </w:tc>
        <w:tc>
          <w:tcPr>
            <w:tcW w:w="1080" w:type="dxa"/>
            <w:tcBorders>
              <w:top w:val="single" w:color="auto" w:sz="4" w:space="0"/>
              <w:left w:val="single" w:color="auto" w:sz="4" w:space="0"/>
              <w:bottom w:val="single" w:color="auto" w:sz="4" w:space="0"/>
              <w:right w:val="single" w:color="auto" w:sz="4" w:space="0"/>
            </w:tcBorders>
            <w:noWrap w:val="0"/>
            <w:vAlign w:val="top"/>
          </w:tcPr>
          <w:p>
            <w:pPr>
              <w:widowControl/>
              <w:jc w:val="center"/>
              <w:rPr>
                <w:rFonts w:hint="eastAsia" w:ascii="等线" w:hAnsi="等线" w:eastAsia="等线" w:cs="等线"/>
                <w:sz w:val="22"/>
                <w:szCs w:val="22"/>
              </w:rPr>
            </w:pPr>
            <w:r>
              <w:rPr>
                <w:rFonts w:hint="eastAsia" w:ascii="等线" w:hAnsi="等线" w:eastAsia="等线" w:cs="等线"/>
                <w:sz w:val="22"/>
                <w:szCs w:val="22"/>
              </w:rPr>
              <w:t>公斤kg</w:t>
            </w:r>
          </w:p>
        </w:tc>
        <w:tc>
          <w:tcPr>
            <w:tcW w:w="236" w:type="dxa"/>
            <w:tcBorders>
              <w:left w:val="single" w:color="auto" w:sz="4" w:space="0"/>
            </w:tcBorders>
            <w:noWrap w:val="0"/>
            <w:vAlign w:val="center"/>
          </w:tcPr>
          <w:p>
            <w:pPr>
              <w:widowControl/>
              <w:jc w:val="left"/>
              <w:rPr>
                <w:rFonts w:eastAsia="Times New Roman"/>
                <w:kern w:val="0"/>
                <w:sz w:val="22"/>
                <w:szCs w:val="22"/>
                <w:lang w:val="id-ID"/>
              </w:rPr>
            </w:pPr>
          </w:p>
        </w:tc>
      </w:tr>
      <w:tr>
        <w:tblPrEx>
          <w:tblLayout w:type="fixed"/>
          <w:tblCellMar>
            <w:top w:w="0" w:type="dxa"/>
            <w:left w:w="108" w:type="dxa"/>
            <w:bottom w:w="0" w:type="dxa"/>
            <w:right w:w="108" w:type="dxa"/>
          </w:tblCellMar>
        </w:tblPrEx>
        <w:trPr>
          <w:gridAfter w:val="1"/>
          <w:wAfter w:w="14" w:type="dxa"/>
          <w:trHeight w:val="560" w:hRule="atLeast"/>
        </w:trPr>
        <w:tc>
          <w:tcPr>
            <w:tcW w:w="704" w:type="dxa"/>
            <w:tcBorders>
              <w:top w:val="nil"/>
              <w:left w:val="single" w:color="auto" w:sz="4" w:space="0"/>
              <w:bottom w:val="single" w:color="auto" w:sz="4" w:space="0"/>
              <w:right w:val="single" w:color="auto" w:sz="4" w:space="0"/>
            </w:tcBorders>
            <w:noWrap/>
            <w:vAlign w:val="center"/>
          </w:tcPr>
          <w:p>
            <w:pPr>
              <w:widowControl/>
              <w:adjustRightInd w:val="0"/>
              <w:snapToGrid w:val="0"/>
              <w:jc w:val="center"/>
              <w:rPr>
                <w:rFonts w:eastAsia="等线"/>
                <w:color w:val="000000"/>
                <w:kern w:val="0"/>
                <w:sz w:val="22"/>
                <w:szCs w:val="22"/>
                <w:lang w:val="id-ID"/>
              </w:rPr>
            </w:pPr>
            <w:r>
              <w:rPr>
                <w:rFonts w:eastAsia="等线"/>
                <w:color w:val="000000"/>
                <w:kern w:val="0"/>
                <w:sz w:val="22"/>
                <w:szCs w:val="22"/>
                <w:lang w:val="id-ID"/>
              </w:rPr>
              <w:t>6</w:t>
            </w:r>
          </w:p>
        </w:tc>
        <w:tc>
          <w:tcPr>
            <w:tcW w:w="4960" w:type="dxa"/>
            <w:tcBorders>
              <w:top w:val="nil"/>
              <w:left w:val="nil"/>
              <w:bottom w:val="single" w:color="auto" w:sz="4" w:space="0"/>
              <w:right w:val="single" w:color="auto" w:sz="4" w:space="0"/>
            </w:tcBorders>
            <w:noWrap w:val="0"/>
            <w:vAlign w:val="center"/>
          </w:tcPr>
          <w:p>
            <w:pPr>
              <w:widowControl/>
              <w:adjustRightInd w:val="0"/>
              <w:snapToGrid w:val="0"/>
              <w:jc w:val="left"/>
              <w:rPr>
                <w:rFonts w:eastAsia="等线"/>
                <w:color w:val="000000"/>
                <w:kern w:val="0"/>
                <w:sz w:val="22"/>
                <w:szCs w:val="22"/>
                <w:lang w:val="id-ID"/>
              </w:rPr>
            </w:pPr>
            <w:r>
              <w:rPr>
                <w:rFonts w:eastAsia="等线"/>
                <w:i/>
                <w:iCs/>
                <w:color w:val="000000"/>
                <w:kern w:val="0"/>
                <w:sz w:val="22"/>
                <w:szCs w:val="22"/>
                <w:lang w:val="id-ID"/>
              </w:rPr>
              <w:t>废润滑脂</w:t>
            </w:r>
            <w:r>
              <w:rPr>
                <w:rFonts w:eastAsia="等线"/>
                <w:color w:val="000000"/>
                <w:kern w:val="0"/>
                <w:sz w:val="22"/>
                <w:szCs w:val="22"/>
                <w:lang w:val="id-ID"/>
              </w:rPr>
              <w:t xml:space="preserve">Grease Bekas </w:t>
            </w:r>
          </w:p>
        </w:tc>
        <w:tc>
          <w:tcPr>
            <w:tcW w:w="1444" w:type="dxa"/>
            <w:tcBorders>
              <w:top w:val="nil"/>
              <w:left w:val="nil"/>
              <w:bottom w:val="single" w:color="auto" w:sz="4" w:space="0"/>
              <w:right w:val="single" w:color="auto" w:sz="4" w:space="0"/>
            </w:tcBorders>
            <w:noWrap w:val="0"/>
            <w:vAlign w:val="center"/>
          </w:tcPr>
          <w:p>
            <w:pPr>
              <w:widowControl/>
              <w:adjustRightInd w:val="0"/>
              <w:snapToGrid w:val="0"/>
              <w:jc w:val="center"/>
              <w:rPr>
                <w:rFonts w:eastAsia="等线"/>
                <w:color w:val="000000"/>
                <w:kern w:val="0"/>
                <w:sz w:val="22"/>
                <w:szCs w:val="22"/>
                <w:lang w:val="id-ID"/>
              </w:rPr>
            </w:pPr>
            <w:r>
              <w:rPr>
                <w:rFonts w:eastAsia="等线"/>
                <w:color w:val="000000"/>
                <w:kern w:val="0"/>
                <w:sz w:val="22"/>
                <w:szCs w:val="22"/>
                <w:lang w:val="id-ID"/>
              </w:rPr>
              <w:t>Maintenance维护</w:t>
            </w:r>
          </w:p>
        </w:tc>
        <w:tc>
          <w:tcPr>
            <w:tcW w:w="1295" w:type="dxa"/>
            <w:tcBorders>
              <w:top w:val="nil"/>
              <w:left w:val="nil"/>
              <w:bottom w:val="single" w:color="auto" w:sz="4" w:space="0"/>
              <w:right w:val="single" w:color="auto" w:sz="4" w:space="0"/>
            </w:tcBorders>
            <w:noWrap/>
            <w:vAlign w:val="center"/>
          </w:tcPr>
          <w:p>
            <w:pPr>
              <w:widowControl/>
              <w:adjustRightInd w:val="0"/>
              <w:snapToGrid w:val="0"/>
              <w:jc w:val="center"/>
              <w:rPr>
                <w:rFonts w:eastAsia="等线"/>
                <w:color w:val="000000"/>
                <w:kern w:val="0"/>
                <w:sz w:val="22"/>
                <w:szCs w:val="22"/>
                <w:lang w:val="id-ID"/>
              </w:rPr>
            </w:pPr>
            <w:r>
              <w:rPr>
                <w:rFonts w:eastAsia="等线"/>
                <w:color w:val="000000"/>
                <w:kern w:val="0"/>
                <w:sz w:val="22"/>
                <w:szCs w:val="22"/>
                <w:lang w:val="id-ID"/>
              </w:rPr>
              <w:t>B015d</w:t>
            </w:r>
          </w:p>
        </w:tc>
        <w:tc>
          <w:tcPr>
            <w:tcW w:w="1286" w:type="dxa"/>
            <w:tcBorders>
              <w:top w:val="single" w:color="auto" w:sz="4" w:space="0"/>
              <w:bottom w:val="single" w:color="auto" w:sz="4" w:space="0"/>
              <w:right w:val="single" w:color="auto" w:sz="4" w:space="0"/>
            </w:tcBorders>
            <w:noWrap w:val="0"/>
            <w:vAlign w:val="top"/>
          </w:tcPr>
          <w:p>
            <w:pPr>
              <w:widowControl/>
              <w:jc w:val="center"/>
              <w:rPr>
                <w:rFonts w:eastAsia="Times New Roman"/>
                <w:kern w:val="0"/>
                <w:sz w:val="22"/>
                <w:szCs w:val="22"/>
                <w:lang w:val="id-ID"/>
              </w:rPr>
            </w:pPr>
            <w:r>
              <w:rPr>
                <w:rFonts w:eastAsia="Times New Roman"/>
                <w:kern w:val="0"/>
                <w:sz w:val="22"/>
                <w:szCs w:val="22"/>
                <w:lang w:val="id-ID"/>
              </w:rPr>
              <w:t>20</w:t>
            </w:r>
          </w:p>
        </w:tc>
        <w:tc>
          <w:tcPr>
            <w:tcW w:w="1080" w:type="dxa"/>
            <w:tcBorders>
              <w:top w:val="single" w:color="auto" w:sz="4" w:space="0"/>
              <w:left w:val="single" w:color="auto" w:sz="4" w:space="0"/>
              <w:bottom w:val="single" w:color="auto" w:sz="4" w:space="0"/>
              <w:right w:val="single" w:color="auto" w:sz="4" w:space="0"/>
            </w:tcBorders>
            <w:noWrap w:val="0"/>
            <w:vAlign w:val="top"/>
          </w:tcPr>
          <w:p>
            <w:pPr>
              <w:widowControl/>
              <w:jc w:val="center"/>
              <w:rPr>
                <w:rFonts w:eastAsia="Times New Roman"/>
                <w:kern w:val="0"/>
                <w:sz w:val="22"/>
                <w:szCs w:val="22"/>
                <w:lang w:val="id-ID"/>
              </w:rPr>
            </w:pPr>
            <w:r>
              <w:rPr>
                <w:rFonts w:hint="eastAsia" w:ascii="等线" w:hAnsi="等线" w:eastAsia="等线" w:cs="等线"/>
                <w:sz w:val="22"/>
                <w:szCs w:val="22"/>
              </w:rPr>
              <w:t>公斤kg</w:t>
            </w:r>
          </w:p>
        </w:tc>
        <w:tc>
          <w:tcPr>
            <w:tcW w:w="236" w:type="dxa"/>
            <w:tcBorders>
              <w:left w:val="single" w:color="auto" w:sz="4" w:space="0"/>
            </w:tcBorders>
            <w:noWrap w:val="0"/>
            <w:vAlign w:val="center"/>
          </w:tcPr>
          <w:p>
            <w:pPr>
              <w:widowControl/>
              <w:jc w:val="left"/>
              <w:rPr>
                <w:rFonts w:eastAsia="Times New Roman"/>
                <w:kern w:val="0"/>
                <w:sz w:val="22"/>
                <w:szCs w:val="22"/>
                <w:lang w:val="id-ID"/>
              </w:rPr>
            </w:pPr>
          </w:p>
        </w:tc>
      </w:tr>
      <w:tr>
        <w:tblPrEx>
          <w:tblLayout w:type="fixed"/>
          <w:tblCellMar>
            <w:top w:w="0" w:type="dxa"/>
            <w:left w:w="108" w:type="dxa"/>
            <w:bottom w:w="0" w:type="dxa"/>
            <w:right w:w="108" w:type="dxa"/>
          </w:tblCellMar>
        </w:tblPrEx>
        <w:trPr>
          <w:gridAfter w:val="1"/>
          <w:wAfter w:w="14" w:type="dxa"/>
          <w:trHeight w:val="560" w:hRule="atLeast"/>
        </w:trPr>
        <w:tc>
          <w:tcPr>
            <w:tcW w:w="704" w:type="dxa"/>
            <w:tcBorders>
              <w:top w:val="nil"/>
              <w:left w:val="single" w:color="auto" w:sz="4" w:space="0"/>
              <w:bottom w:val="single" w:color="auto" w:sz="4" w:space="0"/>
              <w:right w:val="single" w:color="auto" w:sz="4" w:space="0"/>
            </w:tcBorders>
            <w:noWrap/>
            <w:vAlign w:val="center"/>
          </w:tcPr>
          <w:p>
            <w:pPr>
              <w:widowControl/>
              <w:adjustRightInd w:val="0"/>
              <w:snapToGrid w:val="0"/>
              <w:jc w:val="center"/>
              <w:rPr>
                <w:rFonts w:eastAsia="等线"/>
                <w:color w:val="000000"/>
                <w:kern w:val="0"/>
                <w:sz w:val="22"/>
                <w:szCs w:val="22"/>
                <w:lang w:val="id-ID"/>
              </w:rPr>
            </w:pPr>
            <w:r>
              <w:rPr>
                <w:rFonts w:eastAsia="等线"/>
                <w:color w:val="000000"/>
                <w:kern w:val="0"/>
                <w:sz w:val="22"/>
                <w:szCs w:val="22"/>
                <w:lang w:val="id-ID"/>
              </w:rPr>
              <w:t>7</w:t>
            </w:r>
          </w:p>
        </w:tc>
        <w:tc>
          <w:tcPr>
            <w:tcW w:w="4960" w:type="dxa"/>
            <w:tcBorders>
              <w:top w:val="nil"/>
              <w:left w:val="nil"/>
              <w:bottom w:val="single" w:color="auto" w:sz="4" w:space="0"/>
              <w:right w:val="single" w:color="auto" w:sz="4" w:space="0"/>
            </w:tcBorders>
            <w:noWrap w:val="0"/>
            <w:vAlign w:val="center"/>
          </w:tcPr>
          <w:p>
            <w:pPr>
              <w:widowControl/>
              <w:adjustRightInd w:val="0"/>
              <w:snapToGrid w:val="0"/>
              <w:jc w:val="left"/>
              <w:rPr>
                <w:rFonts w:eastAsia="等线"/>
                <w:color w:val="000000"/>
                <w:kern w:val="0"/>
                <w:sz w:val="22"/>
                <w:szCs w:val="22"/>
                <w:lang w:val="id-ID"/>
              </w:rPr>
            </w:pPr>
            <w:r>
              <w:rPr>
                <w:rFonts w:eastAsia="等线"/>
                <w:i/>
                <w:iCs/>
                <w:color w:val="000000"/>
                <w:kern w:val="0"/>
                <w:sz w:val="22"/>
                <w:szCs w:val="22"/>
                <w:lang w:val="id-ID"/>
              </w:rPr>
              <w:t>使用过的制冷剂，氟利昂管</w:t>
            </w:r>
            <w:r>
              <w:rPr>
                <w:rFonts w:eastAsia="等线"/>
                <w:color w:val="000000"/>
                <w:kern w:val="0"/>
                <w:sz w:val="22"/>
                <w:szCs w:val="22"/>
                <w:lang w:val="id-ID"/>
              </w:rPr>
              <w:t xml:space="preserve">Refrigrant bekas, tabung freon </w:t>
            </w:r>
          </w:p>
        </w:tc>
        <w:tc>
          <w:tcPr>
            <w:tcW w:w="1444" w:type="dxa"/>
            <w:tcBorders>
              <w:top w:val="nil"/>
              <w:left w:val="nil"/>
              <w:bottom w:val="single" w:color="auto" w:sz="4" w:space="0"/>
              <w:right w:val="single" w:color="auto" w:sz="4" w:space="0"/>
            </w:tcBorders>
            <w:noWrap w:val="0"/>
            <w:vAlign w:val="center"/>
          </w:tcPr>
          <w:p>
            <w:pPr>
              <w:widowControl/>
              <w:adjustRightInd w:val="0"/>
              <w:snapToGrid w:val="0"/>
              <w:jc w:val="center"/>
              <w:rPr>
                <w:rFonts w:eastAsia="等线"/>
                <w:color w:val="000000"/>
                <w:kern w:val="0"/>
                <w:sz w:val="22"/>
                <w:szCs w:val="22"/>
                <w:lang w:val="id-ID"/>
              </w:rPr>
            </w:pPr>
            <w:r>
              <w:rPr>
                <w:rFonts w:eastAsia="等线"/>
                <w:color w:val="000000"/>
                <w:kern w:val="0"/>
                <w:sz w:val="22"/>
                <w:szCs w:val="22"/>
                <w:lang w:val="id-ID"/>
              </w:rPr>
              <w:t>Maintenance维护</w:t>
            </w:r>
          </w:p>
        </w:tc>
        <w:tc>
          <w:tcPr>
            <w:tcW w:w="1295" w:type="dxa"/>
            <w:tcBorders>
              <w:top w:val="nil"/>
              <w:left w:val="nil"/>
              <w:bottom w:val="single" w:color="auto" w:sz="4" w:space="0"/>
              <w:right w:val="single" w:color="auto" w:sz="4" w:space="0"/>
            </w:tcBorders>
            <w:noWrap/>
            <w:vAlign w:val="center"/>
          </w:tcPr>
          <w:p>
            <w:pPr>
              <w:widowControl/>
              <w:adjustRightInd w:val="0"/>
              <w:snapToGrid w:val="0"/>
              <w:jc w:val="center"/>
              <w:rPr>
                <w:rFonts w:eastAsia="等线"/>
                <w:color w:val="000000"/>
                <w:kern w:val="0"/>
                <w:sz w:val="22"/>
                <w:szCs w:val="22"/>
                <w:lang w:val="id-ID"/>
              </w:rPr>
            </w:pPr>
            <w:r>
              <w:rPr>
                <w:rFonts w:eastAsia="等线"/>
                <w:color w:val="000000"/>
                <w:kern w:val="0"/>
                <w:sz w:val="22"/>
                <w:szCs w:val="22"/>
                <w:lang w:val="id-ID"/>
              </w:rPr>
              <w:t>A111d</w:t>
            </w:r>
          </w:p>
        </w:tc>
        <w:tc>
          <w:tcPr>
            <w:tcW w:w="1286" w:type="dxa"/>
            <w:tcBorders>
              <w:top w:val="single" w:color="auto" w:sz="4" w:space="0"/>
              <w:bottom w:val="single" w:color="auto" w:sz="4" w:space="0"/>
              <w:right w:val="single" w:color="auto" w:sz="4" w:space="0"/>
            </w:tcBorders>
            <w:noWrap w:val="0"/>
            <w:vAlign w:val="top"/>
          </w:tcPr>
          <w:p>
            <w:pPr>
              <w:widowControl/>
              <w:jc w:val="center"/>
              <w:rPr>
                <w:rFonts w:eastAsia="Times New Roman"/>
                <w:kern w:val="0"/>
                <w:sz w:val="22"/>
                <w:szCs w:val="22"/>
                <w:lang w:val="id-ID"/>
              </w:rPr>
            </w:pPr>
            <w:r>
              <w:rPr>
                <w:rFonts w:eastAsia="Times New Roman"/>
                <w:kern w:val="0"/>
                <w:sz w:val="22"/>
                <w:szCs w:val="22"/>
                <w:lang w:val="id-ID"/>
              </w:rPr>
              <w:t>20</w:t>
            </w:r>
          </w:p>
        </w:tc>
        <w:tc>
          <w:tcPr>
            <w:tcW w:w="1080" w:type="dxa"/>
            <w:tcBorders>
              <w:top w:val="single" w:color="auto" w:sz="4" w:space="0"/>
              <w:left w:val="single" w:color="auto" w:sz="4" w:space="0"/>
              <w:bottom w:val="single" w:color="auto" w:sz="4" w:space="0"/>
              <w:right w:val="single" w:color="auto" w:sz="4" w:space="0"/>
            </w:tcBorders>
            <w:noWrap w:val="0"/>
            <w:vAlign w:val="top"/>
          </w:tcPr>
          <w:p>
            <w:pPr>
              <w:widowControl/>
              <w:jc w:val="left"/>
              <w:rPr>
                <w:rFonts w:eastAsia="Times New Roman"/>
                <w:kern w:val="0"/>
                <w:sz w:val="22"/>
                <w:szCs w:val="22"/>
                <w:lang w:val="id-ID"/>
              </w:rPr>
            </w:pPr>
            <w:r>
              <w:rPr>
                <w:rFonts w:hint="eastAsia" w:ascii="等线" w:hAnsi="等线" w:eastAsia="等线" w:cs="等线"/>
                <w:sz w:val="22"/>
                <w:szCs w:val="22"/>
              </w:rPr>
              <w:t>公斤kg</w:t>
            </w:r>
          </w:p>
        </w:tc>
        <w:tc>
          <w:tcPr>
            <w:tcW w:w="236" w:type="dxa"/>
            <w:tcBorders>
              <w:left w:val="single" w:color="auto" w:sz="4" w:space="0"/>
            </w:tcBorders>
            <w:noWrap w:val="0"/>
            <w:vAlign w:val="center"/>
          </w:tcPr>
          <w:p>
            <w:pPr>
              <w:widowControl/>
              <w:jc w:val="left"/>
              <w:rPr>
                <w:rFonts w:eastAsia="Times New Roman"/>
                <w:kern w:val="0"/>
                <w:sz w:val="22"/>
                <w:szCs w:val="22"/>
                <w:lang w:val="id-ID"/>
              </w:rPr>
            </w:pPr>
          </w:p>
        </w:tc>
      </w:tr>
      <w:tr>
        <w:tblPrEx>
          <w:tblLayout w:type="fixed"/>
          <w:tblCellMar>
            <w:top w:w="0" w:type="dxa"/>
            <w:left w:w="108" w:type="dxa"/>
            <w:bottom w:w="0" w:type="dxa"/>
            <w:right w:w="108" w:type="dxa"/>
          </w:tblCellMar>
        </w:tblPrEx>
        <w:trPr>
          <w:gridAfter w:val="1"/>
          <w:wAfter w:w="14" w:type="dxa"/>
          <w:trHeight w:val="560" w:hRule="atLeast"/>
        </w:trPr>
        <w:tc>
          <w:tcPr>
            <w:tcW w:w="704" w:type="dxa"/>
            <w:tcBorders>
              <w:top w:val="nil"/>
              <w:left w:val="single" w:color="auto" w:sz="4" w:space="0"/>
              <w:bottom w:val="single" w:color="auto" w:sz="4" w:space="0"/>
              <w:right w:val="single" w:color="auto" w:sz="4" w:space="0"/>
            </w:tcBorders>
            <w:noWrap/>
            <w:vAlign w:val="center"/>
          </w:tcPr>
          <w:p>
            <w:pPr>
              <w:widowControl/>
              <w:adjustRightInd w:val="0"/>
              <w:snapToGrid w:val="0"/>
              <w:jc w:val="center"/>
              <w:rPr>
                <w:rFonts w:eastAsia="等线"/>
                <w:color w:val="000000"/>
                <w:kern w:val="0"/>
                <w:sz w:val="22"/>
                <w:szCs w:val="22"/>
                <w:lang w:val="id-ID"/>
              </w:rPr>
            </w:pPr>
            <w:r>
              <w:rPr>
                <w:rFonts w:eastAsia="等线"/>
                <w:color w:val="000000"/>
                <w:kern w:val="0"/>
                <w:sz w:val="22"/>
                <w:szCs w:val="22"/>
                <w:lang w:val="id-ID"/>
              </w:rPr>
              <w:t>8</w:t>
            </w:r>
          </w:p>
        </w:tc>
        <w:tc>
          <w:tcPr>
            <w:tcW w:w="4960" w:type="dxa"/>
            <w:tcBorders>
              <w:top w:val="nil"/>
              <w:left w:val="nil"/>
              <w:bottom w:val="single" w:color="auto" w:sz="4" w:space="0"/>
              <w:right w:val="single" w:color="auto" w:sz="4" w:space="0"/>
            </w:tcBorders>
            <w:noWrap w:val="0"/>
            <w:vAlign w:val="center"/>
          </w:tcPr>
          <w:p>
            <w:pPr>
              <w:widowControl/>
              <w:adjustRightInd w:val="0"/>
              <w:snapToGrid w:val="0"/>
              <w:jc w:val="left"/>
              <w:rPr>
                <w:rFonts w:eastAsia="等线"/>
                <w:color w:val="000000"/>
                <w:kern w:val="0"/>
                <w:sz w:val="22"/>
                <w:szCs w:val="22"/>
                <w:lang w:val="id-ID"/>
              </w:rPr>
            </w:pPr>
            <w:r>
              <w:rPr>
                <w:rFonts w:eastAsia="等线"/>
                <w:i/>
                <w:iCs/>
                <w:color w:val="000000"/>
                <w:kern w:val="0"/>
                <w:sz w:val="22"/>
                <w:szCs w:val="22"/>
                <w:lang w:val="id-ID"/>
              </w:rPr>
              <w:t>空气污染控制设施的旧过滤器</w:t>
            </w:r>
            <w:r>
              <w:rPr>
                <w:rFonts w:eastAsia="等线"/>
                <w:color w:val="000000"/>
                <w:kern w:val="0"/>
                <w:sz w:val="22"/>
                <w:szCs w:val="22"/>
                <w:lang w:val="id-ID"/>
              </w:rPr>
              <w:t xml:space="preserve"> Filter bekas dari fasilitas pengendalian pencemaran udara </w:t>
            </w:r>
          </w:p>
        </w:tc>
        <w:tc>
          <w:tcPr>
            <w:tcW w:w="1444" w:type="dxa"/>
            <w:tcBorders>
              <w:top w:val="nil"/>
              <w:left w:val="nil"/>
              <w:bottom w:val="single" w:color="auto" w:sz="4" w:space="0"/>
              <w:right w:val="single" w:color="auto" w:sz="4" w:space="0"/>
            </w:tcBorders>
            <w:noWrap w:val="0"/>
            <w:vAlign w:val="center"/>
          </w:tcPr>
          <w:p>
            <w:pPr>
              <w:widowControl/>
              <w:adjustRightInd w:val="0"/>
              <w:snapToGrid w:val="0"/>
              <w:jc w:val="center"/>
              <w:rPr>
                <w:rFonts w:eastAsia="等线"/>
                <w:color w:val="000000"/>
                <w:kern w:val="0"/>
                <w:sz w:val="22"/>
                <w:szCs w:val="22"/>
                <w:lang w:val="id-ID"/>
              </w:rPr>
            </w:pPr>
            <w:r>
              <w:rPr>
                <w:rFonts w:eastAsia="等线"/>
                <w:color w:val="000000"/>
                <w:kern w:val="0"/>
                <w:sz w:val="22"/>
                <w:szCs w:val="22"/>
                <w:lang w:val="id-ID"/>
              </w:rPr>
              <w:t>Maintenance维护</w:t>
            </w:r>
          </w:p>
        </w:tc>
        <w:tc>
          <w:tcPr>
            <w:tcW w:w="1295" w:type="dxa"/>
            <w:tcBorders>
              <w:top w:val="nil"/>
              <w:left w:val="nil"/>
              <w:bottom w:val="single" w:color="auto" w:sz="4" w:space="0"/>
              <w:right w:val="single" w:color="auto" w:sz="4" w:space="0"/>
            </w:tcBorders>
            <w:noWrap/>
            <w:vAlign w:val="center"/>
          </w:tcPr>
          <w:p>
            <w:pPr>
              <w:widowControl/>
              <w:adjustRightInd w:val="0"/>
              <w:snapToGrid w:val="0"/>
              <w:jc w:val="center"/>
              <w:rPr>
                <w:rFonts w:eastAsia="等线"/>
                <w:color w:val="000000"/>
                <w:kern w:val="0"/>
                <w:sz w:val="22"/>
                <w:szCs w:val="22"/>
                <w:lang w:val="id-ID"/>
              </w:rPr>
            </w:pPr>
            <w:r>
              <w:rPr>
                <w:rFonts w:eastAsia="等线"/>
                <w:color w:val="000000"/>
                <w:kern w:val="0"/>
                <w:sz w:val="22"/>
                <w:szCs w:val="22"/>
                <w:lang w:val="id-ID"/>
              </w:rPr>
              <w:t>B109d</w:t>
            </w:r>
          </w:p>
        </w:tc>
        <w:tc>
          <w:tcPr>
            <w:tcW w:w="1286" w:type="dxa"/>
            <w:tcBorders>
              <w:top w:val="single" w:color="auto" w:sz="4" w:space="0"/>
              <w:bottom w:val="single" w:color="auto" w:sz="4" w:space="0"/>
              <w:right w:val="single" w:color="auto" w:sz="4" w:space="0"/>
            </w:tcBorders>
            <w:noWrap w:val="0"/>
            <w:vAlign w:val="top"/>
          </w:tcPr>
          <w:p>
            <w:pPr>
              <w:widowControl/>
              <w:jc w:val="center"/>
              <w:rPr>
                <w:rFonts w:eastAsia="Times New Roman"/>
                <w:kern w:val="0"/>
                <w:sz w:val="22"/>
                <w:szCs w:val="22"/>
                <w:lang w:val="id-ID"/>
              </w:rPr>
            </w:pPr>
            <w:r>
              <w:rPr>
                <w:rFonts w:eastAsia="Times New Roman"/>
                <w:kern w:val="0"/>
                <w:sz w:val="22"/>
                <w:szCs w:val="22"/>
                <w:lang w:val="id-ID"/>
              </w:rPr>
              <w:t>240</w:t>
            </w:r>
          </w:p>
        </w:tc>
        <w:tc>
          <w:tcPr>
            <w:tcW w:w="1080" w:type="dxa"/>
            <w:tcBorders>
              <w:top w:val="single" w:color="auto" w:sz="4" w:space="0"/>
              <w:left w:val="single" w:color="auto" w:sz="4" w:space="0"/>
              <w:bottom w:val="single" w:color="auto" w:sz="4" w:space="0"/>
              <w:right w:val="single" w:color="auto" w:sz="4" w:space="0"/>
            </w:tcBorders>
            <w:noWrap w:val="0"/>
            <w:vAlign w:val="top"/>
          </w:tcPr>
          <w:p>
            <w:pPr>
              <w:widowControl/>
              <w:jc w:val="center"/>
              <w:rPr>
                <w:rFonts w:eastAsia="Times New Roman"/>
                <w:kern w:val="0"/>
                <w:sz w:val="22"/>
                <w:szCs w:val="22"/>
                <w:lang w:val="id-ID"/>
              </w:rPr>
            </w:pPr>
            <w:r>
              <w:rPr>
                <w:rFonts w:hint="eastAsia" w:ascii="等线" w:hAnsi="等线" w:eastAsia="等线" w:cs="等线"/>
                <w:sz w:val="22"/>
                <w:szCs w:val="22"/>
              </w:rPr>
              <w:t>公斤kg</w:t>
            </w:r>
          </w:p>
        </w:tc>
        <w:tc>
          <w:tcPr>
            <w:tcW w:w="236" w:type="dxa"/>
            <w:tcBorders>
              <w:left w:val="single" w:color="auto" w:sz="4" w:space="0"/>
            </w:tcBorders>
            <w:noWrap w:val="0"/>
            <w:vAlign w:val="center"/>
          </w:tcPr>
          <w:p>
            <w:pPr>
              <w:widowControl/>
              <w:jc w:val="left"/>
              <w:rPr>
                <w:rFonts w:eastAsia="Times New Roman"/>
                <w:kern w:val="0"/>
                <w:sz w:val="22"/>
                <w:szCs w:val="22"/>
                <w:lang w:val="id-ID"/>
              </w:rPr>
            </w:pPr>
          </w:p>
        </w:tc>
      </w:tr>
      <w:tr>
        <w:tblPrEx>
          <w:tblLayout w:type="fixed"/>
          <w:tblCellMar>
            <w:top w:w="0" w:type="dxa"/>
            <w:left w:w="108" w:type="dxa"/>
            <w:bottom w:w="0" w:type="dxa"/>
            <w:right w:w="108" w:type="dxa"/>
          </w:tblCellMar>
        </w:tblPrEx>
        <w:trPr>
          <w:gridAfter w:val="1"/>
          <w:wAfter w:w="14" w:type="dxa"/>
          <w:trHeight w:val="840" w:hRule="atLeast"/>
        </w:trPr>
        <w:tc>
          <w:tcPr>
            <w:tcW w:w="704" w:type="dxa"/>
            <w:tcBorders>
              <w:top w:val="nil"/>
              <w:left w:val="single" w:color="auto" w:sz="4" w:space="0"/>
              <w:bottom w:val="single" w:color="auto" w:sz="4" w:space="0"/>
              <w:right w:val="single" w:color="auto" w:sz="4" w:space="0"/>
            </w:tcBorders>
            <w:noWrap/>
            <w:vAlign w:val="center"/>
          </w:tcPr>
          <w:p>
            <w:pPr>
              <w:widowControl/>
              <w:adjustRightInd w:val="0"/>
              <w:snapToGrid w:val="0"/>
              <w:jc w:val="center"/>
              <w:rPr>
                <w:rFonts w:eastAsia="等线"/>
                <w:color w:val="000000"/>
                <w:kern w:val="0"/>
                <w:sz w:val="22"/>
                <w:szCs w:val="22"/>
                <w:lang w:val="id-ID"/>
              </w:rPr>
            </w:pPr>
            <w:r>
              <w:rPr>
                <w:rFonts w:eastAsia="等线"/>
                <w:color w:val="000000"/>
                <w:kern w:val="0"/>
                <w:sz w:val="22"/>
                <w:szCs w:val="22"/>
                <w:lang w:val="id-ID"/>
              </w:rPr>
              <w:t>9</w:t>
            </w:r>
          </w:p>
        </w:tc>
        <w:tc>
          <w:tcPr>
            <w:tcW w:w="4960" w:type="dxa"/>
            <w:tcBorders>
              <w:top w:val="nil"/>
              <w:left w:val="nil"/>
              <w:bottom w:val="single" w:color="auto" w:sz="4" w:space="0"/>
              <w:right w:val="single" w:color="auto" w:sz="4" w:space="0"/>
            </w:tcBorders>
            <w:noWrap w:val="0"/>
            <w:vAlign w:val="center"/>
          </w:tcPr>
          <w:p>
            <w:pPr>
              <w:widowControl/>
              <w:adjustRightInd w:val="0"/>
              <w:snapToGrid w:val="0"/>
              <w:rPr>
                <w:rFonts w:eastAsia="等线"/>
                <w:color w:val="000000"/>
                <w:kern w:val="0"/>
                <w:sz w:val="22"/>
                <w:szCs w:val="22"/>
                <w:lang w:val="id-ID"/>
              </w:rPr>
            </w:pPr>
            <w:r>
              <w:rPr>
                <w:rFonts w:eastAsia="等线"/>
                <w:i/>
                <w:iCs/>
                <w:color w:val="000000"/>
                <w:kern w:val="0"/>
                <w:sz w:val="22"/>
                <w:szCs w:val="22"/>
                <w:lang w:val="id-ID"/>
              </w:rPr>
              <w:t xml:space="preserve">空气污染控制设施产生的粉尘 </w:t>
            </w:r>
            <w:r>
              <w:rPr>
                <w:rFonts w:eastAsia="等线"/>
                <w:color w:val="000000"/>
                <w:kern w:val="0"/>
                <w:sz w:val="22"/>
                <w:szCs w:val="22"/>
                <w:lang w:val="id-ID"/>
              </w:rPr>
              <w:t xml:space="preserve">Debu dari fasilitas pengendalian pencemaran udara </w:t>
            </w:r>
          </w:p>
        </w:tc>
        <w:tc>
          <w:tcPr>
            <w:tcW w:w="1444" w:type="dxa"/>
            <w:tcBorders>
              <w:top w:val="nil"/>
              <w:left w:val="nil"/>
              <w:bottom w:val="single" w:color="auto" w:sz="4" w:space="0"/>
              <w:right w:val="single" w:color="auto" w:sz="4" w:space="0"/>
            </w:tcBorders>
            <w:noWrap w:val="0"/>
            <w:vAlign w:val="center"/>
          </w:tcPr>
          <w:p>
            <w:pPr>
              <w:widowControl/>
              <w:adjustRightInd w:val="0"/>
              <w:snapToGrid w:val="0"/>
              <w:jc w:val="center"/>
              <w:rPr>
                <w:rFonts w:eastAsia="等线"/>
                <w:color w:val="000000"/>
                <w:kern w:val="0"/>
                <w:sz w:val="22"/>
                <w:szCs w:val="22"/>
                <w:lang w:val="id-ID"/>
              </w:rPr>
            </w:pPr>
            <w:r>
              <w:rPr>
                <w:rFonts w:eastAsia="等线"/>
                <w:color w:val="000000"/>
                <w:kern w:val="0"/>
                <w:sz w:val="22"/>
                <w:szCs w:val="22"/>
                <w:lang w:val="id-ID"/>
              </w:rPr>
              <w:t>Maintenance维护</w:t>
            </w:r>
          </w:p>
        </w:tc>
        <w:tc>
          <w:tcPr>
            <w:tcW w:w="1295" w:type="dxa"/>
            <w:tcBorders>
              <w:top w:val="nil"/>
              <w:left w:val="nil"/>
              <w:bottom w:val="single" w:color="auto" w:sz="4" w:space="0"/>
              <w:right w:val="single" w:color="auto" w:sz="4" w:space="0"/>
            </w:tcBorders>
            <w:noWrap/>
            <w:vAlign w:val="center"/>
          </w:tcPr>
          <w:p>
            <w:pPr>
              <w:widowControl/>
              <w:adjustRightInd w:val="0"/>
              <w:snapToGrid w:val="0"/>
              <w:jc w:val="center"/>
              <w:rPr>
                <w:rFonts w:eastAsia="等线"/>
                <w:color w:val="000000"/>
                <w:kern w:val="0"/>
                <w:sz w:val="22"/>
                <w:szCs w:val="22"/>
                <w:lang w:val="id-ID"/>
              </w:rPr>
            </w:pPr>
            <w:r>
              <w:rPr>
                <w:rFonts w:eastAsia="等线"/>
                <w:color w:val="000000"/>
                <w:kern w:val="0"/>
                <w:sz w:val="22"/>
                <w:szCs w:val="22"/>
                <w:lang w:val="id-ID"/>
              </w:rPr>
              <w:t>B333-1</w:t>
            </w:r>
          </w:p>
        </w:tc>
        <w:tc>
          <w:tcPr>
            <w:tcW w:w="1286" w:type="dxa"/>
            <w:tcBorders>
              <w:top w:val="single" w:color="auto" w:sz="4" w:space="0"/>
              <w:bottom w:val="single" w:color="auto" w:sz="4" w:space="0"/>
              <w:right w:val="single" w:color="auto" w:sz="4" w:space="0"/>
            </w:tcBorders>
            <w:noWrap w:val="0"/>
            <w:vAlign w:val="top"/>
          </w:tcPr>
          <w:p>
            <w:pPr>
              <w:widowControl/>
              <w:jc w:val="center"/>
              <w:rPr>
                <w:rFonts w:eastAsia="Times New Roman"/>
                <w:kern w:val="0"/>
                <w:sz w:val="22"/>
                <w:szCs w:val="22"/>
                <w:lang w:val="id-ID"/>
              </w:rPr>
            </w:pPr>
            <w:r>
              <w:rPr>
                <w:rFonts w:eastAsia="Times New Roman"/>
                <w:kern w:val="0"/>
                <w:sz w:val="22"/>
                <w:szCs w:val="22"/>
                <w:lang w:val="id-ID"/>
              </w:rPr>
              <w:t>10</w:t>
            </w:r>
          </w:p>
        </w:tc>
        <w:tc>
          <w:tcPr>
            <w:tcW w:w="1080" w:type="dxa"/>
            <w:tcBorders>
              <w:top w:val="single" w:color="auto" w:sz="4" w:space="0"/>
              <w:left w:val="single" w:color="auto" w:sz="4" w:space="0"/>
              <w:bottom w:val="single" w:color="auto" w:sz="4" w:space="0"/>
              <w:right w:val="single" w:color="auto" w:sz="4" w:space="0"/>
            </w:tcBorders>
            <w:noWrap w:val="0"/>
            <w:vAlign w:val="top"/>
          </w:tcPr>
          <w:p>
            <w:pPr>
              <w:widowControl/>
              <w:jc w:val="left"/>
              <w:rPr>
                <w:rFonts w:eastAsia="Times New Roman"/>
                <w:kern w:val="0"/>
                <w:sz w:val="22"/>
                <w:szCs w:val="22"/>
                <w:lang w:val="id-ID"/>
              </w:rPr>
            </w:pPr>
            <w:r>
              <w:rPr>
                <w:rFonts w:hint="eastAsia" w:ascii="等线" w:hAnsi="等线" w:eastAsia="等线" w:cs="等线"/>
                <w:sz w:val="22"/>
                <w:szCs w:val="22"/>
              </w:rPr>
              <w:t>公斤kg</w:t>
            </w:r>
          </w:p>
        </w:tc>
        <w:tc>
          <w:tcPr>
            <w:tcW w:w="236" w:type="dxa"/>
            <w:tcBorders>
              <w:left w:val="single" w:color="auto" w:sz="4" w:space="0"/>
            </w:tcBorders>
            <w:noWrap w:val="0"/>
            <w:vAlign w:val="center"/>
          </w:tcPr>
          <w:p>
            <w:pPr>
              <w:widowControl/>
              <w:jc w:val="left"/>
              <w:rPr>
                <w:rFonts w:eastAsia="Times New Roman"/>
                <w:kern w:val="0"/>
                <w:sz w:val="22"/>
                <w:szCs w:val="22"/>
                <w:lang w:val="id-ID"/>
              </w:rPr>
            </w:pPr>
          </w:p>
        </w:tc>
      </w:tr>
      <w:tr>
        <w:tblPrEx>
          <w:tblLayout w:type="fixed"/>
          <w:tblCellMar>
            <w:top w:w="0" w:type="dxa"/>
            <w:left w:w="108" w:type="dxa"/>
            <w:bottom w:w="0" w:type="dxa"/>
            <w:right w:w="108" w:type="dxa"/>
          </w:tblCellMar>
        </w:tblPrEx>
        <w:trPr>
          <w:gridAfter w:val="1"/>
          <w:wAfter w:w="14" w:type="dxa"/>
          <w:trHeight w:val="560" w:hRule="atLeast"/>
        </w:trPr>
        <w:tc>
          <w:tcPr>
            <w:tcW w:w="704" w:type="dxa"/>
            <w:tcBorders>
              <w:top w:val="nil"/>
              <w:left w:val="single" w:color="auto" w:sz="4" w:space="0"/>
              <w:bottom w:val="single" w:color="auto" w:sz="4" w:space="0"/>
              <w:right w:val="single" w:color="auto" w:sz="4" w:space="0"/>
            </w:tcBorders>
            <w:noWrap/>
            <w:vAlign w:val="center"/>
          </w:tcPr>
          <w:p>
            <w:pPr>
              <w:widowControl/>
              <w:adjustRightInd w:val="0"/>
              <w:snapToGrid w:val="0"/>
              <w:jc w:val="center"/>
              <w:rPr>
                <w:rFonts w:eastAsia="等线"/>
                <w:color w:val="000000"/>
                <w:kern w:val="0"/>
                <w:sz w:val="22"/>
                <w:szCs w:val="22"/>
                <w:lang w:val="id-ID"/>
              </w:rPr>
            </w:pPr>
            <w:r>
              <w:rPr>
                <w:rFonts w:eastAsia="等线"/>
                <w:color w:val="000000"/>
                <w:kern w:val="0"/>
                <w:sz w:val="22"/>
                <w:szCs w:val="22"/>
                <w:lang w:val="id-ID"/>
              </w:rPr>
              <w:t>10</w:t>
            </w:r>
          </w:p>
        </w:tc>
        <w:tc>
          <w:tcPr>
            <w:tcW w:w="4960" w:type="dxa"/>
            <w:tcBorders>
              <w:top w:val="nil"/>
              <w:left w:val="nil"/>
              <w:bottom w:val="single" w:color="auto" w:sz="4" w:space="0"/>
              <w:right w:val="single" w:color="auto" w:sz="4" w:space="0"/>
            </w:tcBorders>
            <w:noWrap w:val="0"/>
            <w:vAlign w:val="center"/>
          </w:tcPr>
          <w:p>
            <w:pPr>
              <w:widowControl/>
              <w:adjustRightInd w:val="0"/>
              <w:snapToGrid w:val="0"/>
              <w:rPr>
                <w:rFonts w:eastAsia="等线"/>
                <w:color w:val="000000"/>
                <w:kern w:val="0"/>
                <w:sz w:val="22"/>
                <w:szCs w:val="22"/>
                <w:lang w:val="id-ID"/>
              </w:rPr>
            </w:pPr>
            <w:r>
              <w:rPr>
                <w:rFonts w:eastAsia="等线"/>
                <w:i/>
                <w:iCs/>
                <w:color w:val="000000"/>
                <w:kern w:val="0"/>
                <w:sz w:val="22"/>
                <w:szCs w:val="22"/>
                <w:lang w:val="id-ID"/>
              </w:rPr>
              <w:t>残余焊丝</w:t>
            </w:r>
            <w:r>
              <w:rPr>
                <w:rFonts w:eastAsia="等线"/>
                <w:color w:val="000000"/>
                <w:kern w:val="0"/>
                <w:sz w:val="22"/>
                <w:szCs w:val="22"/>
                <w:lang w:val="id-ID"/>
              </w:rPr>
              <w:t xml:space="preserve">Sisa kawat las </w:t>
            </w:r>
          </w:p>
        </w:tc>
        <w:tc>
          <w:tcPr>
            <w:tcW w:w="1444" w:type="dxa"/>
            <w:tcBorders>
              <w:top w:val="nil"/>
              <w:left w:val="nil"/>
              <w:bottom w:val="single" w:color="auto" w:sz="4" w:space="0"/>
              <w:right w:val="single" w:color="auto" w:sz="4" w:space="0"/>
            </w:tcBorders>
            <w:noWrap w:val="0"/>
            <w:vAlign w:val="center"/>
          </w:tcPr>
          <w:p>
            <w:pPr>
              <w:widowControl/>
              <w:adjustRightInd w:val="0"/>
              <w:snapToGrid w:val="0"/>
              <w:jc w:val="center"/>
              <w:rPr>
                <w:rFonts w:eastAsia="等线"/>
                <w:color w:val="000000"/>
                <w:kern w:val="0"/>
                <w:sz w:val="22"/>
                <w:szCs w:val="22"/>
                <w:lang w:val="id-ID"/>
              </w:rPr>
            </w:pPr>
            <w:r>
              <w:rPr>
                <w:rFonts w:eastAsia="等线"/>
                <w:color w:val="000000"/>
                <w:kern w:val="0"/>
                <w:sz w:val="22"/>
                <w:szCs w:val="22"/>
                <w:lang w:val="id-ID"/>
              </w:rPr>
              <w:t>Maintenance维护</w:t>
            </w:r>
          </w:p>
        </w:tc>
        <w:tc>
          <w:tcPr>
            <w:tcW w:w="1295" w:type="dxa"/>
            <w:tcBorders>
              <w:top w:val="nil"/>
              <w:left w:val="nil"/>
              <w:bottom w:val="single" w:color="auto" w:sz="4" w:space="0"/>
              <w:right w:val="single" w:color="auto" w:sz="4" w:space="0"/>
            </w:tcBorders>
            <w:noWrap/>
            <w:vAlign w:val="center"/>
          </w:tcPr>
          <w:p>
            <w:pPr>
              <w:widowControl/>
              <w:adjustRightInd w:val="0"/>
              <w:snapToGrid w:val="0"/>
              <w:jc w:val="center"/>
              <w:rPr>
                <w:rFonts w:eastAsia="等线"/>
                <w:color w:val="000000"/>
                <w:kern w:val="0"/>
                <w:sz w:val="22"/>
                <w:szCs w:val="22"/>
                <w:lang w:val="id-ID"/>
              </w:rPr>
            </w:pPr>
            <w:r>
              <w:rPr>
                <w:rFonts w:eastAsia="等线"/>
                <w:color w:val="000000"/>
                <w:kern w:val="0"/>
                <w:sz w:val="22"/>
                <w:szCs w:val="22"/>
                <w:lang w:val="id-ID"/>
              </w:rPr>
              <w:t>A101d</w:t>
            </w:r>
          </w:p>
        </w:tc>
        <w:tc>
          <w:tcPr>
            <w:tcW w:w="1286" w:type="dxa"/>
            <w:tcBorders>
              <w:top w:val="single" w:color="auto" w:sz="4" w:space="0"/>
              <w:bottom w:val="single" w:color="auto" w:sz="4" w:space="0"/>
              <w:right w:val="single" w:color="auto" w:sz="4" w:space="0"/>
            </w:tcBorders>
            <w:noWrap w:val="0"/>
            <w:vAlign w:val="top"/>
          </w:tcPr>
          <w:p>
            <w:pPr>
              <w:widowControl/>
              <w:jc w:val="center"/>
              <w:rPr>
                <w:rFonts w:eastAsia="Times New Roman"/>
                <w:kern w:val="0"/>
                <w:sz w:val="22"/>
                <w:szCs w:val="22"/>
                <w:lang w:val="id-ID"/>
              </w:rPr>
            </w:pPr>
            <w:r>
              <w:rPr>
                <w:rFonts w:eastAsia="Times New Roman"/>
                <w:kern w:val="0"/>
                <w:sz w:val="22"/>
                <w:szCs w:val="22"/>
                <w:lang w:val="id-ID"/>
              </w:rPr>
              <w:t>10</w:t>
            </w:r>
          </w:p>
        </w:tc>
        <w:tc>
          <w:tcPr>
            <w:tcW w:w="1080" w:type="dxa"/>
            <w:tcBorders>
              <w:top w:val="single" w:color="auto" w:sz="4" w:space="0"/>
              <w:left w:val="single" w:color="auto" w:sz="4" w:space="0"/>
              <w:bottom w:val="single" w:color="auto" w:sz="4" w:space="0"/>
              <w:right w:val="single" w:color="auto" w:sz="4" w:space="0"/>
            </w:tcBorders>
            <w:noWrap w:val="0"/>
            <w:vAlign w:val="top"/>
          </w:tcPr>
          <w:p>
            <w:pPr>
              <w:widowControl/>
              <w:jc w:val="center"/>
              <w:rPr>
                <w:rFonts w:eastAsia="Times New Roman"/>
                <w:kern w:val="0"/>
                <w:sz w:val="22"/>
                <w:szCs w:val="22"/>
                <w:lang w:val="id-ID"/>
              </w:rPr>
            </w:pPr>
            <w:r>
              <w:rPr>
                <w:rFonts w:hint="eastAsia" w:ascii="等线" w:hAnsi="等线" w:eastAsia="等线" w:cs="等线"/>
                <w:sz w:val="22"/>
                <w:szCs w:val="22"/>
              </w:rPr>
              <w:t>公斤kg</w:t>
            </w:r>
          </w:p>
        </w:tc>
        <w:tc>
          <w:tcPr>
            <w:tcW w:w="236" w:type="dxa"/>
            <w:tcBorders>
              <w:left w:val="single" w:color="auto" w:sz="4" w:space="0"/>
            </w:tcBorders>
            <w:noWrap w:val="0"/>
            <w:vAlign w:val="center"/>
          </w:tcPr>
          <w:p>
            <w:pPr>
              <w:widowControl/>
              <w:jc w:val="left"/>
              <w:rPr>
                <w:rFonts w:eastAsia="Times New Roman"/>
                <w:kern w:val="0"/>
                <w:sz w:val="22"/>
                <w:szCs w:val="22"/>
                <w:lang w:val="id-ID"/>
              </w:rPr>
            </w:pPr>
          </w:p>
        </w:tc>
      </w:tr>
      <w:tr>
        <w:tblPrEx>
          <w:tblLayout w:type="fixed"/>
          <w:tblCellMar>
            <w:top w:w="0" w:type="dxa"/>
            <w:left w:w="108" w:type="dxa"/>
            <w:bottom w:w="0" w:type="dxa"/>
            <w:right w:w="108" w:type="dxa"/>
          </w:tblCellMar>
        </w:tblPrEx>
        <w:trPr>
          <w:gridAfter w:val="1"/>
          <w:wAfter w:w="14" w:type="dxa"/>
          <w:trHeight w:val="560" w:hRule="atLeast"/>
        </w:trPr>
        <w:tc>
          <w:tcPr>
            <w:tcW w:w="704" w:type="dxa"/>
            <w:tcBorders>
              <w:top w:val="nil"/>
              <w:left w:val="single" w:color="auto" w:sz="4" w:space="0"/>
              <w:bottom w:val="single" w:color="auto" w:sz="4" w:space="0"/>
              <w:right w:val="single" w:color="auto" w:sz="4" w:space="0"/>
            </w:tcBorders>
            <w:noWrap/>
            <w:vAlign w:val="center"/>
          </w:tcPr>
          <w:p>
            <w:pPr>
              <w:widowControl/>
              <w:adjustRightInd w:val="0"/>
              <w:snapToGrid w:val="0"/>
              <w:jc w:val="center"/>
              <w:rPr>
                <w:rFonts w:eastAsia="等线"/>
                <w:color w:val="000000"/>
                <w:kern w:val="0"/>
                <w:sz w:val="22"/>
                <w:szCs w:val="22"/>
                <w:lang w:val="id-ID"/>
              </w:rPr>
            </w:pPr>
            <w:r>
              <w:rPr>
                <w:rFonts w:eastAsia="等线"/>
                <w:color w:val="000000"/>
                <w:kern w:val="0"/>
                <w:sz w:val="22"/>
                <w:szCs w:val="22"/>
                <w:lang w:val="id-ID"/>
              </w:rPr>
              <w:t>11</w:t>
            </w:r>
          </w:p>
        </w:tc>
        <w:tc>
          <w:tcPr>
            <w:tcW w:w="4960" w:type="dxa"/>
            <w:tcBorders>
              <w:top w:val="nil"/>
              <w:left w:val="nil"/>
              <w:bottom w:val="single" w:color="auto" w:sz="4" w:space="0"/>
              <w:right w:val="single" w:color="auto" w:sz="4" w:space="0"/>
            </w:tcBorders>
            <w:noWrap w:val="0"/>
            <w:vAlign w:val="center"/>
          </w:tcPr>
          <w:p>
            <w:pPr>
              <w:widowControl/>
              <w:adjustRightInd w:val="0"/>
              <w:snapToGrid w:val="0"/>
              <w:jc w:val="left"/>
              <w:rPr>
                <w:rFonts w:eastAsia="等线"/>
                <w:color w:val="000000"/>
                <w:kern w:val="0"/>
                <w:sz w:val="22"/>
                <w:szCs w:val="22"/>
                <w:lang w:val="id-ID"/>
              </w:rPr>
            </w:pPr>
            <w:r>
              <w:rPr>
                <w:rFonts w:eastAsia="等线"/>
                <w:i/>
                <w:iCs/>
                <w:color w:val="000000"/>
                <w:kern w:val="0"/>
                <w:sz w:val="22"/>
                <w:szCs w:val="22"/>
                <w:lang w:val="id-ID"/>
              </w:rPr>
              <w:t>废活性炭</w:t>
            </w:r>
            <w:r>
              <w:rPr>
                <w:rFonts w:eastAsia="等线"/>
                <w:color w:val="000000"/>
                <w:kern w:val="0"/>
                <w:sz w:val="22"/>
                <w:szCs w:val="22"/>
                <w:lang w:val="id-ID"/>
              </w:rPr>
              <w:t xml:space="preserve">Karbon Aktif bekas </w:t>
            </w:r>
          </w:p>
        </w:tc>
        <w:tc>
          <w:tcPr>
            <w:tcW w:w="1444" w:type="dxa"/>
            <w:tcBorders>
              <w:top w:val="nil"/>
              <w:left w:val="nil"/>
              <w:bottom w:val="single" w:color="auto" w:sz="4" w:space="0"/>
              <w:right w:val="single" w:color="auto" w:sz="4" w:space="0"/>
            </w:tcBorders>
            <w:noWrap w:val="0"/>
            <w:vAlign w:val="center"/>
          </w:tcPr>
          <w:p>
            <w:pPr>
              <w:widowControl/>
              <w:adjustRightInd w:val="0"/>
              <w:snapToGrid w:val="0"/>
              <w:jc w:val="center"/>
              <w:rPr>
                <w:rFonts w:eastAsia="等线"/>
                <w:color w:val="000000"/>
                <w:kern w:val="0"/>
                <w:sz w:val="22"/>
                <w:szCs w:val="22"/>
                <w:lang w:val="id-ID"/>
              </w:rPr>
            </w:pPr>
            <w:r>
              <w:rPr>
                <w:rFonts w:eastAsia="等线"/>
                <w:color w:val="000000"/>
                <w:kern w:val="0"/>
                <w:sz w:val="22"/>
                <w:szCs w:val="22"/>
                <w:lang w:val="id-ID"/>
              </w:rPr>
              <w:t>Kimia (BOP)化学</w:t>
            </w:r>
          </w:p>
        </w:tc>
        <w:tc>
          <w:tcPr>
            <w:tcW w:w="1295" w:type="dxa"/>
            <w:tcBorders>
              <w:top w:val="nil"/>
              <w:left w:val="nil"/>
              <w:bottom w:val="single" w:color="auto" w:sz="4" w:space="0"/>
              <w:right w:val="single" w:color="auto" w:sz="4" w:space="0"/>
            </w:tcBorders>
            <w:noWrap/>
            <w:vAlign w:val="center"/>
          </w:tcPr>
          <w:p>
            <w:pPr>
              <w:widowControl/>
              <w:adjustRightInd w:val="0"/>
              <w:snapToGrid w:val="0"/>
              <w:jc w:val="center"/>
              <w:rPr>
                <w:rFonts w:eastAsia="等线"/>
                <w:color w:val="000000"/>
                <w:kern w:val="0"/>
                <w:sz w:val="22"/>
                <w:szCs w:val="22"/>
                <w:lang w:val="id-ID"/>
              </w:rPr>
            </w:pPr>
            <w:r>
              <w:rPr>
                <w:rFonts w:eastAsia="等线"/>
                <w:color w:val="000000"/>
                <w:kern w:val="0"/>
                <w:sz w:val="22"/>
                <w:szCs w:val="22"/>
                <w:lang w:val="id-ID"/>
              </w:rPr>
              <w:t>A110d</w:t>
            </w:r>
          </w:p>
        </w:tc>
        <w:tc>
          <w:tcPr>
            <w:tcW w:w="1286" w:type="dxa"/>
            <w:tcBorders>
              <w:top w:val="single" w:color="auto" w:sz="4" w:space="0"/>
              <w:bottom w:val="single" w:color="auto" w:sz="4" w:space="0"/>
              <w:right w:val="single" w:color="auto" w:sz="4" w:space="0"/>
            </w:tcBorders>
            <w:noWrap w:val="0"/>
            <w:vAlign w:val="top"/>
          </w:tcPr>
          <w:p>
            <w:pPr>
              <w:widowControl/>
              <w:jc w:val="center"/>
              <w:rPr>
                <w:rFonts w:eastAsia="Times New Roman"/>
                <w:kern w:val="0"/>
                <w:sz w:val="22"/>
                <w:szCs w:val="22"/>
                <w:lang w:val="id-ID"/>
              </w:rPr>
            </w:pPr>
            <w:r>
              <w:rPr>
                <w:rFonts w:eastAsia="Times New Roman"/>
                <w:kern w:val="0"/>
                <w:sz w:val="22"/>
                <w:szCs w:val="22"/>
                <w:lang w:val="id-ID"/>
              </w:rPr>
              <w:t>10</w:t>
            </w:r>
          </w:p>
        </w:tc>
        <w:tc>
          <w:tcPr>
            <w:tcW w:w="1080" w:type="dxa"/>
            <w:tcBorders>
              <w:top w:val="single" w:color="auto" w:sz="4" w:space="0"/>
              <w:left w:val="single" w:color="auto" w:sz="4" w:space="0"/>
              <w:bottom w:val="single" w:color="auto" w:sz="4" w:space="0"/>
              <w:right w:val="single" w:color="auto" w:sz="4" w:space="0"/>
            </w:tcBorders>
            <w:noWrap w:val="0"/>
            <w:vAlign w:val="top"/>
          </w:tcPr>
          <w:p>
            <w:pPr>
              <w:widowControl/>
              <w:jc w:val="center"/>
              <w:rPr>
                <w:rFonts w:eastAsia="Times New Roman"/>
                <w:kern w:val="0"/>
                <w:sz w:val="22"/>
                <w:szCs w:val="22"/>
                <w:lang w:val="id-ID"/>
              </w:rPr>
            </w:pPr>
            <w:r>
              <w:rPr>
                <w:rFonts w:hint="eastAsia" w:ascii="等线" w:hAnsi="等线" w:eastAsia="等线" w:cs="等线"/>
                <w:sz w:val="22"/>
                <w:szCs w:val="22"/>
              </w:rPr>
              <w:t>公斤kg</w:t>
            </w:r>
          </w:p>
        </w:tc>
        <w:tc>
          <w:tcPr>
            <w:tcW w:w="236" w:type="dxa"/>
            <w:tcBorders>
              <w:left w:val="single" w:color="auto" w:sz="4" w:space="0"/>
            </w:tcBorders>
            <w:noWrap w:val="0"/>
            <w:vAlign w:val="center"/>
          </w:tcPr>
          <w:p>
            <w:pPr>
              <w:widowControl/>
              <w:jc w:val="left"/>
              <w:rPr>
                <w:rFonts w:eastAsia="Times New Roman"/>
                <w:kern w:val="0"/>
                <w:sz w:val="22"/>
                <w:szCs w:val="22"/>
                <w:lang w:val="id-ID"/>
              </w:rPr>
            </w:pPr>
          </w:p>
        </w:tc>
      </w:tr>
      <w:tr>
        <w:tblPrEx>
          <w:tblLayout w:type="fixed"/>
          <w:tblCellMar>
            <w:top w:w="0" w:type="dxa"/>
            <w:left w:w="108" w:type="dxa"/>
            <w:bottom w:w="0" w:type="dxa"/>
            <w:right w:w="108" w:type="dxa"/>
          </w:tblCellMar>
        </w:tblPrEx>
        <w:trPr>
          <w:gridAfter w:val="1"/>
          <w:wAfter w:w="14" w:type="dxa"/>
          <w:trHeight w:val="560" w:hRule="atLeast"/>
        </w:trPr>
        <w:tc>
          <w:tcPr>
            <w:tcW w:w="704" w:type="dxa"/>
            <w:tcBorders>
              <w:top w:val="nil"/>
              <w:left w:val="single" w:color="auto" w:sz="4" w:space="0"/>
              <w:bottom w:val="single" w:color="auto" w:sz="4" w:space="0"/>
              <w:right w:val="single" w:color="auto" w:sz="4" w:space="0"/>
            </w:tcBorders>
            <w:noWrap/>
            <w:vAlign w:val="center"/>
          </w:tcPr>
          <w:p>
            <w:pPr>
              <w:widowControl/>
              <w:adjustRightInd w:val="0"/>
              <w:snapToGrid w:val="0"/>
              <w:jc w:val="center"/>
              <w:rPr>
                <w:rFonts w:eastAsia="等线"/>
                <w:color w:val="000000"/>
                <w:kern w:val="0"/>
                <w:sz w:val="22"/>
                <w:szCs w:val="22"/>
                <w:lang w:val="id-ID"/>
              </w:rPr>
            </w:pPr>
            <w:r>
              <w:rPr>
                <w:rFonts w:eastAsia="等线"/>
                <w:color w:val="000000"/>
                <w:kern w:val="0"/>
                <w:sz w:val="22"/>
                <w:szCs w:val="22"/>
                <w:lang w:val="id-ID"/>
              </w:rPr>
              <w:t>12</w:t>
            </w:r>
          </w:p>
        </w:tc>
        <w:tc>
          <w:tcPr>
            <w:tcW w:w="4960" w:type="dxa"/>
            <w:tcBorders>
              <w:top w:val="nil"/>
              <w:left w:val="nil"/>
              <w:bottom w:val="single" w:color="auto" w:sz="4" w:space="0"/>
              <w:right w:val="single" w:color="auto" w:sz="4" w:space="0"/>
            </w:tcBorders>
            <w:noWrap w:val="0"/>
            <w:vAlign w:val="center"/>
          </w:tcPr>
          <w:p>
            <w:pPr>
              <w:widowControl/>
              <w:adjustRightInd w:val="0"/>
              <w:snapToGrid w:val="0"/>
              <w:jc w:val="left"/>
              <w:rPr>
                <w:rFonts w:eastAsia="等线"/>
                <w:color w:val="000000"/>
                <w:kern w:val="0"/>
                <w:sz w:val="22"/>
                <w:szCs w:val="22"/>
                <w:lang w:val="id-ID"/>
              </w:rPr>
            </w:pPr>
            <w:r>
              <w:rPr>
                <w:rFonts w:eastAsia="等线"/>
                <w:i/>
                <w:iCs/>
                <w:color w:val="000000"/>
                <w:kern w:val="0"/>
                <w:sz w:val="22"/>
                <w:szCs w:val="22"/>
                <w:lang w:val="id-ID"/>
              </w:rPr>
              <w:t>废树脂</w:t>
            </w:r>
            <w:r>
              <w:rPr>
                <w:rFonts w:eastAsia="等线"/>
                <w:color w:val="000000"/>
                <w:kern w:val="0"/>
                <w:sz w:val="22"/>
                <w:szCs w:val="22"/>
                <w:lang w:val="id-ID"/>
              </w:rPr>
              <w:t xml:space="preserve">Resin Bekas </w:t>
            </w:r>
          </w:p>
        </w:tc>
        <w:tc>
          <w:tcPr>
            <w:tcW w:w="1444" w:type="dxa"/>
            <w:tcBorders>
              <w:top w:val="nil"/>
              <w:left w:val="nil"/>
              <w:bottom w:val="single" w:color="auto" w:sz="4" w:space="0"/>
              <w:right w:val="single" w:color="auto" w:sz="4" w:space="0"/>
            </w:tcBorders>
            <w:noWrap w:val="0"/>
            <w:vAlign w:val="center"/>
          </w:tcPr>
          <w:p>
            <w:pPr>
              <w:widowControl/>
              <w:adjustRightInd w:val="0"/>
              <w:snapToGrid w:val="0"/>
              <w:jc w:val="center"/>
              <w:rPr>
                <w:rFonts w:eastAsia="等线"/>
                <w:color w:val="000000"/>
                <w:kern w:val="0"/>
                <w:sz w:val="22"/>
                <w:szCs w:val="22"/>
                <w:lang w:val="id-ID"/>
              </w:rPr>
            </w:pPr>
            <w:r>
              <w:rPr>
                <w:rFonts w:eastAsia="等线"/>
                <w:color w:val="000000"/>
                <w:kern w:val="0"/>
                <w:sz w:val="22"/>
                <w:szCs w:val="22"/>
                <w:lang w:val="id-ID"/>
              </w:rPr>
              <w:t>Kimia (BOP)化学</w:t>
            </w:r>
          </w:p>
        </w:tc>
        <w:tc>
          <w:tcPr>
            <w:tcW w:w="1295" w:type="dxa"/>
            <w:tcBorders>
              <w:top w:val="nil"/>
              <w:left w:val="nil"/>
              <w:bottom w:val="single" w:color="auto" w:sz="4" w:space="0"/>
              <w:right w:val="single" w:color="auto" w:sz="4" w:space="0"/>
            </w:tcBorders>
            <w:noWrap/>
            <w:vAlign w:val="center"/>
          </w:tcPr>
          <w:p>
            <w:pPr>
              <w:widowControl/>
              <w:adjustRightInd w:val="0"/>
              <w:snapToGrid w:val="0"/>
              <w:jc w:val="center"/>
              <w:rPr>
                <w:rFonts w:eastAsia="等线"/>
                <w:color w:val="000000"/>
                <w:kern w:val="0"/>
                <w:sz w:val="22"/>
                <w:szCs w:val="22"/>
                <w:lang w:val="id-ID"/>
              </w:rPr>
            </w:pPr>
            <w:r>
              <w:rPr>
                <w:rFonts w:eastAsia="等线"/>
                <w:color w:val="000000"/>
                <w:kern w:val="0"/>
                <w:sz w:val="22"/>
                <w:szCs w:val="22"/>
                <w:lang w:val="id-ID"/>
              </w:rPr>
              <w:t>B106d</w:t>
            </w:r>
          </w:p>
        </w:tc>
        <w:tc>
          <w:tcPr>
            <w:tcW w:w="1286" w:type="dxa"/>
            <w:tcBorders>
              <w:top w:val="single" w:color="auto" w:sz="4" w:space="0"/>
              <w:bottom w:val="single" w:color="auto" w:sz="4" w:space="0"/>
              <w:right w:val="single" w:color="auto" w:sz="4" w:space="0"/>
            </w:tcBorders>
            <w:noWrap w:val="0"/>
            <w:vAlign w:val="top"/>
          </w:tcPr>
          <w:p>
            <w:pPr>
              <w:widowControl/>
              <w:jc w:val="center"/>
              <w:rPr>
                <w:rFonts w:eastAsia="Times New Roman"/>
                <w:kern w:val="0"/>
                <w:sz w:val="22"/>
                <w:szCs w:val="22"/>
                <w:lang w:val="id-ID"/>
              </w:rPr>
            </w:pPr>
            <w:r>
              <w:rPr>
                <w:rFonts w:eastAsia="Times New Roman"/>
                <w:kern w:val="0"/>
                <w:sz w:val="22"/>
                <w:szCs w:val="22"/>
                <w:lang w:val="id-ID"/>
              </w:rPr>
              <w:t>800</w:t>
            </w:r>
          </w:p>
        </w:tc>
        <w:tc>
          <w:tcPr>
            <w:tcW w:w="1080" w:type="dxa"/>
            <w:tcBorders>
              <w:top w:val="single" w:color="auto" w:sz="4" w:space="0"/>
              <w:left w:val="single" w:color="auto" w:sz="4" w:space="0"/>
              <w:bottom w:val="single" w:color="auto" w:sz="4" w:space="0"/>
              <w:right w:val="single" w:color="auto" w:sz="4" w:space="0"/>
            </w:tcBorders>
            <w:noWrap w:val="0"/>
            <w:vAlign w:val="top"/>
          </w:tcPr>
          <w:p>
            <w:pPr>
              <w:widowControl/>
              <w:jc w:val="center"/>
              <w:rPr>
                <w:rFonts w:eastAsia="Times New Roman"/>
                <w:kern w:val="0"/>
                <w:sz w:val="22"/>
                <w:szCs w:val="22"/>
                <w:lang w:val="id-ID"/>
              </w:rPr>
            </w:pPr>
            <w:r>
              <w:rPr>
                <w:rFonts w:hint="eastAsia" w:ascii="等线" w:hAnsi="等线" w:eastAsia="等线" w:cs="等线"/>
                <w:sz w:val="22"/>
                <w:szCs w:val="22"/>
              </w:rPr>
              <w:t>公斤kg</w:t>
            </w:r>
          </w:p>
        </w:tc>
        <w:tc>
          <w:tcPr>
            <w:tcW w:w="236" w:type="dxa"/>
            <w:tcBorders>
              <w:left w:val="single" w:color="auto" w:sz="4" w:space="0"/>
            </w:tcBorders>
            <w:noWrap w:val="0"/>
            <w:vAlign w:val="center"/>
          </w:tcPr>
          <w:p>
            <w:pPr>
              <w:widowControl/>
              <w:jc w:val="left"/>
              <w:rPr>
                <w:rFonts w:eastAsia="Times New Roman"/>
                <w:kern w:val="0"/>
                <w:sz w:val="22"/>
                <w:szCs w:val="22"/>
                <w:lang w:val="id-ID"/>
              </w:rPr>
            </w:pPr>
          </w:p>
        </w:tc>
      </w:tr>
      <w:tr>
        <w:tblPrEx>
          <w:tblLayout w:type="fixed"/>
          <w:tblCellMar>
            <w:top w:w="0" w:type="dxa"/>
            <w:left w:w="108" w:type="dxa"/>
            <w:bottom w:w="0" w:type="dxa"/>
            <w:right w:w="108" w:type="dxa"/>
          </w:tblCellMar>
        </w:tblPrEx>
        <w:trPr>
          <w:gridAfter w:val="1"/>
          <w:wAfter w:w="14" w:type="dxa"/>
          <w:trHeight w:val="560" w:hRule="atLeast"/>
        </w:trPr>
        <w:tc>
          <w:tcPr>
            <w:tcW w:w="704" w:type="dxa"/>
            <w:tcBorders>
              <w:top w:val="nil"/>
              <w:left w:val="single" w:color="auto" w:sz="4" w:space="0"/>
              <w:bottom w:val="single" w:color="auto" w:sz="4" w:space="0"/>
              <w:right w:val="single" w:color="auto" w:sz="4" w:space="0"/>
            </w:tcBorders>
            <w:noWrap/>
            <w:vAlign w:val="center"/>
          </w:tcPr>
          <w:p>
            <w:pPr>
              <w:widowControl/>
              <w:adjustRightInd w:val="0"/>
              <w:snapToGrid w:val="0"/>
              <w:jc w:val="center"/>
              <w:rPr>
                <w:rFonts w:eastAsia="等线"/>
                <w:color w:val="000000"/>
                <w:kern w:val="0"/>
                <w:sz w:val="22"/>
                <w:szCs w:val="22"/>
                <w:lang w:val="id-ID"/>
              </w:rPr>
            </w:pPr>
            <w:r>
              <w:rPr>
                <w:rFonts w:eastAsia="等线"/>
                <w:color w:val="000000"/>
                <w:kern w:val="0"/>
                <w:sz w:val="22"/>
                <w:szCs w:val="22"/>
                <w:lang w:val="id-ID"/>
              </w:rPr>
              <w:t>13</w:t>
            </w:r>
          </w:p>
        </w:tc>
        <w:tc>
          <w:tcPr>
            <w:tcW w:w="4960" w:type="dxa"/>
            <w:tcBorders>
              <w:top w:val="nil"/>
              <w:left w:val="nil"/>
              <w:bottom w:val="single" w:color="auto" w:sz="4" w:space="0"/>
              <w:right w:val="single" w:color="auto" w:sz="4" w:space="0"/>
            </w:tcBorders>
            <w:noWrap w:val="0"/>
            <w:vAlign w:val="center"/>
          </w:tcPr>
          <w:p>
            <w:pPr>
              <w:widowControl/>
              <w:adjustRightInd w:val="0"/>
              <w:snapToGrid w:val="0"/>
              <w:jc w:val="left"/>
              <w:rPr>
                <w:rFonts w:eastAsia="等线"/>
                <w:color w:val="000000"/>
                <w:kern w:val="0"/>
                <w:sz w:val="22"/>
                <w:szCs w:val="22"/>
                <w:lang w:val="id-ID"/>
              </w:rPr>
            </w:pPr>
            <w:r>
              <w:rPr>
                <w:rFonts w:eastAsia="等线"/>
                <w:i/>
                <w:iCs/>
                <w:color w:val="000000"/>
                <w:kern w:val="0"/>
                <w:sz w:val="22"/>
                <w:szCs w:val="22"/>
                <w:lang w:val="id-ID"/>
              </w:rPr>
              <w:t>过期化学品</w:t>
            </w:r>
            <w:r>
              <w:rPr>
                <w:rFonts w:eastAsia="等线"/>
                <w:color w:val="000000"/>
                <w:kern w:val="0"/>
                <w:sz w:val="22"/>
                <w:szCs w:val="22"/>
                <w:lang w:val="id-ID"/>
              </w:rPr>
              <w:t xml:space="preserve">Bahan kimia kadaluarsa </w:t>
            </w:r>
          </w:p>
        </w:tc>
        <w:tc>
          <w:tcPr>
            <w:tcW w:w="1444" w:type="dxa"/>
            <w:tcBorders>
              <w:top w:val="nil"/>
              <w:left w:val="nil"/>
              <w:bottom w:val="single" w:color="auto" w:sz="4" w:space="0"/>
              <w:right w:val="single" w:color="auto" w:sz="4" w:space="0"/>
            </w:tcBorders>
            <w:noWrap w:val="0"/>
            <w:vAlign w:val="center"/>
          </w:tcPr>
          <w:p>
            <w:pPr>
              <w:widowControl/>
              <w:adjustRightInd w:val="0"/>
              <w:snapToGrid w:val="0"/>
              <w:jc w:val="center"/>
              <w:rPr>
                <w:rFonts w:eastAsia="等线"/>
                <w:color w:val="000000"/>
                <w:kern w:val="0"/>
                <w:sz w:val="22"/>
                <w:szCs w:val="22"/>
                <w:lang w:val="id-ID"/>
              </w:rPr>
            </w:pPr>
            <w:r>
              <w:rPr>
                <w:rFonts w:eastAsia="等线"/>
                <w:color w:val="000000"/>
                <w:kern w:val="0"/>
                <w:sz w:val="22"/>
                <w:szCs w:val="22"/>
                <w:lang w:val="id-ID"/>
              </w:rPr>
              <w:t>Kimia (BOP)化学</w:t>
            </w:r>
          </w:p>
        </w:tc>
        <w:tc>
          <w:tcPr>
            <w:tcW w:w="1295" w:type="dxa"/>
            <w:tcBorders>
              <w:top w:val="nil"/>
              <w:left w:val="nil"/>
              <w:bottom w:val="single" w:color="auto" w:sz="4" w:space="0"/>
              <w:right w:val="single" w:color="auto" w:sz="4" w:space="0"/>
            </w:tcBorders>
            <w:noWrap/>
            <w:vAlign w:val="center"/>
          </w:tcPr>
          <w:p>
            <w:pPr>
              <w:widowControl/>
              <w:adjustRightInd w:val="0"/>
              <w:snapToGrid w:val="0"/>
              <w:jc w:val="center"/>
              <w:rPr>
                <w:rFonts w:eastAsia="等线"/>
                <w:color w:val="000000"/>
                <w:kern w:val="0"/>
                <w:sz w:val="22"/>
                <w:szCs w:val="22"/>
                <w:lang w:val="id-ID"/>
              </w:rPr>
            </w:pPr>
            <w:r>
              <w:rPr>
                <w:rFonts w:eastAsia="等线"/>
                <w:color w:val="000000"/>
                <w:kern w:val="0"/>
                <w:sz w:val="22"/>
                <w:szCs w:val="22"/>
                <w:lang w:val="id-ID"/>
              </w:rPr>
              <w:t>A338-1</w:t>
            </w:r>
          </w:p>
        </w:tc>
        <w:tc>
          <w:tcPr>
            <w:tcW w:w="1286" w:type="dxa"/>
            <w:tcBorders>
              <w:top w:val="single" w:color="auto" w:sz="4" w:space="0"/>
              <w:bottom w:val="single" w:color="auto" w:sz="4" w:space="0"/>
              <w:right w:val="single" w:color="auto" w:sz="4" w:space="0"/>
            </w:tcBorders>
            <w:noWrap w:val="0"/>
            <w:vAlign w:val="top"/>
          </w:tcPr>
          <w:p>
            <w:pPr>
              <w:widowControl/>
              <w:jc w:val="center"/>
              <w:rPr>
                <w:rFonts w:eastAsia="Times New Roman"/>
                <w:kern w:val="0"/>
                <w:sz w:val="22"/>
                <w:szCs w:val="22"/>
                <w:lang w:val="id-ID"/>
              </w:rPr>
            </w:pPr>
            <w:r>
              <w:rPr>
                <w:rFonts w:eastAsia="Times New Roman"/>
                <w:kern w:val="0"/>
                <w:sz w:val="22"/>
                <w:szCs w:val="22"/>
                <w:lang w:val="id-ID"/>
              </w:rPr>
              <w:t>1600</w:t>
            </w:r>
          </w:p>
        </w:tc>
        <w:tc>
          <w:tcPr>
            <w:tcW w:w="1080" w:type="dxa"/>
            <w:tcBorders>
              <w:top w:val="single" w:color="auto" w:sz="4" w:space="0"/>
              <w:left w:val="single" w:color="auto" w:sz="4" w:space="0"/>
              <w:bottom w:val="single" w:color="auto" w:sz="4" w:space="0"/>
              <w:right w:val="single" w:color="auto" w:sz="4" w:space="0"/>
            </w:tcBorders>
            <w:noWrap w:val="0"/>
            <w:vAlign w:val="top"/>
          </w:tcPr>
          <w:p>
            <w:pPr>
              <w:widowControl/>
              <w:jc w:val="center"/>
              <w:rPr>
                <w:rFonts w:eastAsia="Times New Roman"/>
                <w:kern w:val="0"/>
                <w:sz w:val="22"/>
                <w:szCs w:val="22"/>
                <w:lang w:val="id-ID"/>
              </w:rPr>
            </w:pPr>
            <w:r>
              <w:rPr>
                <w:rFonts w:hint="eastAsia" w:ascii="等线" w:hAnsi="等线" w:eastAsia="等线" w:cs="等线"/>
                <w:sz w:val="22"/>
                <w:szCs w:val="22"/>
              </w:rPr>
              <w:t>公斤kg</w:t>
            </w:r>
          </w:p>
        </w:tc>
        <w:tc>
          <w:tcPr>
            <w:tcW w:w="236" w:type="dxa"/>
            <w:tcBorders>
              <w:left w:val="single" w:color="auto" w:sz="4" w:space="0"/>
            </w:tcBorders>
            <w:noWrap w:val="0"/>
            <w:vAlign w:val="center"/>
          </w:tcPr>
          <w:p>
            <w:pPr>
              <w:widowControl/>
              <w:jc w:val="left"/>
              <w:rPr>
                <w:rFonts w:eastAsia="Times New Roman"/>
                <w:kern w:val="0"/>
                <w:sz w:val="22"/>
                <w:szCs w:val="22"/>
                <w:lang w:val="id-ID"/>
              </w:rPr>
            </w:pPr>
          </w:p>
        </w:tc>
      </w:tr>
      <w:tr>
        <w:tblPrEx>
          <w:tblLayout w:type="fixed"/>
          <w:tblCellMar>
            <w:top w:w="0" w:type="dxa"/>
            <w:left w:w="108" w:type="dxa"/>
            <w:bottom w:w="0" w:type="dxa"/>
            <w:right w:w="108" w:type="dxa"/>
          </w:tblCellMar>
        </w:tblPrEx>
        <w:trPr>
          <w:gridAfter w:val="1"/>
          <w:wAfter w:w="14" w:type="dxa"/>
          <w:trHeight w:val="560" w:hRule="atLeast"/>
        </w:trPr>
        <w:tc>
          <w:tcPr>
            <w:tcW w:w="704" w:type="dxa"/>
            <w:tcBorders>
              <w:top w:val="nil"/>
              <w:left w:val="single" w:color="auto" w:sz="4" w:space="0"/>
              <w:bottom w:val="single" w:color="auto" w:sz="4" w:space="0"/>
              <w:right w:val="single" w:color="auto" w:sz="4" w:space="0"/>
            </w:tcBorders>
            <w:noWrap/>
            <w:vAlign w:val="center"/>
          </w:tcPr>
          <w:p>
            <w:pPr>
              <w:widowControl/>
              <w:adjustRightInd w:val="0"/>
              <w:snapToGrid w:val="0"/>
              <w:jc w:val="center"/>
              <w:rPr>
                <w:rFonts w:eastAsia="等线"/>
                <w:color w:val="000000"/>
                <w:kern w:val="0"/>
                <w:sz w:val="22"/>
                <w:szCs w:val="22"/>
                <w:lang w:val="id-ID"/>
              </w:rPr>
            </w:pPr>
            <w:r>
              <w:rPr>
                <w:rFonts w:eastAsia="等线"/>
                <w:color w:val="000000"/>
                <w:kern w:val="0"/>
                <w:sz w:val="22"/>
                <w:szCs w:val="22"/>
                <w:lang w:val="id-ID"/>
              </w:rPr>
              <w:t>14</w:t>
            </w:r>
          </w:p>
        </w:tc>
        <w:tc>
          <w:tcPr>
            <w:tcW w:w="4960" w:type="dxa"/>
            <w:tcBorders>
              <w:top w:val="nil"/>
              <w:left w:val="nil"/>
              <w:bottom w:val="single" w:color="auto" w:sz="4" w:space="0"/>
              <w:right w:val="single" w:color="auto" w:sz="4" w:space="0"/>
            </w:tcBorders>
            <w:noWrap w:val="0"/>
            <w:vAlign w:val="center"/>
          </w:tcPr>
          <w:p>
            <w:pPr>
              <w:widowControl/>
              <w:adjustRightInd w:val="0"/>
              <w:snapToGrid w:val="0"/>
              <w:jc w:val="left"/>
              <w:rPr>
                <w:rFonts w:eastAsia="等线"/>
                <w:color w:val="000000"/>
                <w:kern w:val="0"/>
                <w:sz w:val="22"/>
                <w:szCs w:val="22"/>
                <w:lang w:val="id-ID"/>
              </w:rPr>
            </w:pPr>
            <w:r>
              <w:rPr>
                <w:rFonts w:eastAsia="等线"/>
                <w:i/>
                <w:iCs/>
                <w:color w:val="000000"/>
                <w:kern w:val="0"/>
                <w:sz w:val="22"/>
                <w:szCs w:val="22"/>
                <w:lang w:val="id-ID"/>
              </w:rPr>
              <w:t>包装用过墨水</w:t>
            </w:r>
            <w:r>
              <w:rPr>
                <w:rFonts w:eastAsia="等线"/>
                <w:color w:val="000000"/>
                <w:kern w:val="0"/>
                <w:sz w:val="22"/>
                <w:szCs w:val="22"/>
                <w:lang w:val="id-ID"/>
              </w:rPr>
              <w:t xml:space="preserve">Kemasan Bekas Tinta </w:t>
            </w:r>
          </w:p>
        </w:tc>
        <w:tc>
          <w:tcPr>
            <w:tcW w:w="1444" w:type="dxa"/>
            <w:tcBorders>
              <w:top w:val="nil"/>
              <w:left w:val="nil"/>
              <w:bottom w:val="single" w:color="auto" w:sz="4" w:space="0"/>
              <w:right w:val="single" w:color="auto" w:sz="4" w:space="0"/>
            </w:tcBorders>
            <w:noWrap w:val="0"/>
            <w:vAlign w:val="center"/>
          </w:tcPr>
          <w:p>
            <w:pPr>
              <w:widowControl/>
              <w:adjustRightInd w:val="0"/>
              <w:snapToGrid w:val="0"/>
              <w:jc w:val="center"/>
              <w:rPr>
                <w:rFonts w:eastAsia="等线"/>
                <w:color w:val="000000"/>
                <w:kern w:val="0"/>
                <w:sz w:val="22"/>
                <w:szCs w:val="22"/>
                <w:lang w:val="id-ID"/>
              </w:rPr>
            </w:pPr>
            <w:r>
              <w:rPr>
                <w:rFonts w:eastAsia="等线"/>
                <w:color w:val="000000"/>
                <w:kern w:val="0"/>
                <w:sz w:val="22"/>
                <w:szCs w:val="22"/>
                <w:lang w:val="id-ID"/>
              </w:rPr>
              <w:t>Office办公室</w:t>
            </w:r>
          </w:p>
        </w:tc>
        <w:tc>
          <w:tcPr>
            <w:tcW w:w="1295" w:type="dxa"/>
            <w:tcBorders>
              <w:top w:val="nil"/>
              <w:left w:val="nil"/>
              <w:bottom w:val="single" w:color="auto" w:sz="4" w:space="0"/>
              <w:right w:val="single" w:color="auto" w:sz="4" w:space="0"/>
            </w:tcBorders>
            <w:noWrap/>
            <w:vAlign w:val="center"/>
          </w:tcPr>
          <w:p>
            <w:pPr>
              <w:widowControl/>
              <w:adjustRightInd w:val="0"/>
              <w:snapToGrid w:val="0"/>
              <w:jc w:val="center"/>
              <w:rPr>
                <w:rFonts w:eastAsia="等线"/>
                <w:color w:val="000000"/>
                <w:kern w:val="0"/>
                <w:sz w:val="22"/>
                <w:szCs w:val="22"/>
                <w:lang w:val="id-ID"/>
              </w:rPr>
            </w:pPr>
            <w:r>
              <w:rPr>
                <w:rFonts w:eastAsia="等线"/>
                <w:color w:val="000000"/>
                <w:kern w:val="0"/>
                <w:sz w:val="22"/>
                <w:szCs w:val="22"/>
                <w:lang w:val="id-ID"/>
              </w:rPr>
              <w:t>B321-4</w:t>
            </w:r>
          </w:p>
        </w:tc>
        <w:tc>
          <w:tcPr>
            <w:tcW w:w="1286" w:type="dxa"/>
            <w:tcBorders>
              <w:top w:val="single" w:color="auto" w:sz="4" w:space="0"/>
              <w:bottom w:val="single" w:color="auto" w:sz="4" w:space="0"/>
              <w:right w:val="single" w:color="auto" w:sz="4" w:space="0"/>
            </w:tcBorders>
            <w:noWrap w:val="0"/>
            <w:vAlign w:val="top"/>
          </w:tcPr>
          <w:p>
            <w:pPr>
              <w:widowControl/>
              <w:jc w:val="center"/>
              <w:rPr>
                <w:rFonts w:eastAsia="Times New Roman"/>
                <w:kern w:val="0"/>
                <w:sz w:val="22"/>
                <w:szCs w:val="22"/>
                <w:lang w:val="id-ID"/>
              </w:rPr>
            </w:pPr>
            <w:r>
              <w:rPr>
                <w:rFonts w:eastAsia="Times New Roman"/>
                <w:kern w:val="0"/>
                <w:sz w:val="22"/>
                <w:szCs w:val="22"/>
                <w:lang w:val="id-ID"/>
              </w:rPr>
              <w:t>20</w:t>
            </w:r>
          </w:p>
        </w:tc>
        <w:tc>
          <w:tcPr>
            <w:tcW w:w="1080" w:type="dxa"/>
            <w:tcBorders>
              <w:top w:val="single" w:color="auto" w:sz="4" w:space="0"/>
              <w:left w:val="single" w:color="auto" w:sz="4" w:space="0"/>
              <w:bottom w:val="single" w:color="auto" w:sz="4" w:space="0"/>
              <w:right w:val="single" w:color="auto" w:sz="4" w:space="0"/>
            </w:tcBorders>
            <w:noWrap w:val="0"/>
            <w:vAlign w:val="top"/>
          </w:tcPr>
          <w:p>
            <w:pPr>
              <w:widowControl/>
              <w:jc w:val="center"/>
              <w:rPr>
                <w:rFonts w:eastAsia="Times New Roman"/>
                <w:kern w:val="0"/>
                <w:sz w:val="22"/>
                <w:szCs w:val="22"/>
                <w:lang w:val="id-ID"/>
              </w:rPr>
            </w:pPr>
            <w:r>
              <w:rPr>
                <w:rFonts w:hint="eastAsia" w:ascii="等线" w:hAnsi="等线" w:eastAsia="等线" w:cs="等线"/>
                <w:sz w:val="22"/>
                <w:szCs w:val="22"/>
              </w:rPr>
              <w:t>公斤kg</w:t>
            </w:r>
          </w:p>
        </w:tc>
        <w:tc>
          <w:tcPr>
            <w:tcW w:w="236" w:type="dxa"/>
            <w:tcBorders>
              <w:left w:val="single" w:color="auto" w:sz="4" w:space="0"/>
            </w:tcBorders>
            <w:noWrap w:val="0"/>
            <w:vAlign w:val="center"/>
          </w:tcPr>
          <w:p>
            <w:pPr>
              <w:widowControl/>
              <w:jc w:val="left"/>
              <w:rPr>
                <w:rFonts w:eastAsia="Times New Roman"/>
                <w:kern w:val="0"/>
                <w:sz w:val="22"/>
                <w:szCs w:val="22"/>
                <w:lang w:val="id-ID"/>
              </w:rPr>
            </w:pPr>
          </w:p>
        </w:tc>
      </w:tr>
      <w:tr>
        <w:tblPrEx>
          <w:tblLayout w:type="fixed"/>
          <w:tblCellMar>
            <w:top w:w="0" w:type="dxa"/>
            <w:left w:w="108" w:type="dxa"/>
            <w:bottom w:w="0" w:type="dxa"/>
            <w:right w:w="108" w:type="dxa"/>
          </w:tblCellMar>
        </w:tblPrEx>
        <w:trPr>
          <w:gridAfter w:val="1"/>
          <w:wAfter w:w="14" w:type="dxa"/>
          <w:trHeight w:val="410" w:hRule="atLeast"/>
        </w:trPr>
        <w:tc>
          <w:tcPr>
            <w:tcW w:w="704" w:type="dxa"/>
            <w:tcBorders>
              <w:top w:val="single" w:color="auto" w:sz="4" w:space="0"/>
              <w:left w:val="single" w:color="auto" w:sz="4" w:space="0"/>
              <w:bottom w:val="single" w:color="auto" w:sz="4" w:space="0"/>
              <w:right w:val="single" w:color="auto" w:sz="4" w:space="0"/>
            </w:tcBorders>
            <w:noWrap/>
            <w:vAlign w:val="center"/>
          </w:tcPr>
          <w:p>
            <w:pPr>
              <w:widowControl/>
              <w:adjustRightInd w:val="0"/>
              <w:snapToGrid w:val="0"/>
              <w:jc w:val="center"/>
              <w:rPr>
                <w:rFonts w:eastAsia="等线"/>
                <w:color w:val="000000"/>
                <w:kern w:val="0"/>
                <w:sz w:val="22"/>
                <w:szCs w:val="22"/>
                <w:lang w:val="id-ID"/>
              </w:rPr>
            </w:pPr>
            <w:r>
              <w:rPr>
                <w:rFonts w:eastAsia="等线"/>
                <w:color w:val="000000"/>
                <w:kern w:val="0"/>
                <w:sz w:val="22"/>
                <w:szCs w:val="22"/>
                <w:lang w:val="id-ID"/>
              </w:rPr>
              <w:t>15</w:t>
            </w:r>
          </w:p>
        </w:tc>
        <w:tc>
          <w:tcPr>
            <w:tcW w:w="4960" w:type="dxa"/>
            <w:tcBorders>
              <w:top w:val="single" w:color="auto" w:sz="4" w:space="0"/>
              <w:left w:val="nil"/>
              <w:bottom w:val="single" w:color="auto" w:sz="4" w:space="0"/>
              <w:right w:val="single" w:color="auto" w:sz="4" w:space="0"/>
            </w:tcBorders>
            <w:noWrap w:val="0"/>
            <w:vAlign w:val="center"/>
          </w:tcPr>
          <w:p>
            <w:pPr>
              <w:widowControl/>
              <w:adjustRightInd w:val="0"/>
              <w:snapToGrid w:val="0"/>
              <w:jc w:val="left"/>
              <w:rPr>
                <w:rFonts w:eastAsia="等线"/>
                <w:color w:val="000000"/>
                <w:kern w:val="0"/>
                <w:sz w:val="22"/>
                <w:szCs w:val="22"/>
                <w:lang w:val="id-ID"/>
              </w:rPr>
            </w:pPr>
            <w:r>
              <w:rPr>
                <w:rFonts w:eastAsia="等线"/>
                <w:i/>
                <w:iCs/>
                <w:color w:val="000000"/>
                <w:kern w:val="0"/>
                <w:sz w:val="22"/>
                <w:szCs w:val="22"/>
                <w:lang w:val="id-ID"/>
              </w:rPr>
              <w:t>碳粉/墨盒</w:t>
            </w:r>
            <w:r>
              <w:rPr>
                <w:rFonts w:eastAsia="等线"/>
                <w:color w:val="000000"/>
                <w:kern w:val="0"/>
                <w:sz w:val="22"/>
                <w:szCs w:val="22"/>
                <w:lang w:val="id-ID"/>
              </w:rPr>
              <w:t xml:space="preserve">Toner/Catridge </w:t>
            </w:r>
          </w:p>
        </w:tc>
        <w:tc>
          <w:tcPr>
            <w:tcW w:w="1444" w:type="dxa"/>
            <w:tcBorders>
              <w:top w:val="single" w:color="auto" w:sz="4" w:space="0"/>
              <w:left w:val="nil"/>
              <w:bottom w:val="single" w:color="auto" w:sz="4" w:space="0"/>
              <w:right w:val="single" w:color="auto" w:sz="4" w:space="0"/>
            </w:tcBorders>
            <w:noWrap w:val="0"/>
            <w:vAlign w:val="center"/>
          </w:tcPr>
          <w:p>
            <w:pPr>
              <w:widowControl/>
              <w:adjustRightInd w:val="0"/>
              <w:snapToGrid w:val="0"/>
              <w:jc w:val="center"/>
              <w:rPr>
                <w:rFonts w:eastAsia="等线"/>
                <w:color w:val="000000"/>
                <w:kern w:val="0"/>
                <w:sz w:val="22"/>
                <w:szCs w:val="22"/>
                <w:lang w:val="id-ID"/>
              </w:rPr>
            </w:pPr>
            <w:r>
              <w:rPr>
                <w:rFonts w:eastAsia="等线"/>
                <w:color w:val="000000"/>
                <w:kern w:val="0"/>
                <w:sz w:val="22"/>
                <w:szCs w:val="22"/>
                <w:lang w:val="id-ID"/>
              </w:rPr>
              <w:t>Office办公室</w:t>
            </w:r>
          </w:p>
        </w:tc>
        <w:tc>
          <w:tcPr>
            <w:tcW w:w="1295" w:type="dxa"/>
            <w:tcBorders>
              <w:top w:val="single" w:color="auto" w:sz="4" w:space="0"/>
              <w:left w:val="nil"/>
              <w:bottom w:val="single" w:color="auto" w:sz="4" w:space="0"/>
              <w:right w:val="single" w:color="auto" w:sz="4" w:space="0"/>
            </w:tcBorders>
            <w:noWrap/>
            <w:vAlign w:val="center"/>
          </w:tcPr>
          <w:p>
            <w:pPr>
              <w:widowControl/>
              <w:adjustRightInd w:val="0"/>
              <w:snapToGrid w:val="0"/>
              <w:jc w:val="center"/>
              <w:rPr>
                <w:rFonts w:eastAsia="等线"/>
                <w:color w:val="000000"/>
                <w:kern w:val="0"/>
                <w:sz w:val="22"/>
                <w:szCs w:val="22"/>
                <w:lang w:val="id-ID"/>
              </w:rPr>
            </w:pPr>
            <w:r>
              <w:rPr>
                <w:rFonts w:eastAsia="等线"/>
                <w:color w:val="000000"/>
                <w:kern w:val="0"/>
                <w:sz w:val="22"/>
                <w:szCs w:val="22"/>
                <w:lang w:val="id-ID"/>
              </w:rPr>
              <w:t>B353-1</w:t>
            </w:r>
          </w:p>
        </w:tc>
        <w:tc>
          <w:tcPr>
            <w:tcW w:w="1286" w:type="dxa"/>
            <w:tcBorders>
              <w:top w:val="single" w:color="auto" w:sz="4" w:space="0"/>
              <w:bottom w:val="single" w:color="auto" w:sz="4" w:space="0"/>
              <w:right w:val="single" w:color="auto" w:sz="4" w:space="0"/>
            </w:tcBorders>
            <w:noWrap w:val="0"/>
            <w:vAlign w:val="top"/>
          </w:tcPr>
          <w:p>
            <w:pPr>
              <w:widowControl/>
              <w:jc w:val="center"/>
              <w:rPr>
                <w:rFonts w:eastAsia="Times New Roman"/>
                <w:kern w:val="0"/>
                <w:sz w:val="22"/>
                <w:szCs w:val="22"/>
                <w:lang w:val="id-ID"/>
              </w:rPr>
            </w:pPr>
            <w:r>
              <w:rPr>
                <w:rFonts w:eastAsia="Times New Roman"/>
                <w:kern w:val="0"/>
                <w:sz w:val="22"/>
                <w:szCs w:val="22"/>
                <w:lang w:val="id-ID"/>
              </w:rPr>
              <w:t>5</w:t>
            </w:r>
          </w:p>
        </w:tc>
        <w:tc>
          <w:tcPr>
            <w:tcW w:w="1080" w:type="dxa"/>
            <w:tcBorders>
              <w:top w:val="single" w:color="auto" w:sz="4" w:space="0"/>
              <w:left w:val="single" w:color="auto" w:sz="4" w:space="0"/>
              <w:bottom w:val="single" w:color="auto" w:sz="4" w:space="0"/>
              <w:right w:val="single" w:color="auto" w:sz="4" w:space="0"/>
            </w:tcBorders>
            <w:noWrap w:val="0"/>
            <w:vAlign w:val="top"/>
          </w:tcPr>
          <w:p>
            <w:pPr>
              <w:widowControl/>
              <w:jc w:val="center"/>
              <w:rPr>
                <w:rFonts w:eastAsia="Times New Roman"/>
                <w:kern w:val="0"/>
                <w:sz w:val="22"/>
                <w:szCs w:val="22"/>
                <w:lang w:val="id-ID"/>
              </w:rPr>
            </w:pPr>
            <w:r>
              <w:rPr>
                <w:rFonts w:hint="eastAsia" w:ascii="等线" w:hAnsi="等线" w:eastAsia="等线" w:cs="等线"/>
                <w:sz w:val="22"/>
                <w:szCs w:val="22"/>
              </w:rPr>
              <w:t>公斤kg</w:t>
            </w:r>
          </w:p>
        </w:tc>
        <w:tc>
          <w:tcPr>
            <w:tcW w:w="236" w:type="dxa"/>
            <w:tcBorders>
              <w:left w:val="single" w:color="auto" w:sz="4" w:space="0"/>
            </w:tcBorders>
            <w:noWrap w:val="0"/>
            <w:vAlign w:val="center"/>
          </w:tcPr>
          <w:p>
            <w:pPr>
              <w:widowControl/>
              <w:jc w:val="left"/>
              <w:rPr>
                <w:rFonts w:eastAsia="Times New Roman"/>
                <w:kern w:val="0"/>
                <w:sz w:val="22"/>
                <w:szCs w:val="22"/>
                <w:lang w:val="id-ID"/>
              </w:rPr>
            </w:pPr>
          </w:p>
        </w:tc>
      </w:tr>
      <w:tr>
        <w:tblPrEx>
          <w:tblLayout w:type="fixed"/>
          <w:tblCellMar>
            <w:top w:w="0" w:type="dxa"/>
            <w:left w:w="108" w:type="dxa"/>
            <w:bottom w:w="0" w:type="dxa"/>
            <w:right w:w="108" w:type="dxa"/>
          </w:tblCellMar>
        </w:tblPrEx>
        <w:trPr>
          <w:gridAfter w:val="1"/>
          <w:wAfter w:w="14" w:type="dxa"/>
          <w:trHeight w:val="410" w:hRule="atLeast"/>
        </w:trPr>
        <w:tc>
          <w:tcPr>
            <w:tcW w:w="704" w:type="dxa"/>
            <w:tcBorders>
              <w:top w:val="single" w:color="auto" w:sz="4" w:space="0"/>
              <w:left w:val="single" w:color="auto" w:sz="4" w:space="0"/>
              <w:bottom w:val="single" w:color="auto" w:sz="4" w:space="0"/>
              <w:right w:val="single" w:color="auto" w:sz="4" w:space="0"/>
            </w:tcBorders>
            <w:noWrap/>
            <w:vAlign w:val="center"/>
          </w:tcPr>
          <w:p>
            <w:pPr>
              <w:widowControl/>
              <w:adjustRightInd w:val="0"/>
              <w:snapToGrid w:val="0"/>
              <w:jc w:val="center"/>
              <w:rPr>
                <w:rFonts w:eastAsia="等线"/>
                <w:color w:val="000000"/>
                <w:kern w:val="0"/>
                <w:sz w:val="22"/>
                <w:szCs w:val="22"/>
                <w:lang w:val="id-ID"/>
              </w:rPr>
            </w:pPr>
            <w:r>
              <w:rPr>
                <w:rFonts w:eastAsia="等线"/>
                <w:color w:val="000000"/>
                <w:kern w:val="0"/>
                <w:sz w:val="22"/>
                <w:szCs w:val="22"/>
                <w:lang w:val="id-ID"/>
              </w:rPr>
              <w:t>16</w:t>
            </w:r>
          </w:p>
        </w:tc>
        <w:tc>
          <w:tcPr>
            <w:tcW w:w="4960" w:type="dxa"/>
            <w:tcBorders>
              <w:top w:val="single" w:color="auto" w:sz="4" w:space="0"/>
              <w:left w:val="nil"/>
              <w:bottom w:val="single" w:color="auto" w:sz="4" w:space="0"/>
              <w:right w:val="single" w:color="auto" w:sz="4" w:space="0"/>
            </w:tcBorders>
            <w:noWrap w:val="0"/>
            <w:vAlign w:val="center"/>
          </w:tcPr>
          <w:p>
            <w:pPr>
              <w:widowControl/>
              <w:adjustRightInd w:val="0"/>
              <w:snapToGrid w:val="0"/>
              <w:jc w:val="left"/>
              <w:rPr>
                <w:rFonts w:eastAsia="等线"/>
                <w:color w:val="000000"/>
                <w:kern w:val="0"/>
                <w:sz w:val="22"/>
                <w:szCs w:val="22"/>
                <w:lang w:val="id-ID"/>
              </w:rPr>
            </w:pPr>
            <w:r>
              <w:rPr>
                <w:rFonts w:eastAsia="等线"/>
                <w:i/>
                <w:iCs/>
                <w:color w:val="000000"/>
                <w:kern w:val="0"/>
                <w:sz w:val="22"/>
                <w:szCs w:val="22"/>
                <w:lang w:val="id-ID"/>
              </w:rPr>
              <w:t>电瓶和电池废物</w:t>
            </w:r>
            <w:r>
              <w:rPr>
                <w:rFonts w:eastAsia="等线"/>
                <w:color w:val="000000"/>
                <w:kern w:val="0"/>
                <w:sz w:val="22"/>
                <w:szCs w:val="22"/>
                <w:lang w:val="id-ID"/>
              </w:rPr>
              <w:t xml:space="preserve">Aki dan Baterai bekas </w:t>
            </w:r>
          </w:p>
        </w:tc>
        <w:tc>
          <w:tcPr>
            <w:tcW w:w="1444" w:type="dxa"/>
            <w:tcBorders>
              <w:top w:val="single" w:color="auto" w:sz="4" w:space="0"/>
              <w:left w:val="nil"/>
              <w:bottom w:val="single" w:color="auto" w:sz="4" w:space="0"/>
              <w:right w:val="single" w:color="auto" w:sz="4" w:space="0"/>
            </w:tcBorders>
            <w:noWrap w:val="0"/>
            <w:vAlign w:val="center"/>
          </w:tcPr>
          <w:p>
            <w:pPr>
              <w:widowControl/>
              <w:adjustRightInd w:val="0"/>
              <w:snapToGrid w:val="0"/>
              <w:jc w:val="center"/>
              <w:rPr>
                <w:rFonts w:eastAsia="等线"/>
                <w:color w:val="000000"/>
                <w:kern w:val="0"/>
                <w:sz w:val="22"/>
                <w:szCs w:val="22"/>
                <w:lang w:val="id-ID"/>
              </w:rPr>
            </w:pPr>
            <w:r>
              <w:rPr>
                <w:rFonts w:eastAsia="等线"/>
                <w:color w:val="000000"/>
                <w:kern w:val="0"/>
                <w:sz w:val="22"/>
                <w:szCs w:val="22"/>
                <w:lang w:val="id-ID"/>
              </w:rPr>
              <w:t>Semua area全区</w:t>
            </w:r>
          </w:p>
        </w:tc>
        <w:tc>
          <w:tcPr>
            <w:tcW w:w="1295" w:type="dxa"/>
            <w:tcBorders>
              <w:top w:val="single" w:color="auto" w:sz="4" w:space="0"/>
              <w:left w:val="nil"/>
              <w:bottom w:val="single" w:color="auto" w:sz="4" w:space="0"/>
              <w:right w:val="single" w:color="auto" w:sz="4" w:space="0"/>
            </w:tcBorders>
            <w:noWrap/>
            <w:vAlign w:val="center"/>
          </w:tcPr>
          <w:p>
            <w:pPr>
              <w:widowControl/>
              <w:adjustRightInd w:val="0"/>
              <w:snapToGrid w:val="0"/>
              <w:jc w:val="center"/>
              <w:rPr>
                <w:rFonts w:eastAsia="等线"/>
                <w:color w:val="000000"/>
                <w:kern w:val="0"/>
                <w:sz w:val="22"/>
                <w:szCs w:val="22"/>
                <w:lang w:val="id-ID"/>
              </w:rPr>
            </w:pPr>
            <w:r>
              <w:rPr>
                <w:rFonts w:eastAsia="等线"/>
                <w:color w:val="000000"/>
                <w:kern w:val="0"/>
                <w:sz w:val="22"/>
                <w:szCs w:val="22"/>
                <w:lang w:val="id-ID"/>
              </w:rPr>
              <w:t>A102d</w:t>
            </w:r>
          </w:p>
        </w:tc>
        <w:tc>
          <w:tcPr>
            <w:tcW w:w="1286" w:type="dxa"/>
            <w:tcBorders>
              <w:top w:val="single" w:color="auto" w:sz="4" w:space="0"/>
              <w:bottom w:val="single" w:color="auto" w:sz="4" w:space="0"/>
              <w:right w:val="single" w:color="auto" w:sz="4" w:space="0"/>
            </w:tcBorders>
            <w:noWrap w:val="0"/>
            <w:vAlign w:val="top"/>
          </w:tcPr>
          <w:p>
            <w:pPr>
              <w:widowControl/>
              <w:jc w:val="center"/>
              <w:rPr>
                <w:rFonts w:eastAsia="Times New Roman"/>
                <w:kern w:val="0"/>
                <w:sz w:val="22"/>
                <w:szCs w:val="22"/>
                <w:lang w:val="id-ID"/>
              </w:rPr>
            </w:pPr>
            <w:r>
              <w:rPr>
                <w:rFonts w:eastAsia="Times New Roman"/>
                <w:kern w:val="0"/>
                <w:sz w:val="22"/>
                <w:szCs w:val="22"/>
                <w:lang w:val="id-ID"/>
              </w:rPr>
              <w:t>2400</w:t>
            </w:r>
          </w:p>
        </w:tc>
        <w:tc>
          <w:tcPr>
            <w:tcW w:w="1080" w:type="dxa"/>
            <w:tcBorders>
              <w:top w:val="single" w:color="auto" w:sz="4" w:space="0"/>
              <w:left w:val="single" w:color="auto" w:sz="4" w:space="0"/>
              <w:bottom w:val="single" w:color="auto" w:sz="4" w:space="0"/>
              <w:right w:val="single" w:color="auto" w:sz="4" w:space="0"/>
            </w:tcBorders>
            <w:noWrap w:val="0"/>
            <w:vAlign w:val="top"/>
          </w:tcPr>
          <w:p>
            <w:pPr>
              <w:widowControl/>
              <w:jc w:val="center"/>
              <w:rPr>
                <w:rFonts w:eastAsia="Times New Roman"/>
                <w:kern w:val="0"/>
                <w:sz w:val="22"/>
                <w:szCs w:val="22"/>
                <w:lang w:val="id-ID"/>
              </w:rPr>
            </w:pPr>
            <w:r>
              <w:rPr>
                <w:rFonts w:hint="eastAsia" w:ascii="等线" w:hAnsi="等线" w:eastAsia="等线" w:cs="等线"/>
                <w:sz w:val="22"/>
                <w:szCs w:val="22"/>
              </w:rPr>
              <w:t>公斤kg</w:t>
            </w:r>
          </w:p>
        </w:tc>
        <w:tc>
          <w:tcPr>
            <w:tcW w:w="236" w:type="dxa"/>
            <w:tcBorders>
              <w:left w:val="single" w:color="auto" w:sz="4" w:space="0"/>
            </w:tcBorders>
            <w:noWrap w:val="0"/>
            <w:vAlign w:val="center"/>
          </w:tcPr>
          <w:p>
            <w:pPr>
              <w:widowControl/>
              <w:jc w:val="left"/>
              <w:rPr>
                <w:rFonts w:eastAsia="Times New Roman"/>
                <w:kern w:val="0"/>
                <w:sz w:val="22"/>
                <w:szCs w:val="22"/>
                <w:lang w:val="id-ID"/>
              </w:rPr>
            </w:pPr>
          </w:p>
        </w:tc>
      </w:tr>
      <w:tr>
        <w:tblPrEx>
          <w:tblLayout w:type="fixed"/>
          <w:tblCellMar>
            <w:top w:w="0" w:type="dxa"/>
            <w:left w:w="108" w:type="dxa"/>
            <w:bottom w:w="0" w:type="dxa"/>
            <w:right w:w="108" w:type="dxa"/>
          </w:tblCellMar>
        </w:tblPrEx>
        <w:trPr>
          <w:gridAfter w:val="1"/>
          <w:wAfter w:w="14" w:type="dxa"/>
          <w:trHeight w:val="560" w:hRule="atLeast"/>
        </w:trPr>
        <w:tc>
          <w:tcPr>
            <w:tcW w:w="704" w:type="dxa"/>
            <w:tcBorders>
              <w:top w:val="single" w:color="auto" w:sz="4" w:space="0"/>
              <w:left w:val="single" w:color="auto" w:sz="4" w:space="0"/>
              <w:bottom w:val="single" w:color="auto" w:sz="4" w:space="0"/>
              <w:right w:val="single" w:color="auto" w:sz="4" w:space="0"/>
            </w:tcBorders>
            <w:noWrap/>
            <w:vAlign w:val="center"/>
          </w:tcPr>
          <w:p>
            <w:pPr>
              <w:widowControl/>
              <w:adjustRightInd w:val="0"/>
              <w:snapToGrid w:val="0"/>
              <w:jc w:val="center"/>
              <w:rPr>
                <w:rFonts w:eastAsia="等线"/>
                <w:color w:val="000000"/>
                <w:kern w:val="0"/>
                <w:sz w:val="22"/>
                <w:szCs w:val="22"/>
                <w:lang w:val="id-ID"/>
              </w:rPr>
            </w:pPr>
            <w:r>
              <w:rPr>
                <w:rFonts w:eastAsia="等线"/>
                <w:color w:val="000000"/>
                <w:kern w:val="0"/>
                <w:sz w:val="22"/>
                <w:szCs w:val="22"/>
                <w:lang w:val="id-ID"/>
              </w:rPr>
              <w:t>17</w:t>
            </w:r>
          </w:p>
        </w:tc>
        <w:tc>
          <w:tcPr>
            <w:tcW w:w="4960" w:type="dxa"/>
            <w:tcBorders>
              <w:top w:val="single" w:color="auto" w:sz="4" w:space="0"/>
              <w:left w:val="nil"/>
              <w:bottom w:val="single" w:color="auto" w:sz="4" w:space="0"/>
              <w:right w:val="single" w:color="auto" w:sz="4" w:space="0"/>
            </w:tcBorders>
            <w:noWrap w:val="0"/>
            <w:vAlign w:val="center"/>
          </w:tcPr>
          <w:p>
            <w:pPr>
              <w:widowControl/>
              <w:adjustRightInd w:val="0"/>
              <w:snapToGrid w:val="0"/>
              <w:jc w:val="left"/>
              <w:rPr>
                <w:rFonts w:eastAsia="等线"/>
                <w:color w:val="000000"/>
                <w:kern w:val="0"/>
                <w:sz w:val="22"/>
                <w:szCs w:val="22"/>
                <w:lang w:val="id-ID"/>
              </w:rPr>
            </w:pPr>
            <w:r>
              <w:rPr>
                <w:rFonts w:eastAsia="等线"/>
                <w:i/>
                <w:iCs/>
                <w:color w:val="000000"/>
                <w:kern w:val="0"/>
                <w:sz w:val="22"/>
                <w:szCs w:val="22"/>
                <w:lang w:val="id-ID"/>
              </w:rPr>
              <w:t>电子废弃物</w:t>
            </w:r>
            <w:r>
              <w:rPr>
                <w:rFonts w:eastAsia="等线"/>
                <w:color w:val="000000"/>
                <w:kern w:val="0"/>
                <w:sz w:val="22"/>
                <w:szCs w:val="22"/>
                <w:lang w:val="id-ID"/>
              </w:rPr>
              <w:t xml:space="preserve">Limbah elektronik </w:t>
            </w:r>
          </w:p>
        </w:tc>
        <w:tc>
          <w:tcPr>
            <w:tcW w:w="1444" w:type="dxa"/>
            <w:tcBorders>
              <w:top w:val="single" w:color="auto" w:sz="4" w:space="0"/>
              <w:left w:val="nil"/>
              <w:bottom w:val="single" w:color="auto" w:sz="4" w:space="0"/>
              <w:right w:val="single" w:color="auto" w:sz="4" w:space="0"/>
            </w:tcBorders>
            <w:noWrap w:val="0"/>
            <w:vAlign w:val="center"/>
          </w:tcPr>
          <w:p>
            <w:pPr>
              <w:widowControl/>
              <w:adjustRightInd w:val="0"/>
              <w:snapToGrid w:val="0"/>
              <w:jc w:val="center"/>
              <w:rPr>
                <w:rFonts w:eastAsia="等线"/>
                <w:color w:val="000000"/>
                <w:kern w:val="0"/>
                <w:sz w:val="22"/>
                <w:szCs w:val="22"/>
                <w:lang w:val="id-ID"/>
              </w:rPr>
            </w:pPr>
            <w:r>
              <w:rPr>
                <w:rFonts w:eastAsia="等线"/>
                <w:color w:val="000000"/>
                <w:kern w:val="0"/>
                <w:sz w:val="22"/>
                <w:szCs w:val="22"/>
                <w:lang w:val="id-ID"/>
              </w:rPr>
              <w:t>Semua area全区</w:t>
            </w:r>
          </w:p>
        </w:tc>
        <w:tc>
          <w:tcPr>
            <w:tcW w:w="1295" w:type="dxa"/>
            <w:tcBorders>
              <w:top w:val="single" w:color="auto" w:sz="4" w:space="0"/>
              <w:left w:val="nil"/>
              <w:bottom w:val="single" w:color="auto" w:sz="4" w:space="0"/>
              <w:right w:val="single" w:color="auto" w:sz="4" w:space="0"/>
            </w:tcBorders>
            <w:noWrap/>
            <w:vAlign w:val="center"/>
          </w:tcPr>
          <w:p>
            <w:pPr>
              <w:widowControl/>
              <w:adjustRightInd w:val="0"/>
              <w:snapToGrid w:val="0"/>
              <w:jc w:val="center"/>
              <w:rPr>
                <w:rFonts w:eastAsia="等线"/>
                <w:color w:val="000000"/>
                <w:kern w:val="0"/>
                <w:sz w:val="22"/>
                <w:szCs w:val="22"/>
                <w:lang w:val="id-ID"/>
              </w:rPr>
            </w:pPr>
            <w:r>
              <w:rPr>
                <w:rFonts w:eastAsia="等线"/>
                <w:color w:val="000000"/>
                <w:kern w:val="0"/>
                <w:sz w:val="22"/>
                <w:szCs w:val="22"/>
                <w:lang w:val="id-ID"/>
              </w:rPr>
              <w:t>B107d</w:t>
            </w:r>
          </w:p>
        </w:tc>
        <w:tc>
          <w:tcPr>
            <w:tcW w:w="1286" w:type="dxa"/>
            <w:tcBorders>
              <w:top w:val="single" w:color="auto" w:sz="4" w:space="0"/>
              <w:bottom w:val="single" w:color="auto" w:sz="4" w:space="0"/>
              <w:right w:val="single" w:color="auto" w:sz="4" w:space="0"/>
            </w:tcBorders>
            <w:noWrap w:val="0"/>
            <w:vAlign w:val="top"/>
          </w:tcPr>
          <w:p>
            <w:pPr>
              <w:widowControl/>
              <w:jc w:val="center"/>
              <w:rPr>
                <w:rFonts w:eastAsia="Times New Roman"/>
                <w:kern w:val="0"/>
                <w:sz w:val="22"/>
                <w:szCs w:val="22"/>
                <w:lang w:val="id-ID"/>
              </w:rPr>
            </w:pPr>
            <w:r>
              <w:rPr>
                <w:rFonts w:eastAsia="Times New Roman"/>
                <w:kern w:val="0"/>
                <w:sz w:val="22"/>
                <w:szCs w:val="22"/>
                <w:lang w:val="id-ID"/>
              </w:rPr>
              <w:t>200</w:t>
            </w:r>
          </w:p>
        </w:tc>
        <w:tc>
          <w:tcPr>
            <w:tcW w:w="1080" w:type="dxa"/>
            <w:tcBorders>
              <w:top w:val="single" w:color="auto" w:sz="4" w:space="0"/>
              <w:left w:val="single" w:color="auto" w:sz="4" w:space="0"/>
              <w:bottom w:val="single" w:color="auto" w:sz="4" w:space="0"/>
              <w:right w:val="single" w:color="auto" w:sz="4" w:space="0"/>
            </w:tcBorders>
            <w:noWrap w:val="0"/>
            <w:vAlign w:val="top"/>
          </w:tcPr>
          <w:p>
            <w:pPr>
              <w:widowControl/>
              <w:jc w:val="center"/>
              <w:rPr>
                <w:rFonts w:eastAsia="Times New Roman"/>
                <w:kern w:val="0"/>
                <w:sz w:val="22"/>
                <w:szCs w:val="22"/>
                <w:lang w:val="id-ID"/>
              </w:rPr>
            </w:pPr>
            <w:r>
              <w:rPr>
                <w:rFonts w:hint="eastAsia" w:ascii="等线" w:hAnsi="等线" w:eastAsia="等线" w:cs="等线"/>
                <w:sz w:val="22"/>
                <w:szCs w:val="22"/>
              </w:rPr>
              <w:t>公斤kg</w:t>
            </w:r>
          </w:p>
        </w:tc>
        <w:tc>
          <w:tcPr>
            <w:tcW w:w="236" w:type="dxa"/>
            <w:tcBorders>
              <w:left w:val="single" w:color="auto" w:sz="4" w:space="0"/>
            </w:tcBorders>
            <w:noWrap w:val="0"/>
            <w:vAlign w:val="center"/>
          </w:tcPr>
          <w:p>
            <w:pPr>
              <w:widowControl/>
              <w:jc w:val="left"/>
              <w:rPr>
                <w:rFonts w:eastAsia="Times New Roman"/>
                <w:kern w:val="0"/>
                <w:sz w:val="22"/>
                <w:szCs w:val="22"/>
                <w:lang w:val="id-ID"/>
              </w:rPr>
            </w:pPr>
          </w:p>
        </w:tc>
      </w:tr>
      <w:tr>
        <w:tblPrEx>
          <w:tblLayout w:type="fixed"/>
          <w:tblCellMar>
            <w:top w:w="0" w:type="dxa"/>
            <w:left w:w="108" w:type="dxa"/>
            <w:bottom w:w="0" w:type="dxa"/>
            <w:right w:w="108" w:type="dxa"/>
          </w:tblCellMar>
        </w:tblPrEx>
        <w:trPr>
          <w:gridAfter w:val="1"/>
          <w:wAfter w:w="14" w:type="dxa"/>
          <w:trHeight w:val="560" w:hRule="atLeast"/>
        </w:trPr>
        <w:tc>
          <w:tcPr>
            <w:tcW w:w="704" w:type="dxa"/>
            <w:tcBorders>
              <w:top w:val="single" w:color="auto" w:sz="4" w:space="0"/>
              <w:left w:val="single" w:color="auto" w:sz="4" w:space="0"/>
              <w:bottom w:val="single" w:color="auto" w:sz="4" w:space="0"/>
              <w:right w:val="single" w:color="auto" w:sz="4" w:space="0"/>
            </w:tcBorders>
            <w:noWrap/>
            <w:vAlign w:val="center"/>
          </w:tcPr>
          <w:p>
            <w:pPr>
              <w:widowControl/>
              <w:adjustRightInd w:val="0"/>
              <w:snapToGrid w:val="0"/>
              <w:jc w:val="center"/>
              <w:rPr>
                <w:rFonts w:eastAsia="等线"/>
                <w:color w:val="000000"/>
                <w:kern w:val="0"/>
                <w:sz w:val="22"/>
                <w:szCs w:val="22"/>
                <w:lang w:val="id-ID"/>
              </w:rPr>
            </w:pPr>
            <w:r>
              <w:rPr>
                <w:rFonts w:eastAsia="等线"/>
                <w:color w:val="000000"/>
                <w:kern w:val="0"/>
                <w:sz w:val="22"/>
                <w:szCs w:val="22"/>
                <w:lang w:val="id-ID"/>
              </w:rPr>
              <w:t>18</w:t>
            </w:r>
          </w:p>
        </w:tc>
        <w:tc>
          <w:tcPr>
            <w:tcW w:w="4960" w:type="dxa"/>
            <w:tcBorders>
              <w:top w:val="single" w:color="auto" w:sz="4" w:space="0"/>
              <w:left w:val="nil"/>
              <w:bottom w:val="single" w:color="auto" w:sz="4" w:space="0"/>
              <w:right w:val="single" w:color="auto" w:sz="4" w:space="0"/>
            </w:tcBorders>
            <w:noWrap w:val="0"/>
            <w:vAlign w:val="center"/>
          </w:tcPr>
          <w:p>
            <w:pPr>
              <w:widowControl/>
              <w:adjustRightInd w:val="0"/>
              <w:snapToGrid w:val="0"/>
              <w:jc w:val="left"/>
              <w:rPr>
                <w:rFonts w:eastAsia="等线"/>
                <w:color w:val="000000"/>
                <w:kern w:val="0"/>
                <w:sz w:val="22"/>
                <w:szCs w:val="22"/>
                <w:lang w:val="id-ID"/>
              </w:rPr>
            </w:pPr>
            <w:r>
              <w:rPr>
                <w:rFonts w:eastAsia="等线"/>
                <w:i/>
                <w:iCs/>
                <w:color w:val="000000"/>
                <w:kern w:val="0"/>
                <w:sz w:val="22"/>
                <w:szCs w:val="22"/>
                <w:lang w:val="id-ID"/>
              </w:rPr>
              <w:t>被有毒和有害物质污染的废物</w:t>
            </w:r>
            <w:r>
              <w:rPr>
                <w:rFonts w:eastAsia="等线"/>
                <w:color w:val="000000"/>
                <w:kern w:val="0"/>
                <w:sz w:val="22"/>
                <w:szCs w:val="22"/>
                <w:lang w:val="id-ID"/>
              </w:rPr>
              <w:t xml:space="preserve">Limbah B3 terkontaminasi  </w:t>
            </w:r>
          </w:p>
        </w:tc>
        <w:tc>
          <w:tcPr>
            <w:tcW w:w="1444" w:type="dxa"/>
            <w:tcBorders>
              <w:top w:val="single" w:color="auto" w:sz="4" w:space="0"/>
              <w:left w:val="nil"/>
              <w:bottom w:val="single" w:color="auto" w:sz="4" w:space="0"/>
              <w:right w:val="single" w:color="auto" w:sz="4" w:space="0"/>
            </w:tcBorders>
            <w:noWrap w:val="0"/>
            <w:vAlign w:val="center"/>
          </w:tcPr>
          <w:p>
            <w:pPr>
              <w:widowControl/>
              <w:adjustRightInd w:val="0"/>
              <w:snapToGrid w:val="0"/>
              <w:jc w:val="center"/>
              <w:rPr>
                <w:rFonts w:eastAsia="等线"/>
                <w:color w:val="000000"/>
                <w:kern w:val="0"/>
                <w:sz w:val="22"/>
                <w:szCs w:val="22"/>
                <w:lang w:val="id-ID"/>
              </w:rPr>
            </w:pPr>
            <w:r>
              <w:rPr>
                <w:rFonts w:eastAsia="等线"/>
                <w:color w:val="000000"/>
                <w:kern w:val="0"/>
                <w:sz w:val="22"/>
                <w:szCs w:val="22"/>
                <w:lang w:val="id-ID"/>
              </w:rPr>
              <w:t>Semua area全区</w:t>
            </w:r>
          </w:p>
        </w:tc>
        <w:tc>
          <w:tcPr>
            <w:tcW w:w="1295" w:type="dxa"/>
            <w:tcBorders>
              <w:top w:val="single" w:color="auto" w:sz="4" w:space="0"/>
              <w:left w:val="nil"/>
              <w:bottom w:val="single" w:color="auto" w:sz="4" w:space="0"/>
              <w:right w:val="single" w:color="auto" w:sz="4" w:space="0"/>
            </w:tcBorders>
            <w:noWrap/>
            <w:vAlign w:val="center"/>
          </w:tcPr>
          <w:p>
            <w:pPr>
              <w:widowControl/>
              <w:adjustRightInd w:val="0"/>
              <w:snapToGrid w:val="0"/>
              <w:jc w:val="center"/>
              <w:rPr>
                <w:rFonts w:eastAsia="等线"/>
                <w:color w:val="000000"/>
                <w:kern w:val="0"/>
                <w:sz w:val="22"/>
                <w:szCs w:val="22"/>
                <w:lang w:val="id-ID"/>
              </w:rPr>
            </w:pPr>
            <w:r>
              <w:rPr>
                <w:rFonts w:eastAsia="等线"/>
                <w:color w:val="000000"/>
                <w:kern w:val="0"/>
                <w:sz w:val="22"/>
                <w:szCs w:val="22"/>
                <w:lang w:val="id-ID"/>
              </w:rPr>
              <w:t>A108d</w:t>
            </w:r>
          </w:p>
        </w:tc>
        <w:tc>
          <w:tcPr>
            <w:tcW w:w="1286" w:type="dxa"/>
            <w:tcBorders>
              <w:top w:val="single" w:color="auto" w:sz="4" w:space="0"/>
              <w:bottom w:val="single" w:color="auto" w:sz="4" w:space="0"/>
              <w:right w:val="single" w:color="auto" w:sz="4" w:space="0"/>
            </w:tcBorders>
            <w:noWrap w:val="0"/>
            <w:vAlign w:val="top"/>
          </w:tcPr>
          <w:p>
            <w:pPr>
              <w:widowControl/>
              <w:jc w:val="center"/>
              <w:rPr>
                <w:rFonts w:eastAsia="Times New Roman"/>
                <w:kern w:val="0"/>
                <w:sz w:val="22"/>
                <w:szCs w:val="22"/>
                <w:lang w:val="id-ID"/>
              </w:rPr>
            </w:pPr>
            <w:r>
              <w:rPr>
                <w:rFonts w:eastAsia="Times New Roman"/>
                <w:kern w:val="0"/>
                <w:sz w:val="22"/>
                <w:szCs w:val="22"/>
                <w:lang w:val="id-ID"/>
              </w:rPr>
              <w:t>5120</w:t>
            </w:r>
          </w:p>
        </w:tc>
        <w:tc>
          <w:tcPr>
            <w:tcW w:w="1080" w:type="dxa"/>
            <w:tcBorders>
              <w:top w:val="single" w:color="auto" w:sz="4" w:space="0"/>
              <w:left w:val="single" w:color="auto" w:sz="4" w:space="0"/>
              <w:bottom w:val="single" w:color="auto" w:sz="4" w:space="0"/>
              <w:right w:val="single" w:color="auto" w:sz="4" w:space="0"/>
            </w:tcBorders>
            <w:noWrap w:val="0"/>
            <w:vAlign w:val="top"/>
          </w:tcPr>
          <w:p>
            <w:pPr>
              <w:widowControl/>
              <w:jc w:val="center"/>
              <w:rPr>
                <w:rFonts w:eastAsia="Times New Roman"/>
                <w:kern w:val="0"/>
                <w:sz w:val="22"/>
                <w:szCs w:val="22"/>
                <w:lang w:val="id-ID"/>
              </w:rPr>
            </w:pPr>
            <w:r>
              <w:rPr>
                <w:rFonts w:hint="eastAsia" w:ascii="等线" w:hAnsi="等线" w:eastAsia="等线" w:cs="等线"/>
                <w:sz w:val="22"/>
                <w:szCs w:val="22"/>
              </w:rPr>
              <w:t>公斤kg</w:t>
            </w:r>
          </w:p>
        </w:tc>
        <w:tc>
          <w:tcPr>
            <w:tcW w:w="236" w:type="dxa"/>
            <w:tcBorders>
              <w:left w:val="single" w:color="auto" w:sz="4" w:space="0"/>
            </w:tcBorders>
            <w:noWrap w:val="0"/>
            <w:vAlign w:val="center"/>
          </w:tcPr>
          <w:p>
            <w:pPr>
              <w:widowControl/>
              <w:jc w:val="left"/>
              <w:rPr>
                <w:rFonts w:eastAsia="Times New Roman"/>
                <w:kern w:val="0"/>
                <w:sz w:val="22"/>
                <w:szCs w:val="22"/>
                <w:lang w:val="id-ID"/>
              </w:rPr>
            </w:pPr>
          </w:p>
        </w:tc>
      </w:tr>
      <w:tr>
        <w:tblPrEx>
          <w:tblLayout w:type="fixed"/>
          <w:tblCellMar>
            <w:top w:w="0" w:type="dxa"/>
            <w:left w:w="108" w:type="dxa"/>
            <w:bottom w:w="0" w:type="dxa"/>
            <w:right w:w="108" w:type="dxa"/>
          </w:tblCellMar>
        </w:tblPrEx>
        <w:trPr>
          <w:trHeight w:val="560" w:hRule="atLeast"/>
        </w:trPr>
        <w:tc>
          <w:tcPr>
            <w:tcW w:w="704" w:type="dxa"/>
            <w:tcBorders>
              <w:top w:val="single" w:color="auto" w:sz="4" w:space="0"/>
              <w:left w:val="single" w:color="auto" w:sz="4" w:space="0"/>
              <w:bottom w:val="single" w:color="auto" w:sz="4" w:space="0"/>
              <w:right w:val="single" w:color="auto" w:sz="4" w:space="0"/>
            </w:tcBorders>
            <w:noWrap/>
            <w:vAlign w:val="center"/>
          </w:tcPr>
          <w:p>
            <w:pPr>
              <w:widowControl/>
              <w:adjustRightInd w:val="0"/>
              <w:snapToGrid w:val="0"/>
              <w:jc w:val="center"/>
              <w:rPr>
                <w:rFonts w:eastAsia="等线"/>
                <w:color w:val="000000"/>
                <w:kern w:val="0"/>
                <w:sz w:val="22"/>
                <w:szCs w:val="22"/>
                <w:lang w:val="id-ID"/>
              </w:rPr>
            </w:pPr>
            <w:r>
              <w:rPr>
                <w:rFonts w:eastAsia="等线"/>
                <w:color w:val="000000"/>
                <w:kern w:val="0"/>
                <w:sz w:val="22"/>
                <w:szCs w:val="22"/>
                <w:lang w:val="id-ID"/>
              </w:rPr>
              <w:t>19</w:t>
            </w:r>
          </w:p>
        </w:tc>
        <w:tc>
          <w:tcPr>
            <w:tcW w:w="4960"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left"/>
              <w:rPr>
                <w:rFonts w:eastAsia="等线"/>
                <w:color w:val="000000"/>
                <w:kern w:val="0"/>
                <w:sz w:val="22"/>
                <w:szCs w:val="22"/>
                <w:lang w:val="id-ID"/>
              </w:rPr>
            </w:pPr>
            <w:r>
              <w:rPr>
                <w:rFonts w:eastAsia="等线"/>
                <w:i/>
                <w:iCs/>
                <w:color w:val="000000"/>
                <w:kern w:val="0"/>
                <w:sz w:val="22"/>
                <w:szCs w:val="22"/>
                <w:lang w:val="id-ID"/>
              </w:rPr>
              <w:t>二手荧光灯</w:t>
            </w:r>
            <w:r>
              <w:rPr>
                <w:rFonts w:eastAsia="等线"/>
                <w:color w:val="000000"/>
                <w:kern w:val="0"/>
                <w:sz w:val="22"/>
                <w:szCs w:val="22"/>
                <w:lang w:val="id-ID"/>
              </w:rPr>
              <w:t xml:space="preserve">Lampu TL Bekas </w:t>
            </w:r>
          </w:p>
        </w:tc>
        <w:tc>
          <w:tcPr>
            <w:tcW w:w="144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eastAsia="等线"/>
                <w:color w:val="000000"/>
                <w:kern w:val="0"/>
                <w:sz w:val="22"/>
                <w:szCs w:val="22"/>
                <w:lang w:val="id-ID"/>
              </w:rPr>
            </w:pPr>
            <w:r>
              <w:rPr>
                <w:rFonts w:eastAsia="等线"/>
                <w:color w:val="000000"/>
                <w:kern w:val="0"/>
                <w:sz w:val="22"/>
                <w:szCs w:val="22"/>
                <w:lang w:val="id-ID"/>
              </w:rPr>
              <w:t>Semua area全区</w:t>
            </w:r>
          </w:p>
        </w:tc>
        <w:tc>
          <w:tcPr>
            <w:tcW w:w="1295" w:type="dxa"/>
            <w:tcBorders>
              <w:top w:val="single" w:color="auto" w:sz="4" w:space="0"/>
              <w:left w:val="single" w:color="auto" w:sz="4" w:space="0"/>
              <w:bottom w:val="single" w:color="auto" w:sz="4" w:space="0"/>
              <w:right w:val="single" w:color="auto" w:sz="4" w:space="0"/>
            </w:tcBorders>
            <w:noWrap/>
            <w:vAlign w:val="center"/>
          </w:tcPr>
          <w:p>
            <w:pPr>
              <w:widowControl/>
              <w:adjustRightInd w:val="0"/>
              <w:snapToGrid w:val="0"/>
              <w:jc w:val="center"/>
              <w:rPr>
                <w:rFonts w:eastAsia="等线"/>
                <w:color w:val="000000"/>
                <w:kern w:val="0"/>
                <w:sz w:val="22"/>
                <w:szCs w:val="22"/>
                <w:lang w:val="id-ID"/>
              </w:rPr>
            </w:pPr>
            <w:r>
              <w:rPr>
                <w:rFonts w:eastAsia="等线"/>
                <w:color w:val="000000"/>
                <w:kern w:val="0"/>
                <w:sz w:val="22"/>
                <w:szCs w:val="22"/>
                <w:lang w:val="id-ID"/>
              </w:rPr>
              <w:t>B107d</w:t>
            </w:r>
          </w:p>
        </w:tc>
        <w:tc>
          <w:tcPr>
            <w:tcW w:w="1286" w:type="dxa"/>
            <w:tcBorders>
              <w:top w:val="single" w:color="auto" w:sz="4" w:space="0"/>
              <w:left w:val="single" w:color="auto" w:sz="4" w:space="0"/>
              <w:bottom w:val="single" w:color="auto" w:sz="4" w:space="0"/>
              <w:right w:val="single" w:color="auto" w:sz="4" w:space="0"/>
            </w:tcBorders>
            <w:noWrap w:val="0"/>
            <w:vAlign w:val="top"/>
          </w:tcPr>
          <w:p>
            <w:pPr>
              <w:widowControl/>
              <w:jc w:val="center"/>
              <w:rPr>
                <w:rFonts w:eastAsia="Times New Roman"/>
                <w:kern w:val="0"/>
                <w:sz w:val="22"/>
                <w:szCs w:val="22"/>
                <w:lang w:val="id-ID"/>
              </w:rPr>
            </w:pPr>
            <w:r>
              <w:rPr>
                <w:rFonts w:eastAsia="Times New Roman"/>
                <w:kern w:val="0"/>
                <w:sz w:val="22"/>
                <w:szCs w:val="22"/>
                <w:lang w:val="id-ID"/>
              </w:rPr>
              <w:t>5</w:t>
            </w:r>
          </w:p>
        </w:tc>
        <w:tc>
          <w:tcPr>
            <w:tcW w:w="1080" w:type="dxa"/>
            <w:tcBorders>
              <w:top w:val="single" w:color="auto" w:sz="4" w:space="0"/>
              <w:left w:val="single" w:color="auto" w:sz="4" w:space="0"/>
              <w:bottom w:val="single" w:color="auto" w:sz="4" w:space="0"/>
              <w:right w:val="single" w:color="auto" w:sz="4" w:space="0"/>
            </w:tcBorders>
            <w:noWrap w:val="0"/>
            <w:vAlign w:val="top"/>
          </w:tcPr>
          <w:p>
            <w:pPr>
              <w:widowControl/>
              <w:jc w:val="center"/>
              <w:rPr>
                <w:rFonts w:eastAsia="Times New Roman"/>
                <w:kern w:val="0"/>
                <w:sz w:val="22"/>
                <w:szCs w:val="22"/>
                <w:lang w:val="id-ID"/>
              </w:rPr>
            </w:pPr>
            <w:r>
              <w:rPr>
                <w:rFonts w:hint="eastAsia" w:ascii="等线" w:hAnsi="等线" w:eastAsia="等线" w:cs="等线"/>
                <w:sz w:val="22"/>
                <w:szCs w:val="22"/>
              </w:rPr>
              <w:t>公斤kg</w:t>
            </w:r>
          </w:p>
        </w:tc>
        <w:tc>
          <w:tcPr>
            <w:tcW w:w="250" w:type="dxa"/>
            <w:gridSpan w:val="2"/>
            <w:tcBorders>
              <w:left w:val="single" w:color="auto" w:sz="4" w:space="0"/>
            </w:tcBorders>
            <w:noWrap w:val="0"/>
            <w:vAlign w:val="center"/>
          </w:tcPr>
          <w:p>
            <w:pPr>
              <w:widowControl/>
              <w:jc w:val="left"/>
              <w:rPr>
                <w:rFonts w:eastAsia="Times New Roman"/>
                <w:kern w:val="0"/>
                <w:sz w:val="22"/>
                <w:szCs w:val="22"/>
                <w:lang w:val="id-ID"/>
              </w:rPr>
            </w:pPr>
          </w:p>
        </w:tc>
      </w:tr>
      <w:tr>
        <w:tblPrEx>
          <w:tblLayout w:type="fixed"/>
          <w:tblCellMar>
            <w:top w:w="0" w:type="dxa"/>
            <w:left w:w="108" w:type="dxa"/>
            <w:bottom w:w="0" w:type="dxa"/>
            <w:right w:w="108" w:type="dxa"/>
          </w:tblCellMar>
        </w:tblPrEx>
        <w:trPr>
          <w:trHeight w:val="560" w:hRule="atLeast"/>
        </w:trPr>
        <w:tc>
          <w:tcPr>
            <w:tcW w:w="704" w:type="dxa"/>
            <w:tcBorders>
              <w:top w:val="single" w:color="auto" w:sz="4" w:space="0"/>
              <w:left w:val="single" w:color="auto" w:sz="4" w:space="0"/>
              <w:bottom w:val="single" w:color="auto" w:sz="4" w:space="0"/>
              <w:right w:val="single" w:color="auto" w:sz="4" w:space="0"/>
            </w:tcBorders>
            <w:noWrap/>
            <w:vAlign w:val="center"/>
          </w:tcPr>
          <w:p>
            <w:pPr>
              <w:widowControl/>
              <w:adjustRightInd w:val="0"/>
              <w:snapToGrid w:val="0"/>
              <w:jc w:val="center"/>
              <w:rPr>
                <w:rFonts w:eastAsia="等线"/>
                <w:color w:val="000000"/>
                <w:kern w:val="0"/>
                <w:sz w:val="22"/>
                <w:szCs w:val="22"/>
                <w:lang w:val="id-ID"/>
              </w:rPr>
            </w:pPr>
            <w:r>
              <w:rPr>
                <w:rFonts w:eastAsia="等线"/>
                <w:color w:val="000000"/>
                <w:kern w:val="0"/>
                <w:sz w:val="22"/>
                <w:szCs w:val="22"/>
                <w:lang w:val="id-ID"/>
              </w:rPr>
              <w:t>20</w:t>
            </w:r>
          </w:p>
        </w:tc>
        <w:tc>
          <w:tcPr>
            <w:tcW w:w="4960"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left"/>
              <w:rPr>
                <w:rFonts w:eastAsia="等线"/>
                <w:color w:val="000000"/>
                <w:kern w:val="0"/>
                <w:sz w:val="22"/>
                <w:szCs w:val="22"/>
                <w:u w:val="single"/>
                <w:lang w:val="id-ID"/>
              </w:rPr>
            </w:pPr>
            <w:r>
              <w:rPr>
                <w:rFonts w:hint="eastAsia" w:eastAsia="等线"/>
                <w:i/>
                <w:iCs/>
                <w:color w:val="000000"/>
                <w:kern w:val="0"/>
                <w:sz w:val="22"/>
                <w:szCs w:val="22"/>
                <w:lang w:val="id-ID"/>
              </w:rPr>
              <w:t>受污染的实验室设备</w:t>
            </w:r>
            <w:r>
              <w:rPr>
                <w:rFonts w:eastAsia="等线"/>
                <w:i/>
                <w:iCs/>
                <w:color w:val="000000"/>
                <w:kern w:val="0"/>
                <w:sz w:val="22"/>
                <w:szCs w:val="22"/>
                <w:lang w:val="id-ID"/>
              </w:rPr>
              <w:t xml:space="preserve"> </w:t>
            </w:r>
            <w:r>
              <w:rPr>
                <w:rFonts w:eastAsia="等线"/>
                <w:color w:val="000000"/>
                <w:kern w:val="0"/>
                <w:sz w:val="22"/>
                <w:szCs w:val="22"/>
                <w:lang w:val="id-ID"/>
              </w:rPr>
              <w:t>Peralatan Laboratorium Terkontaminasi</w:t>
            </w:r>
          </w:p>
        </w:tc>
        <w:tc>
          <w:tcPr>
            <w:tcW w:w="144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eastAsia="等线"/>
                <w:color w:val="000000"/>
                <w:kern w:val="0"/>
                <w:sz w:val="22"/>
                <w:szCs w:val="22"/>
                <w:lang w:val="id-ID"/>
              </w:rPr>
            </w:pPr>
            <w:r>
              <w:rPr>
                <w:rFonts w:eastAsia="等线"/>
                <w:color w:val="000000"/>
                <w:kern w:val="0"/>
                <w:sz w:val="22"/>
                <w:szCs w:val="22"/>
                <w:lang w:val="id-ID"/>
              </w:rPr>
              <w:t>Maintenance维护</w:t>
            </w:r>
          </w:p>
        </w:tc>
        <w:tc>
          <w:tcPr>
            <w:tcW w:w="1295" w:type="dxa"/>
            <w:tcBorders>
              <w:top w:val="single" w:color="auto" w:sz="4" w:space="0"/>
              <w:left w:val="single" w:color="auto" w:sz="4" w:space="0"/>
              <w:bottom w:val="single" w:color="auto" w:sz="4" w:space="0"/>
              <w:right w:val="single" w:color="auto" w:sz="4" w:space="0"/>
            </w:tcBorders>
            <w:noWrap/>
            <w:vAlign w:val="center"/>
          </w:tcPr>
          <w:p>
            <w:pPr>
              <w:widowControl/>
              <w:adjustRightInd w:val="0"/>
              <w:snapToGrid w:val="0"/>
              <w:jc w:val="center"/>
              <w:rPr>
                <w:rFonts w:eastAsia="等线"/>
                <w:color w:val="000000"/>
                <w:kern w:val="0"/>
                <w:sz w:val="22"/>
                <w:szCs w:val="22"/>
                <w:lang w:val="id-ID"/>
              </w:rPr>
            </w:pPr>
            <w:r>
              <w:rPr>
                <w:rFonts w:eastAsia="等线"/>
                <w:color w:val="000000"/>
                <w:kern w:val="0"/>
                <w:sz w:val="22"/>
                <w:szCs w:val="22"/>
                <w:lang w:val="id-ID"/>
              </w:rPr>
              <w:t>A337-4</w:t>
            </w:r>
          </w:p>
        </w:tc>
        <w:tc>
          <w:tcPr>
            <w:tcW w:w="1286" w:type="dxa"/>
            <w:tcBorders>
              <w:top w:val="single" w:color="auto" w:sz="4" w:space="0"/>
              <w:left w:val="single" w:color="auto" w:sz="4" w:space="0"/>
              <w:bottom w:val="single" w:color="auto" w:sz="4" w:space="0"/>
              <w:right w:val="single" w:color="auto" w:sz="4" w:space="0"/>
            </w:tcBorders>
            <w:noWrap w:val="0"/>
            <w:vAlign w:val="top"/>
          </w:tcPr>
          <w:p>
            <w:pPr>
              <w:widowControl/>
              <w:jc w:val="center"/>
              <w:rPr>
                <w:rFonts w:eastAsia="Times New Roman"/>
                <w:kern w:val="0"/>
                <w:sz w:val="22"/>
                <w:szCs w:val="22"/>
                <w:lang w:val="id-ID"/>
              </w:rPr>
            </w:pPr>
            <w:r>
              <w:rPr>
                <w:rFonts w:eastAsia="Times New Roman"/>
                <w:kern w:val="0"/>
                <w:sz w:val="22"/>
                <w:szCs w:val="22"/>
                <w:lang w:val="id-ID"/>
              </w:rPr>
              <w:t>10</w:t>
            </w:r>
          </w:p>
        </w:tc>
        <w:tc>
          <w:tcPr>
            <w:tcW w:w="1080" w:type="dxa"/>
            <w:tcBorders>
              <w:top w:val="single" w:color="auto" w:sz="4" w:space="0"/>
              <w:left w:val="single" w:color="auto" w:sz="4" w:space="0"/>
              <w:bottom w:val="single" w:color="auto" w:sz="4" w:space="0"/>
              <w:right w:val="single" w:color="auto" w:sz="4" w:space="0"/>
            </w:tcBorders>
            <w:noWrap w:val="0"/>
            <w:vAlign w:val="top"/>
          </w:tcPr>
          <w:p>
            <w:pPr>
              <w:widowControl/>
              <w:jc w:val="center"/>
              <w:rPr>
                <w:rFonts w:hint="eastAsia" w:ascii="等线" w:hAnsi="等线" w:eastAsia="等线" w:cs="等线"/>
                <w:sz w:val="22"/>
                <w:szCs w:val="22"/>
              </w:rPr>
            </w:pPr>
            <w:r>
              <w:rPr>
                <w:rFonts w:hint="eastAsia" w:ascii="等线" w:hAnsi="等线" w:eastAsia="等线" w:cs="等线"/>
                <w:sz w:val="22"/>
                <w:szCs w:val="22"/>
              </w:rPr>
              <w:t>公斤kg</w:t>
            </w:r>
          </w:p>
        </w:tc>
        <w:tc>
          <w:tcPr>
            <w:tcW w:w="250" w:type="dxa"/>
            <w:gridSpan w:val="2"/>
            <w:tcBorders>
              <w:left w:val="single" w:color="auto" w:sz="4" w:space="0"/>
            </w:tcBorders>
            <w:noWrap w:val="0"/>
            <w:vAlign w:val="center"/>
          </w:tcPr>
          <w:p>
            <w:pPr>
              <w:widowControl/>
              <w:jc w:val="left"/>
              <w:rPr>
                <w:rFonts w:eastAsia="Times New Roman"/>
                <w:kern w:val="0"/>
                <w:sz w:val="22"/>
                <w:szCs w:val="22"/>
                <w:lang w:val="id-ID"/>
              </w:rPr>
            </w:pPr>
          </w:p>
        </w:tc>
      </w:tr>
    </w:tbl>
    <w:p>
      <w:pPr>
        <w:pStyle w:val="15"/>
        <w:adjustRightInd w:val="0"/>
        <w:snapToGrid w:val="0"/>
        <w:spacing w:before="0" w:beforeAutospacing="0" w:after="0" w:afterAutospacing="0"/>
        <w:jc w:val="center"/>
        <w:rPr>
          <w:b/>
          <w:bCs/>
        </w:rPr>
      </w:pPr>
      <w:r>
        <w:rPr>
          <w:rFonts w:hint="eastAsia" w:ascii="宋体" w:hAnsi="宋体" w:eastAsia="宋体" w:cs="宋体"/>
          <w:b/>
          <w:bCs/>
        </w:rPr>
        <w:t>表</w:t>
      </w:r>
      <w:r>
        <w:rPr>
          <w:rFonts w:hint="eastAsia"/>
          <w:b/>
          <w:bCs/>
        </w:rPr>
        <w:t>1</w:t>
      </w:r>
      <w:r>
        <w:rPr>
          <w:rFonts w:hint="eastAsia" w:ascii="宋体" w:hAnsi="宋体" w:eastAsia="宋体" w:cs="宋体"/>
          <w:b/>
          <w:bCs/>
        </w:rPr>
        <w:t>：公司产生废弃物清单</w:t>
      </w:r>
    </w:p>
    <w:p>
      <w:pPr>
        <w:pStyle w:val="15"/>
        <w:adjustRightInd w:val="0"/>
        <w:snapToGrid w:val="0"/>
        <w:spacing w:before="0" w:beforeAutospacing="0" w:after="0" w:afterAutospacing="0"/>
        <w:jc w:val="center"/>
        <w:rPr>
          <w:b/>
          <w:bCs/>
        </w:rPr>
      </w:pPr>
      <w:r>
        <w:rPr>
          <w:b/>
          <w:bCs/>
        </w:rPr>
        <w:t>Tabel 1 : Daftar limbah yang dihasilkan Perusahaan</w:t>
      </w:r>
    </w:p>
    <w:p>
      <w:pPr>
        <w:pStyle w:val="15"/>
        <w:spacing w:before="0" w:beforeAutospacing="0" w:after="0" w:afterAutospacing="0"/>
        <w:jc w:val="both"/>
        <w:rPr>
          <w:b/>
          <w:bCs/>
        </w:rPr>
      </w:pPr>
      <w:r>
        <w:rPr>
          <w:rFonts w:eastAsia="宋体"/>
          <w:b/>
          <w:bCs/>
        </w:rPr>
        <w:t>评论</w:t>
      </w:r>
      <w:r>
        <w:rPr>
          <w:b/>
          <w:bCs/>
        </w:rPr>
        <w:t>Catatan: remark</w:t>
      </w:r>
    </w:p>
    <w:p>
      <w:pPr>
        <w:pStyle w:val="15"/>
        <w:numPr>
          <w:ilvl w:val="0"/>
          <w:numId w:val="9"/>
        </w:numPr>
        <w:tabs>
          <w:tab w:val="clear" w:pos="720"/>
        </w:tabs>
        <w:spacing w:before="0" w:beforeAutospacing="0" w:after="0" w:afterAutospacing="0"/>
        <w:ind w:left="284" w:hanging="284"/>
        <w:jc w:val="both"/>
      </w:pPr>
      <w:r>
        <w:rPr>
          <w:rFonts w:eastAsia="宋体"/>
          <w:lang w:val="en-US"/>
        </w:rPr>
        <w:t>危险和有毒废物的代码可能会根据适用的法规有所不同。</w:t>
      </w:r>
      <w:r>
        <w:t>Kode limbah B3 dapat bervariasi sesuai dengan regulasi yang berlaku.</w:t>
      </w:r>
    </w:p>
    <w:p>
      <w:pPr>
        <w:pStyle w:val="15"/>
        <w:numPr>
          <w:ilvl w:val="0"/>
          <w:numId w:val="9"/>
        </w:numPr>
        <w:tabs>
          <w:tab w:val="clear" w:pos="720"/>
        </w:tabs>
        <w:spacing w:before="0" w:beforeAutospacing="0" w:after="0" w:afterAutospacing="0"/>
        <w:ind w:left="284" w:hanging="284"/>
        <w:jc w:val="both"/>
      </w:pPr>
      <w:r>
        <w:rPr>
          <w:rFonts w:eastAsia="宋体"/>
          <w:lang w:val="en-US"/>
        </w:rPr>
        <w:t>该废物清单包括产生的废物，可以根据未来的项目活动进行调整。产生的废物将根据项目活动进行调整，并继续遵守现行法律法规。</w:t>
      </w:r>
      <w:r>
        <w:t xml:space="preserve">Daftar limbah ini mencakup limbah yang dihasilkan dan dapat disesuaikan untuk kegiatan proyek di masa mendatang. Limbah yang dihasilkan akan disesuaikan dengan kegiatan proyek dan akan terus mematuhi hukum dan peraturan yang ada. </w:t>
      </w:r>
    </w:p>
    <w:p>
      <w:pPr>
        <w:pStyle w:val="15"/>
        <w:numPr>
          <w:ilvl w:val="0"/>
          <w:numId w:val="9"/>
        </w:numPr>
        <w:tabs>
          <w:tab w:val="clear" w:pos="720"/>
        </w:tabs>
        <w:spacing w:before="0" w:beforeAutospacing="0" w:after="0" w:afterAutospacing="0"/>
        <w:ind w:left="284" w:hanging="284"/>
        <w:jc w:val="both"/>
      </w:pPr>
      <w:r>
        <w:rPr>
          <w:rFonts w:eastAsia="宋体"/>
          <w:lang w:val="en-US"/>
        </w:rPr>
        <w:t>确保每种废物都按照政府法规进行管理非常重要，包括危险和有毒废物（</w:t>
      </w:r>
      <w:r>
        <w:rPr>
          <w:lang w:val="en-US"/>
        </w:rPr>
        <w:t>LB3</w:t>
      </w:r>
      <w:r>
        <w:rPr>
          <w:rFonts w:eastAsia="宋体"/>
          <w:lang w:val="en-US"/>
        </w:rPr>
        <w:t>）的管理（处理、利用和收集）和运输。</w:t>
      </w:r>
      <w:r>
        <w:t>Penting untuk memastikan bahwa setiap limbah dikelola sesuai dengan peraturan pemerintah, termasuk pengelolaan (pengolahan, pemanfaatan, penimbunan) dan pengangkutan limbah bahan berbahaya dan beracun (LB3).</w:t>
      </w:r>
    </w:p>
    <w:p>
      <w:pPr>
        <w:pStyle w:val="4"/>
        <w:numPr>
          <w:ilvl w:val="0"/>
          <w:numId w:val="4"/>
        </w:numPr>
        <w:spacing w:before="0" w:after="0" w:line="240" w:lineRule="auto"/>
        <w:rPr>
          <w:rFonts w:ascii="Times New Roman"/>
          <w:color w:val="auto"/>
          <w:sz w:val="24"/>
          <w:szCs w:val="24"/>
        </w:rPr>
      </w:pPr>
      <w:bookmarkStart w:id="16" w:name="_现场工作服务具体内容要求Persyaratan_Konten_Khus"/>
      <w:bookmarkEnd w:id="16"/>
      <w:bookmarkStart w:id="17" w:name="_Toc29782"/>
      <w:r>
        <w:rPr>
          <w:rFonts w:ascii="Times New Roman"/>
          <w:color w:val="auto"/>
          <w:sz w:val="24"/>
          <w:szCs w:val="24"/>
        </w:rPr>
        <w:t>现场工作服务具体内容要求Persyaratan Konten Khusus Untuk Layanan Pekerjaan Di Lokasi</w:t>
      </w:r>
    </w:p>
    <w:p>
      <w:pPr>
        <w:tabs>
          <w:tab w:val="left" w:pos="426"/>
        </w:tabs>
        <w:rPr>
          <w:spacing w:val="4"/>
          <w:kern w:val="0"/>
          <w:sz w:val="24"/>
          <w:szCs w:val="24"/>
        </w:rPr>
      </w:pPr>
      <w:r>
        <w:rPr>
          <w:spacing w:val="4"/>
          <w:kern w:val="0"/>
          <w:sz w:val="24"/>
          <w:szCs w:val="24"/>
        </w:rPr>
        <w:t>6.1</w:t>
      </w:r>
      <w:r>
        <w:rPr>
          <w:spacing w:val="4"/>
          <w:kern w:val="0"/>
          <w:sz w:val="24"/>
          <w:szCs w:val="24"/>
        </w:rPr>
        <w:tab/>
      </w:r>
      <w:r>
        <w:rPr>
          <w:spacing w:val="4"/>
          <w:kern w:val="0"/>
          <w:sz w:val="24"/>
          <w:szCs w:val="24"/>
        </w:rPr>
        <w:t xml:space="preserve">人员资质Kualifikasi Personil </w:t>
      </w:r>
    </w:p>
    <w:p>
      <w:pPr>
        <w:tabs>
          <w:tab w:val="left" w:pos="1134"/>
        </w:tabs>
        <w:ind w:left="1134" w:hanging="708"/>
        <w:rPr>
          <w:spacing w:val="4"/>
          <w:kern w:val="0"/>
          <w:sz w:val="24"/>
          <w:szCs w:val="24"/>
        </w:rPr>
      </w:pPr>
      <w:r>
        <w:rPr>
          <w:spacing w:val="4"/>
          <w:kern w:val="0"/>
          <w:sz w:val="24"/>
          <w:szCs w:val="24"/>
        </w:rPr>
        <w:t xml:space="preserve">6.1.1 </w:t>
      </w:r>
      <w:r>
        <w:rPr>
          <w:spacing w:val="4"/>
          <w:kern w:val="0"/>
          <w:sz w:val="24"/>
          <w:szCs w:val="24"/>
        </w:rPr>
        <w:tab/>
      </w:r>
      <w:r>
        <w:rPr>
          <w:spacing w:val="4"/>
          <w:kern w:val="0"/>
          <w:sz w:val="24"/>
          <w:szCs w:val="24"/>
        </w:rPr>
        <w:t>人员必须具备危险废物管理的专业培训和认证（危险废物管理负责人和危险废物管理操作员），以及危险废物运输驾驶员的认证。Personel harus memiliki sertifikasi dan pelatihan khusus dalam pengelolaan  Limbah Bahan Berbahaya dan Beracun (Penanggung Jawab Pengelolaan Limbah B3 dan Operator Pengelolaan Limbah B3) dan Sertifikasi pegemudi angkutan Limbah Bahan Berbahaya dan Beracun (LB3).</w:t>
      </w:r>
    </w:p>
    <w:p>
      <w:pPr>
        <w:tabs>
          <w:tab w:val="left" w:pos="1134"/>
        </w:tabs>
        <w:ind w:left="1134" w:hanging="708"/>
        <w:rPr>
          <w:spacing w:val="4"/>
          <w:kern w:val="0"/>
          <w:sz w:val="24"/>
          <w:szCs w:val="24"/>
        </w:rPr>
      </w:pPr>
      <w:r>
        <w:rPr>
          <w:spacing w:val="4"/>
          <w:kern w:val="0"/>
          <w:sz w:val="24"/>
          <w:szCs w:val="24"/>
        </w:rPr>
        <w:t>6.1.2</w:t>
      </w:r>
      <w:r>
        <w:rPr>
          <w:spacing w:val="4"/>
          <w:kern w:val="0"/>
          <w:sz w:val="24"/>
          <w:szCs w:val="24"/>
        </w:rPr>
        <w:tab/>
      </w:r>
      <w:r>
        <w:rPr>
          <w:spacing w:val="4"/>
          <w:kern w:val="0"/>
          <w:sz w:val="24"/>
          <w:szCs w:val="24"/>
        </w:rPr>
        <w:t xml:space="preserve">服务提供商必须提供随时准备应对紧急情况的专家团队。Penyedia jasa harus menyediakan tim ahli yang siap menangani keadaan darurat. </w:t>
      </w:r>
    </w:p>
    <w:p>
      <w:pPr>
        <w:rPr>
          <w:spacing w:val="4"/>
          <w:kern w:val="0"/>
          <w:sz w:val="24"/>
          <w:szCs w:val="24"/>
        </w:rPr>
      </w:pPr>
      <w:r>
        <w:rPr>
          <w:spacing w:val="4"/>
          <w:kern w:val="0"/>
          <w:sz w:val="24"/>
          <w:szCs w:val="24"/>
        </w:rPr>
        <w:t>6.2</w:t>
      </w:r>
      <w:r>
        <w:rPr>
          <w:spacing w:val="4"/>
          <w:kern w:val="0"/>
          <w:sz w:val="24"/>
          <w:szCs w:val="24"/>
        </w:rPr>
        <w:tab/>
      </w:r>
      <w:r>
        <w:rPr>
          <w:spacing w:val="4"/>
          <w:kern w:val="0"/>
          <w:sz w:val="24"/>
          <w:szCs w:val="24"/>
        </w:rPr>
        <w:t>设备和基础设施Peralatan dan Infrastruktur</w:t>
      </w:r>
    </w:p>
    <w:p>
      <w:pPr>
        <w:tabs>
          <w:tab w:val="left" w:pos="1134"/>
        </w:tabs>
        <w:ind w:left="1134" w:hanging="708"/>
        <w:rPr>
          <w:spacing w:val="4"/>
          <w:kern w:val="0"/>
          <w:sz w:val="24"/>
          <w:szCs w:val="24"/>
        </w:rPr>
      </w:pPr>
      <w:r>
        <w:rPr>
          <w:spacing w:val="4"/>
          <w:kern w:val="0"/>
          <w:sz w:val="24"/>
          <w:szCs w:val="24"/>
        </w:rPr>
        <w:t xml:space="preserve">6.2.1 </w:t>
      </w:r>
      <w:r>
        <w:rPr>
          <w:spacing w:val="4"/>
          <w:kern w:val="0"/>
          <w:sz w:val="24"/>
          <w:szCs w:val="24"/>
        </w:rPr>
        <w:tab/>
      </w:r>
      <w:r>
        <w:rPr>
          <w:spacing w:val="4"/>
          <w:kern w:val="0"/>
          <w:sz w:val="24"/>
          <w:szCs w:val="24"/>
        </w:rPr>
        <w:t>服务提供商必须配备符合标准的设备，用于危险有害废物（</w:t>
      </w:r>
      <w:r>
        <w:rPr>
          <w:spacing w:val="4"/>
          <w:kern w:val="0"/>
          <w:sz w:val="24"/>
          <w:szCs w:val="24"/>
          <w:lang w:val="id-ID"/>
        </w:rPr>
        <w:t>L</w:t>
      </w:r>
      <w:r>
        <w:rPr>
          <w:spacing w:val="4"/>
          <w:kern w:val="0"/>
          <w:sz w:val="24"/>
          <w:szCs w:val="24"/>
        </w:rPr>
        <w:t>B3）的管理，包括处理、利用、收集和运输。Penyedia jasa harus memiliki peralatan yang sesuai standar untuk pengelolaan (pengolahan, pemanfaatan, pengumpulan) dan transportasi Limbah bahan berbahaya dan Beracun (LB3).</w:t>
      </w:r>
    </w:p>
    <w:p>
      <w:pPr>
        <w:tabs>
          <w:tab w:val="left" w:pos="1134"/>
        </w:tabs>
        <w:ind w:left="1134" w:hanging="708"/>
        <w:rPr>
          <w:spacing w:val="4"/>
          <w:kern w:val="0"/>
          <w:sz w:val="24"/>
          <w:szCs w:val="24"/>
        </w:rPr>
      </w:pPr>
      <w:r>
        <w:rPr>
          <w:spacing w:val="4"/>
          <w:kern w:val="0"/>
          <w:sz w:val="24"/>
          <w:szCs w:val="24"/>
        </w:rPr>
        <w:t xml:space="preserve">6.2.2 </w:t>
      </w:r>
      <w:r>
        <w:rPr>
          <w:spacing w:val="4"/>
          <w:kern w:val="0"/>
          <w:sz w:val="24"/>
          <w:szCs w:val="24"/>
        </w:rPr>
        <w:tab/>
      </w:r>
      <w:r>
        <w:rPr>
          <w:spacing w:val="4"/>
          <w:kern w:val="0"/>
          <w:sz w:val="24"/>
          <w:szCs w:val="24"/>
        </w:rPr>
        <w:t>应提供个人防护装备 (PPE) 和其他必要的配套设施。Infrastruktur penunjang seperti alat pelindung diri (APD) dan fasilitas pendukung lainnya harus tersedia.</w:t>
      </w:r>
    </w:p>
    <w:p>
      <w:pPr>
        <w:tabs>
          <w:tab w:val="left" w:pos="1134"/>
        </w:tabs>
        <w:ind w:left="1134" w:hanging="708"/>
        <w:rPr>
          <w:spacing w:val="4"/>
          <w:kern w:val="0"/>
          <w:sz w:val="24"/>
          <w:szCs w:val="24"/>
        </w:rPr>
      </w:pPr>
      <w:r>
        <w:rPr>
          <w:spacing w:val="4"/>
          <w:kern w:val="0"/>
          <w:sz w:val="24"/>
          <w:szCs w:val="24"/>
        </w:rPr>
        <w:t xml:space="preserve">6.2.3 </w:t>
      </w:r>
      <w:r>
        <w:rPr>
          <w:spacing w:val="4"/>
          <w:kern w:val="0"/>
          <w:sz w:val="24"/>
          <w:szCs w:val="24"/>
        </w:rPr>
        <w:tab/>
      </w:r>
      <w:r>
        <w:rPr>
          <w:spacing w:val="4"/>
          <w:kern w:val="0"/>
          <w:sz w:val="24"/>
          <w:szCs w:val="24"/>
        </w:rPr>
        <w:t>服务提供商须指派人员或助手，负责将危险有害废物（B3）转移和/或收集至危险有害废物（B3）运输车辆。该人员应具备处理危险有害废物（B3）所需的能力和/或相关知识，并须遵守公司所有适用的程序和规定。Penyedia Jasa wajib menyiapkan personel atau helper yang bertugas melaksanakan kegiatan pemindahan dan/ pengambilan Limbah Bahan Berbahaya dan Beracun (LB3) ke dalam kendaraan pengangkutan Limbah Bahan berbahaya dan beracun (LB3). Personel tersebut harus memiliki kompetensi dan/ pengetahuan yang relevan mengenai penanganan Limbah Bahan berbahaya dan beracun (LB3) serta wajib mematuhi seluruh prosedur dan ketentuan perusahaan yang berlaku.</w:t>
      </w:r>
    </w:p>
    <w:p>
      <w:pPr>
        <w:rPr>
          <w:spacing w:val="4"/>
          <w:kern w:val="0"/>
          <w:sz w:val="24"/>
          <w:szCs w:val="24"/>
        </w:rPr>
      </w:pPr>
      <w:r>
        <w:rPr>
          <w:spacing w:val="4"/>
          <w:kern w:val="0"/>
          <w:sz w:val="24"/>
          <w:szCs w:val="24"/>
        </w:rPr>
        <w:t>6.3</w:t>
      </w:r>
      <w:r>
        <w:rPr>
          <w:spacing w:val="4"/>
          <w:kern w:val="0"/>
          <w:sz w:val="24"/>
          <w:szCs w:val="24"/>
        </w:rPr>
        <w:tab/>
      </w:r>
      <w:r>
        <w:rPr>
          <w:spacing w:val="4"/>
          <w:kern w:val="0"/>
          <w:sz w:val="24"/>
          <w:szCs w:val="24"/>
        </w:rPr>
        <w:t>紧急情况管理Pengelolaan Keadaan Darurat</w:t>
      </w:r>
    </w:p>
    <w:p>
      <w:pPr>
        <w:tabs>
          <w:tab w:val="left" w:pos="1134"/>
        </w:tabs>
        <w:ind w:left="1134" w:hanging="708"/>
        <w:rPr>
          <w:spacing w:val="4"/>
          <w:kern w:val="0"/>
          <w:sz w:val="24"/>
          <w:szCs w:val="24"/>
        </w:rPr>
      </w:pPr>
      <w:r>
        <w:rPr>
          <w:spacing w:val="4"/>
          <w:kern w:val="0"/>
          <w:sz w:val="24"/>
          <w:szCs w:val="24"/>
        </w:rPr>
        <w:t xml:space="preserve">6.3.1 </w:t>
      </w:r>
      <w:r>
        <w:rPr>
          <w:spacing w:val="4"/>
          <w:kern w:val="0"/>
          <w:sz w:val="24"/>
          <w:szCs w:val="24"/>
        </w:rPr>
        <w:tab/>
      </w:r>
      <w:r>
        <w:rPr>
          <w:spacing w:val="4"/>
          <w:kern w:val="0"/>
          <w:sz w:val="24"/>
          <w:szCs w:val="24"/>
        </w:rPr>
        <w:t>必须制定应急响应计划，并向所有人员进行宣传和培训。Rencana tanggap darurat harus disiapkan dan disosialisasikan kepada seluruh personil.</w:t>
      </w:r>
    </w:p>
    <w:p>
      <w:pPr>
        <w:tabs>
          <w:tab w:val="left" w:pos="1134"/>
        </w:tabs>
        <w:ind w:left="1134" w:hanging="708"/>
        <w:rPr>
          <w:spacing w:val="4"/>
          <w:kern w:val="0"/>
          <w:sz w:val="24"/>
          <w:szCs w:val="24"/>
        </w:rPr>
      </w:pPr>
      <w:r>
        <w:rPr>
          <w:spacing w:val="4"/>
          <w:kern w:val="0"/>
          <w:sz w:val="24"/>
          <w:szCs w:val="24"/>
        </w:rPr>
        <w:t xml:space="preserve">6.3.2 </w:t>
      </w:r>
      <w:r>
        <w:rPr>
          <w:spacing w:val="4"/>
          <w:kern w:val="0"/>
          <w:sz w:val="24"/>
          <w:szCs w:val="24"/>
        </w:rPr>
        <w:tab/>
      </w:r>
      <w:r>
        <w:rPr>
          <w:spacing w:val="4"/>
          <w:kern w:val="0"/>
          <w:sz w:val="24"/>
          <w:szCs w:val="24"/>
        </w:rPr>
        <w:t xml:space="preserve">必须定期进行演习和培训，以确保应急准备状态。Simulasi dan latihan rutin harus dilakukan untuk memastikan kesiapsiagaan. </w:t>
      </w:r>
    </w:p>
    <w:p>
      <w:pPr>
        <w:rPr>
          <w:spacing w:val="4"/>
          <w:kern w:val="0"/>
          <w:sz w:val="24"/>
          <w:szCs w:val="24"/>
          <w:lang w:val="id-ID"/>
        </w:rPr>
      </w:pPr>
      <w:r>
        <w:rPr>
          <w:spacing w:val="4"/>
          <w:kern w:val="0"/>
          <w:sz w:val="24"/>
          <w:szCs w:val="24"/>
        </w:rPr>
        <w:t>6.4</w:t>
      </w:r>
      <w:r>
        <w:rPr>
          <w:spacing w:val="4"/>
          <w:kern w:val="0"/>
          <w:sz w:val="24"/>
          <w:szCs w:val="24"/>
        </w:rPr>
        <w:tab/>
      </w:r>
      <w:r>
        <w:rPr>
          <w:rFonts w:hint="eastAsia"/>
          <w:spacing w:val="4"/>
          <w:kern w:val="0"/>
          <w:sz w:val="24"/>
          <w:szCs w:val="24"/>
        </w:rPr>
        <w:t xml:space="preserve">对供应商的资质要求 </w:t>
      </w:r>
      <w:r>
        <w:rPr>
          <w:spacing w:val="4"/>
          <w:kern w:val="0"/>
          <w:sz w:val="24"/>
          <w:szCs w:val="24"/>
          <w:lang w:val="id-ID"/>
        </w:rPr>
        <w:t>Kualifikasi Penyedia Jasa</w:t>
      </w:r>
    </w:p>
    <w:p>
      <w:pPr>
        <w:tabs>
          <w:tab w:val="left" w:pos="1134"/>
        </w:tabs>
        <w:ind w:left="1134" w:hanging="708"/>
        <w:rPr>
          <w:spacing w:val="4"/>
          <w:kern w:val="0"/>
          <w:sz w:val="24"/>
          <w:szCs w:val="24"/>
          <w:lang w:val="id-ID"/>
        </w:rPr>
      </w:pPr>
      <w:r>
        <w:rPr>
          <w:spacing w:val="4"/>
          <w:kern w:val="0"/>
          <w:sz w:val="24"/>
          <w:szCs w:val="24"/>
          <w:lang w:val="id-ID"/>
        </w:rPr>
        <w:t xml:space="preserve">6.4.1 </w:t>
      </w:r>
      <w:r>
        <w:rPr>
          <w:spacing w:val="4"/>
          <w:kern w:val="0"/>
          <w:sz w:val="24"/>
          <w:szCs w:val="24"/>
          <w:lang w:val="id-ID"/>
        </w:rPr>
        <w:tab/>
      </w:r>
      <w:r>
        <w:rPr>
          <w:spacing w:val="4"/>
          <w:kern w:val="0"/>
          <w:sz w:val="24"/>
          <w:szCs w:val="24"/>
          <w:lang w:val="id-ID"/>
        </w:rPr>
        <w:t xml:space="preserve">投标人是根据印尼相关法律规定注册成立的独立法人公司；具有独立订立合同的权利、履行合同的能力. Harus berupa badan usaha berbentuk CV / PT. </w:t>
      </w:r>
    </w:p>
    <w:p>
      <w:pPr>
        <w:tabs>
          <w:tab w:val="left" w:pos="1134"/>
        </w:tabs>
        <w:ind w:left="1134" w:hanging="708"/>
        <w:rPr>
          <w:spacing w:val="4"/>
          <w:kern w:val="0"/>
          <w:sz w:val="24"/>
          <w:szCs w:val="24"/>
        </w:rPr>
      </w:pPr>
      <w:r>
        <w:rPr>
          <w:spacing w:val="4"/>
          <w:kern w:val="0"/>
          <w:sz w:val="24"/>
          <w:szCs w:val="24"/>
        </w:rPr>
        <w:t xml:space="preserve">6.4.2 </w:t>
      </w:r>
      <w:r>
        <w:rPr>
          <w:spacing w:val="4"/>
          <w:kern w:val="0"/>
          <w:sz w:val="24"/>
          <w:szCs w:val="24"/>
        </w:rPr>
        <w:tab/>
      </w:r>
      <w:r>
        <w:rPr>
          <w:spacing w:val="4"/>
          <w:kern w:val="0"/>
          <w:sz w:val="24"/>
          <w:szCs w:val="24"/>
        </w:rPr>
        <w:t>服务提供商必须持有由环境与林业部（KLHK）或其他相关主管机构签发的有效且正式的许可证和认证，并与工作范围相符。服务提供商须持有危险有害废物（</w:t>
      </w:r>
      <w:r>
        <w:rPr>
          <w:spacing w:val="4"/>
          <w:kern w:val="0"/>
          <w:sz w:val="24"/>
          <w:szCs w:val="24"/>
          <w:lang w:val="id-ID"/>
        </w:rPr>
        <w:t>L</w:t>
      </w:r>
      <w:r>
        <w:rPr>
          <w:spacing w:val="4"/>
          <w:kern w:val="0"/>
          <w:sz w:val="24"/>
          <w:szCs w:val="24"/>
        </w:rPr>
        <w:t xml:space="preserve">B3）管理（处理、利用和收集）及运输的有效许可证。Penyedia jasa harus memiliki izin dan sertifikasi resmi dari Kementerian Lingkungan Hidup dan Kehutanan (KLHK) atau instansi terkait yang berlaku dan relevan dengan lingkup pekerjaan. </w:t>
      </w:r>
      <w:r>
        <w:rPr>
          <w:rFonts w:eastAsia="等线 Light"/>
          <w:sz w:val="24"/>
          <w:szCs w:val="24"/>
        </w:rPr>
        <w:t xml:space="preserve">Memiliki Surat Izin Pengelolaan (Pengolahan, Pemanfaatan, Dan Pengumpulan) dan transportasi Limbah Bahan Berbahaya dan Beracun (LB3). </w:t>
      </w:r>
    </w:p>
    <w:p>
      <w:pPr>
        <w:tabs>
          <w:tab w:val="left" w:pos="1134"/>
        </w:tabs>
        <w:ind w:left="1134" w:hanging="708"/>
        <w:rPr>
          <w:spacing w:val="4"/>
          <w:kern w:val="0"/>
          <w:sz w:val="24"/>
          <w:szCs w:val="24"/>
        </w:rPr>
      </w:pPr>
      <w:r>
        <w:rPr>
          <w:spacing w:val="4"/>
          <w:kern w:val="0"/>
          <w:sz w:val="24"/>
          <w:szCs w:val="24"/>
        </w:rPr>
        <w:t xml:space="preserve">6.4.3 </w:t>
      </w:r>
      <w:r>
        <w:rPr>
          <w:spacing w:val="4"/>
          <w:kern w:val="0"/>
          <w:sz w:val="24"/>
          <w:szCs w:val="24"/>
        </w:rPr>
        <w:tab/>
      </w:r>
      <w:r>
        <w:rPr>
          <w:spacing w:val="4"/>
          <w:kern w:val="0"/>
          <w:sz w:val="24"/>
          <w:szCs w:val="24"/>
        </w:rPr>
        <w:t>拥有 ISO 14001（环境管理体系）或同等资格认证。</w:t>
      </w:r>
      <w:r>
        <w:rPr>
          <w:spacing w:val="4"/>
          <w:kern w:val="0"/>
          <w:sz w:val="24"/>
          <w:szCs w:val="24"/>
          <w:lang w:val="id-ID"/>
        </w:rPr>
        <w:t xml:space="preserve">Memiliki </w:t>
      </w:r>
      <w:r>
        <w:rPr>
          <w:spacing w:val="4"/>
          <w:kern w:val="0"/>
          <w:sz w:val="24"/>
          <w:szCs w:val="24"/>
        </w:rPr>
        <w:t>Sertifikat ISO 14001 (Sistem Manajemen Lingkungan) atau setara.</w:t>
      </w:r>
    </w:p>
    <w:p>
      <w:pPr>
        <w:tabs>
          <w:tab w:val="left" w:pos="1134"/>
        </w:tabs>
        <w:ind w:left="1134" w:hanging="708"/>
        <w:rPr>
          <w:spacing w:val="4"/>
          <w:kern w:val="0"/>
          <w:sz w:val="24"/>
          <w:szCs w:val="24"/>
        </w:rPr>
      </w:pPr>
      <w:r>
        <w:rPr>
          <w:spacing w:val="4"/>
          <w:kern w:val="0"/>
          <w:sz w:val="24"/>
          <w:szCs w:val="24"/>
        </w:rPr>
        <w:t xml:space="preserve">6.4.4 </w:t>
      </w:r>
      <w:r>
        <w:rPr>
          <w:spacing w:val="4"/>
          <w:kern w:val="0"/>
          <w:sz w:val="24"/>
          <w:szCs w:val="24"/>
        </w:rPr>
        <w:tab/>
      </w:r>
      <w:r>
        <w:rPr>
          <w:spacing w:val="4"/>
          <w:kern w:val="0"/>
          <w:sz w:val="24"/>
          <w:szCs w:val="24"/>
        </w:rPr>
        <w:t>拥有环境污染保险。Memiliki Asuransi Pencemaran lingkungan.</w:t>
      </w:r>
    </w:p>
    <w:p>
      <w:pPr>
        <w:tabs>
          <w:tab w:val="left" w:pos="1134"/>
        </w:tabs>
        <w:ind w:left="1134" w:hanging="708"/>
        <w:rPr>
          <w:spacing w:val="4"/>
          <w:kern w:val="0"/>
          <w:sz w:val="24"/>
          <w:szCs w:val="24"/>
        </w:rPr>
      </w:pPr>
      <w:r>
        <w:rPr>
          <w:spacing w:val="4"/>
          <w:kern w:val="0"/>
          <w:sz w:val="24"/>
          <w:szCs w:val="24"/>
        </w:rPr>
        <w:t xml:space="preserve">6.4.5 </w:t>
      </w:r>
      <w:r>
        <w:rPr>
          <w:spacing w:val="4"/>
          <w:kern w:val="0"/>
          <w:sz w:val="24"/>
          <w:szCs w:val="24"/>
        </w:rPr>
        <w:tab/>
      </w:r>
      <w:r>
        <w:rPr>
          <w:rFonts w:hint="eastAsia" w:ascii="等线" w:hAnsi="等线" w:eastAsia="等线" w:cs="等线"/>
          <w:bCs/>
          <w:color w:val="000000"/>
          <w:kern w:val="0"/>
          <w:szCs w:val="21"/>
        </w:rPr>
        <w:t>拥有根据现行法律法规执行相关项目业绩。</w:t>
      </w:r>
      <w:r>
        <w:rPr>
          <w:spacing w:val="4"/>
          <w:kern w:val="0"/>
          <w:sz w:val="24"/>
          <w:szCs w:val="24"/>
        </w:rPr>
        <w:t>Memiliki pengalaman dalam melaksanakan kegiatan proyek yang relevan sesuai dengan peraturan perundang-undangan yang berlaku.</w:t>
      </w:r>
    </w:p>
    <w:p>
      <w:pPr>
        <w:pStyle w:val="4"/>
        <w:numPr>
          <w:ilvl w:val="0"/>
          <w:numId w:val="4"/>
        </w:numPr>
        <w:rPr>
          <w:rFonts w:ascii="Times New Roman"/>
          <w:bCs/>
          <w:sz w:val="24"/>
          <w:szCs w:val="24"/>
        </w:rPr>
      </w:pPr>
      <w:bookmarkStart w:id="18" w:name="_生产管理_Manajemen_produksi:"/>
      <w:bookmarkEnd w:id="18"/>
      <w:r>
        <w:rPr>
          <w:rFonts w:ascii="Times New Roman"/>
          <w:bCs/>
          <w:sz w:val="24"/>
          <w:szCs w:val="24"/>
        </w:rPr>
        <w:t>生产管理</w:t>
      </w:r>
      <w:r>
        <w:rPr>
          <w:rFonts w:ascii="Times New Roman"/>
          <w:bCs/>
          <w:sz w:val="24"/>
          <w:szCs w:val="24"/>
          <w:lang w:val="id-ID"/>
        </w:rPr>
        <w:t xml:space="preserve"> </w:t>
      </w:r>
      <w:r>
        <w:rPr>
          <w:rFonts w:ascii="Times New Roman"/>
          <w:bCs/>
          <w:sz w:val="24"/>
          <w:szCs w:val="24"/>
        </w:rPr>
        <w:t>Manajemen produksi:</w:t>
      </w:r>
    </w:p>
    <w:p>
      <w:pPr>
        <w:numPr>
          <w:ilvl w:val="0"/>
          <w:numId w:val="10"/>
        </w:numPr>
        <w:ind w:left="426" w:hanging="426"/>
        <w:rPr>
          <w:color w:val="000000"/>
          <w:sz w:val="24"/>
          <w:szCs w:val="24"/>
        </w:rPr>
      </w:pPr>
      <w:r>
        <w:rPr>
          <w:color w:val="000000"/>
          <w:sz w:val="24"/>
          <w:szCs w:val="24"/>
        </w:rPr>
        <w:t>报价人除按上述要求执行外，必须服从采购人有关生产管理制度、考核细则的相关规定</w:t>
      </w:r>
      <w:r>
        <w:rPr>
          <w:spacing w:val="4"/>
          <w:kern w:val="0"/>
          <w:sz w:val="24"/>
          <w:szCs w:val="24"/>
        </w:rPr>
        <w:t>。</w:t>
      </w:r>
      <w:r>
        <w:rPr>
          <w:spacing w:val="4"/>
          <w:kern w:val="0"/>
          <w:sz w:val="24"/>
          <w:szCs w:val="24"/>
          <w:lang w:val="id-ID"/>
        </w:rPr>
        <w:t>Selain</w:t>
      </w:r>
      <w:r>
        <w:rPr>
          <w:color w:val="000000"/>
          <w:sz w:val="24"/>
          <w:szCs w:val="24"/>
        </w:rPr>
        <w:t xml:space="preserve"> melaksanakan persyaratan di atas, peserta lelang harus mematuhi peraturan pembeli yang relevan tentang sistem manajemen produksi dan aturan penilaian.</w:t>
      </w:r>
    </w:p>
    <w:p>
      <w:pPr>
        <w:numPr>
          <w:ilvl w:val="0"/>
          <w:numId w:val="10"/>
        </w:numPr>
        <w:ind w:left="426" w:hanging="426"/>
        <w:rPr>
          <w:color w:val="000000"/>
          <w:sz w:val="24"/>
          <w:szCs w:val="24"/>
        </w:rPr>
      </w:pPr>
      <w:r>
        <w:rPr>
          <w:color w:val="000000"/>
          <w:sz w:val="24"/>
          <w:szCs w:val="24"/>
        </w:rPr>
        <w:t>报价人须服从并执行采购人颁布执行的各项管理标准和考核标准。Peserta Lelang wajib mentaati dan melaksanakan berbagai standar pengelolaan dan standar penilaian yang diumumkan oleh pembeli.</w:t>
      </w:r>
    </w:p>
    <w:p>
      <w:pPr>
        <w:numPr>
          <w:ilvl w:val="0"/>
          <w:numId w:val="10"/>
        </w:numPr>
        <w:ind w:left="426" w:hanging="426"/>
        <w:rPr>
          <w:color w:val="000000"/>
          <w:sz w:val="24"/>
          <w:szCs w:val="24"/>
        </w:rPr>
      </w:pPr>
      <w:r>
        <w:rPr>
          <w:color w:val="000000"/>
          <w:sz w:val="24"/>
          <w:szCs w:val="24"/>
        </w:rPr>
        <w:t>火电企业安</w:t>
      </w:r>
      <w:r>
        <w:rPr>
          <w:rFonts w:eastAsia="FangSong_GB2312"/>
          <w:bCs/>
          <w:color w:val="000000"/>
          <w:sz w:val="24"/>
          <w:szCs w:val="24"/>
        </w:rPr>
        <w:t>全禁令如下：</w:t>
      </w:r>
      <w:r>
        <w:rPr>
          <w:color w:val="000000"/>
          <w:sz w:val="24"/>
          <w:szCs w:val="24"/>
        </w:rPr>
        <w:t>Larangan keselamatan perusahaan tenaga panas adalah sebagai berikut:</w:t>
      </w:r>
    </w:p>
    <w:p>
      <w:pPr>
        <w:numPr>
          <w:ilvl w:val="0"/>
          <w:numId w:val="11"/>
        </w:numPr>
        <w:ind w:left="1134" w:hanging="708"/>
        <w:rPr>
          <w:color w:val="000000"/>
          <w:sz w:val="24"/>
          <w:szCs w:val="24"/>
        </w:rPr>
      </w:pPr>
      <w:r>
        <w:rPr>
          <w:rFonts w:eastAsia="FangSong_GB2312"/>
          <w:bCs/>
          <w:color w:val="000000"/>
          <w:sz w:val="24"/>
          <w:szCs w:val="24"/>
        </w:rPr>
        <w:t>严禁无票作业、擅自扩大作业范围。Dilarang keras beroperasi tanpa tiket atau memperluas cakupan operasi tanpa izin.</w:t>
      </w:r>
    </w:p>
    <w:p>
      <w:pPr>
        <w:numPr>
          <w:ilvl w:val="0"/>
          <w:numId w:val="11"/>
        </w:numPr>
        <w:ind w:left="1134" w:hanging="708"/>
        <w:rPr>
          <w:rFonts w:eastAsia="FangSong_GB2312"/>
          <w:bCs/>
          <w:color w:val="000000"/>
          <w:sz w:val="24"/>
          <w:szCs w:val="24"/>
        </w:rPr>
      </w:pPr>
      <w:r>
        <w:rPr>
          <w:rFonts w:eastAsia="FangSong_GB2312"/>
          <w:bCs/>
          <w:color w:val="000000"/>
          <w:sz w:val="24"/>
          <w:szCs w:val="24"/>
        </w:rPr>
        <w:t>严禁高处作业不系安全带、未采取防坠落措施。Dilarang keras bekerja di ketinggian tanpa sabuk pengaman atau tindakan pencegahan jatuh.</w:t>
      </w:r>
    </w:p>
    <w:p>
      <w:pPr>
        <w:numPr>
          <w:ilvl w:val="0"/>
          <w:numId w:val="11"/>
        </w:numPr>
        <w:ind w:left="1134" w:hanging="708"/>
        <w:rPr>
          <w:color w:val="000000"/>
          <w:sz w:val="24"/>
          <w:szCs w:val="24"/>
        </w:rPr>
      </w:pPr>
      <w:r>
        <w:rPr>
          <w:rFonts w:eastAsia="FangSong_GB2312"/>
          <w:bCs/>
          <w:color w:val="000000"/>
          <w:sz w:val="24"/>
          <w:szCs w:val="24"/>
        </w:rPr>
        <w:t>严禁进入现场未正确佩戴安全帽。Dilarang keras memasuki lokasi tanpa mengenakan helm dengan benar.</w:t>
      </w:r>
    </w:p>
    <w:p>
      <w:pPr>
        <w:numPr>
          <w:ilvl w:val="0"/>
          <w:numId w:val="11"/>
        </w:numPr>
        <w:ind w:left="1134" w:hanging="708"/>
        <w:rPr>
          <w:color w:val="000000"/>
          <w:sz w:val="24"/>
          <w:szCs w:val="24"/>
        </w:rPr>
      </w:pPr>
      <w:r>
        <w:rPr>
          <w:rFonts w:eastAsia="FangSong_GB2312"/>
          <w:bCs/>
          <w:color w:val="000000"/>
          <w:sz w:val="24"/>
          <w:szCs w:val="24"/>
        </w:rPr>
        <w:t>严禁使用不合格的电动工器具。Melarang keras penggunaan peralatan kerja listrik yang tidak memenuhi syarat.</w:t>
      </w:r>
    </w:p>
    <w:p>
      <w:pPr>
        <w:numPr>
          <w:ilvl w:val="0"/>
          <w:numId w:val="11"/>
        </w:numPr>
        <w:ind w:left="1134" w:hanging="708"/>
        <w:rPr>
          <w:rFonts w:eastAsia="FangSong_GB2312"/>
          <w:bCs/>
          <w:color w:val="000000"/>
          <w:sz w:val="24"/>
          <w:szCs w:val="24"/>
        </w:rPr>
      </w:pPr>
      <w:r>
        <w:rPr>
          <w:rFonts w:eastAsia="FangSong_GB2312"/>
          <w:bCs/>
          <w:color w:val="000000"/>
          <w:sz w:val="24"/>
          <w:szCs w:val="24"/>
        </w:rPr>
        <w:t xml:space="preserve">严禁打开孔洞盖板不设置牢固硬质安全防护设施。Dilarang membuka penutup lubang tanpa pengaman keras yang kokoh. </w:t>
      </w:r>
    </w:p>
    <w:p>
      <w:pPr>
        <w:numPr>
          <w:ilvl w:val="0"/>
          <w:numId w:val="11"/>
        </w:numPr>
        <w:ind w:left="1134" w:hanging="708"/>
        <w:rPr>
          <w:rFonts w:eastAsia="FangSong_GB2312"/>
          <w:bCs/>
          <w:color w:val="000000"/>
          <w:sz w:val="24"/>
          <w:szCs w:val="24"/>
        </w:rPr>
      </w:pPr>
      <w:r>
        <w:rPr>
          <w:rFonts w:eastAsia="FangSong_GB2312"/>
          <w:bCs/>
          <w:color w:val="000000"/>
          <w:sz w:val="24"/>
          <w:szCs w:val="24"/>
        </w:rPr>
        <w:t>严禁未进行有害气体（粉尘）测量开展受限空间作业。Dilarang keras melakukan pekerjaan di ruang tertutup tanpa mengukur gas (debu) berbahaya.</w:t>
      </w:r>
    </w:p>
    <w:p>
      <w:pPr>
        <w:pStyle w:val="4"/>
        <w:numPr>
          <w:ilvl w:val="0"/>
          <w:numId w:val="4"/>
        </w:numPr>
        <w:rPr>
          <w:rFonts w:ascii="Times New Roman"/>
          <w:color w:val="auto"/>
          <w:sz w:val="24"/>
          <w:szCs w:val="24"/>
        </w:rPr>
      </w:pPr>
      <w:bookmarkStart w:id="19" w:name="_罚则_Hukuman"/>
      <w:bookmarkEnd w:id="19"/>
      <w:r>
        <w:rPr>
          <w:rFonts w:ascii="Times New Roman"/>
          <w:color w:val="auto"/>
          <w:sz w:val="24"/>
          <w:szCs w:val="24"/>
        </w:rPr>
        <w:t xml:space="preserve">罚则 </w:t>
      </w:r>
      <w:bookmarkEnd w:id="17"/>
      <w:r>
        <w:rPr>
          <w:rFonts w:ascii="Times New Roman"/>
          <w:color w:val="auto"/>
          <w:sz w:val="24"/>
          <w:szCs w:val="24"/>
        </w:rPr>
        <w:t>Hukuman</w:t>
      </w:r>
    </w:p>
    <w:p>
      <w:pPr>
        <w:numPr>
          <w:ilvl w:val="0"/>
          <w:numId w:val="12"/>
        </w:numPr>
        <w:ind w:left="426" w:hanging="426"/>
        <w:rPr>
          <w:spacing w:val="4"/>
          <w:kern w:val="0"/>
          <w:sz w:val="24"/>
          <w:szCs w:val="24"/>
          <w:lang w:val="id-ID"/>
        </w:rPr>
      </w:pPr>
      <w:r>
        <w:rPr>
          <w:spacing w:val="4"/>
          <w:kern w:val="0"/>
          <w:sz w:val="24"/>
          <w:szCs w:val="24"/>
        </w:rPr>
        <w:t>延迟</w:t>
      </w:r>
      <w:r>
        <w:rPr>
          <w:spacing w:val="4"/>
          <w:kern w:val="0"/>
          <w:sz w:val="24"/>
          <w:szCs w:val="24"/>
          <w:lang w:val="id-ID"/>
        </w:rPr>
        <w:t>Keterlambatan</w:t>
      </w:r>
    </w:p>
    <w:p>
      <w:pPr>
        <w:numPr>
          <w:ilvl w:val="0"/>
          <w:numId w:val="13"/>
        </w:numPr>
        <w:ind w:left="851"/>
        <w:rPr>
          <w:spacing w:val="4"/>
          <w:kern w:val="0"/>
          <w:sz w:val="24"/>
          <w:szCs w:val="24"/>
          <w:lang w:val="id-ID"/>
        </w:rPr>
      </w:pPr>
      <w:r>
        <w:rPr>
          <w:spacing w:val="4"/>
          <w:kern w:val="0"/>
          <w:sz w:val="24"/>
          <w:szCs w:val="24"/>
        </w:rPr>
        <w:t>工作实施中的延迟将根据合同中的约定受到罚款。</w:t>
      </w:r>
      <w:r>
        <w:rPr>
          <w:spacing w:val="4"/>
          <w:kern w:val="0"/>
          <w:sz w:val="24"/>
          <w:szCs w:val="24"/>
          <w:lang w:val="id-ID"/>
        </w:rPr>
        <w:t>Keterlambatan dalam pelaksanaan pekerjaan akan dikenakan denda sesuai dengan kesepakatan dalam kontrak.</w:t>
      </w:r>
    </w:p>
    <w:p>
      <w:pPr>
        <w:numPr>
          <w:ilvl w:val="0"/>
          <w:numId w:val="13"/>
        </w:numPr>
        <w:ind w:left="851"/>
        <w:rPr>
          <w:spacing w:val="4"/>
          <w:kern w:val="0"/>
          <w:sz w:val="24"/>
          <w:szCs w:val="24"/>
          <w:lang w:val="id-ID"/>
        </w:rPr>
      </w:pPr>
      <w:r>
        <w:rPr>
          <w:rFonts w:eastAsia="FangSong_GB2312"/>
          <w:bCs/>
          <w:color w:val="000000"/>
          <w:sz w:val="24"/>
          <w:szCs w:val="24"/>
        </w:rPr>
        <w:t>乙方员工违反安全生产禁令者，考核不低于5000元/次，扣罚乙方单位不低于20000元/次，扣罚乙方现场负责人不低于10000元/次。一年内重复发生违反安全生产禁令行为，给予清退，列入“黑名单”。</w:t>
      </w:r>
      <w:r>
        <w:rPr>
          <w:spacing w:val="4"/>
          <w:kern w:val="0"/>
          <w:sz w:val="24"/>
          <w:szCs w:val="24"/>
          <w:lang w:val="id-ID"/>
        </w:rPr>
        <w:t>Karyawan Pihak Ketiga yang melanggar larangan keselamatan kerja akan dinilai tidak kurang dari 5000 RMB / waktu, unit Pihak Ketiga akan didenda tidak kurang dari 20.000 RMB / waktu, dan penanggung jawab lokasi Pihak Ketiga akan didenda tidak kurang dari 10.000 RMB / waktu. Pelanggaran berulang terhadap larangan keselamatan kerja dalam waktu satu tahun akan diberhentikan dan dimasukkan ke dalam "daftar hitam".</w:t>
      </w:r>
    </w:p>
    <w:p>
      <w:pPr>
        <w:numPr>
          <w:ilvl w:val="0"/>
          <w:numId w:val="12"/>
        </w:numPr>
        <w:ind w:left="426" w:hanging="426"/>
        <w:rPr>
          <w:spacing w:val="4"/>
          <w:kern w:val="0"/>
          <w:sz w:val="24"/>
          <w:szCs w:val="24"/>
          <w:lang w:val="id-ID"/>
        </w:rPr>
      </w:pPr>
      <w:r>
        <w:rPr>
          <w:spacing w:val="4"/>
          <w:kern w:val="0"/>
          <w:sz w:val="24"/>
          <w:szCs w:val="24"/>
        </w:rPr>
        <w:t>规格不符Ketidaksesuaian</w:t>
      </w:r>
      <w:r>
        <w:rPr>
          <w:spacing w:val="4"/>
          <w:kern w:val="0"/>
          <w:sz w:val="24"/>
          <w:szCs w:val="24"/>
          <w:lang w:val="id-ID"/>
        </w:rPr>
        <w:t xml:space="preserve"> Spesifikasi</w:t>
      </w:r>
    </w:p>
    <w:p>
      <w:pPr>
        <w:numPr>
          <w:ilvl w:val="0"/>
          <w:numId w:val="13"/>
        </w:numPr>
        <w:ind w:left="851"/>
        <w:rPr>
          <w:spacing w:val="4"/>
          <w:kern w:val="0"/>
          <w:sz w:val="24"/>
          <w:szCs w:val="24"/>
          <w:lang w:val="id-ID"/>
        </w:rPr>
      </w:pPr>
      <w:r>
        <w:rPr>
          <w:spacing w:val="4"/>
          <w:kern w:val="0"/>
          <w:sz w:val="24"/>
          <w:szCs w:val="24"/>
          <w:lang w:val="id-ID"/>
        </w:rPr>
        <w:t>不符合已定技术规格的服务提供商将受到扣款或合同取消的处罚。Penyedia jasa yang tidak memenuhi spesifikasi teknis yang telah ditetapkan akan dikenakan sanksi berupa pemotongan pembayaran atau pembatalan kontrak.</w:t>
      </w:r>
    </w:p>
    <w:p>
      <w:pPr>
        <w:numPr>
          <w:ilvl w:val="0"/>
          <w:numId w:val="12"/>
        </w:numPr>
        <w:ind w:left="426" w:hanging="426"/>
        <w:rPr>
          <w:spacing w:val="4"/>
          <w:kern w:val="0"/>
          <w:sz w:val="24"/>
          <w:szCs w:val="24"/>
          <w:lang w:val="id-ID"/>
        </w:rPr>
      </w:pPr>
      <w:r>
        <w:rPr>
          <w:spacing w:val="4"/>
          <w:kern w:val="0"/>
          <w:sz w:val="24"/>
          <w:szCs w:val="24"/>
        </w:rPr>
        <w:t>法规违反Pelanggaran</w:t>
      </w:r>
      <w:r>
        <w:rPr>
          <w:spacing w:val="4"/>
          <w:kern w:val="0"/>
          <w:sz w:val="24"/>
          <w:szCs w:val="24"/>
          <w:lang w:val="id-ID"/>
        </w:rPr>
        <w:t xml:space="preserve"> Regulasi</w:t>
      </w:r>
    </w:p>
    <w:p>
      <w:pPr>
        <w:numPr>
          <w:ilvl w:val="0"/>
          <w:numId w:val="13"/>
        </w:numPr>
        <w:ind w:left="851"/>
        <w:rPr>
          <w:rFonts w:eastAsia="Times New Roman"/>
          <w:kern w:val="0"/>
          <w:sz w:val="24"/>
          <w:szCs w:val="24"/>
          <w:lang w:val="id-ID"/>
        </w:rPr>
      </w:pPr>
      <w:r>
        <w:rPr>
          <w:spacing w:val="4"/>
          <w:kern w:val="0"/>
          <w:sz w:val="24"/>
          <w:szCs w:val="24"/>
          <w:lang w:val="id-ID"/>
        </w:rPr>
        <w:t>由于第三方的过失而对环境造成损失的，第三方有义务根据适用的法律法规进行赔偿。违反适用法律和法规的行为将根据适用条款受到法律制裁。Pelanggaran terhadap peraturan perundang-undangan yang berlaku akan dikenakan sanksi hukum sesuai dengan ketentuan yang berlaku. Pihak ketiga wajib membayar ganti rugi atas kerugian yang ditimbulkan terhadap lingkungan</w:t>
      </w:r>
      <w:r>
        <w:rPr>
          <w:rFonts w:eastAsia="Times New Roman"/>
          <w:kern w:val="0"/>
          <w:sz w:val="24"/>
          <w:szCs w:val="24"/>
          <w:lang w:val="id-ID"/>
        </w:rPr>
        <w:t xml:space="preserve"> akibat kelalaian Pihak Ketiga sesuai dengan ketentuan perundang-undangan yang berlaku</w:t>
      </w:r>
      <w:r>
        <w:rPr>
          <w:spacing w:val="4"/>
          <w:kern w:val="0"/>
          <w:sz w:val="24"/>
          <w:szCs w:val="24"/>
          <w:lang w:val="id-ID"/>
        </w:rPr>
        <w:t>.</w:t>
      </w:r>
    </w:p>
    <w:p>
      <w:pPr>
        <w:numPr>
          <w:ilvl w:val="0"/>
          <w:numId w:val="13"/>
        </w:numPr>
        <w:ind w:left="851"/>
        <w:rPr>
          <w:spacing w:val="4"/>
          <w:kern w:val="0"/>
          <w:sz w:val="24"/>
          <w:szCs w:val="24"/>
          <w:lang w:val="id-ID"/>
        </w:rPr>
      </w:pPr>
      <w:r>
        <w:rPr>
          <w:kern w:val="0"/>
          <w:sz w:val="24"/>
          <w:szCs w:val="24"/>
          <w:lang w:val="id-ID"/>
        </w:rPr>
        <w:t>根据关于实施环境保护和管理的</w:t>
      </w:r>
      <w:r>
        <w:rPr>
          <w:rFonts w:eastAsia="Times New Roman"/>
          <w:kern w:val="0"/>
          <w:sz w:val="24"/>
          <w:szCs w:val="24"/>
          <w:lang w:val="id-ID"/>
        </w:rPr>
        <w:t xml:space="preserve"> 2021 </w:t>
      </w:r>
      <w:r>
        <w:rPr>
          <w:kern w:val="0"/>
          <w:sz w:val="24"/>
          <w:szCs w:val="24"/>
          <w:lang w:val="id-ID"/>
        </w:rPr>
        <w:t>年第</w:t>
      </w:r>
      <w:r>
        <w:rPr>
          <w:rFonts w:eastAsia="Times New Roman"/>
          <w:kern w:val="0"/>
          <w:sz w:val="24"/>
          <w:szCs w:val="24"/>
          <w:lang w:val="id-ID"/>
        </w:rPr>
        <w:t xml:space="preserve"> 22 </w:t>
      </w:r>
      <w:r>
        <w:rPr>
          <w:kern w:val="0"/>
          <w:sz w:val="24"/>
          <w:szCs w:val="24"/>
          <w:lang w:val="id-ID"/>
        </w:rPr>
        <w:t>号法律，如果违反行为被证实造成重大环境损害，第三方可能会被处以最高达</w:t>
      </w:r>
      <w:r>
        <w:rPr>
          <w:rFonts w:eastAsia="Times New Roman"/>
          <w:kern w:val="0"/>
          <w:sz w:val="24"/>
          <w:szCs w:val="24"/>
          <w:lang w:val="id-ID"/>
        </w:rPr>
        <w:t xml:space="preserve"> 3,000,000,000 </w:t>
      </w:r>
      <w:r>
        <w:rPr>
          <w:kern w:val="0"/>
          <w:sz w:val="24"/>
          <w:szCs w:val="24"/>
          <w:lang w:val="id-ID"/>
        </w:rPr>
        <w:t>印尼盾（</w:t>
      </w:r>
      <w:r>
        <w:rPr>
          <w:rFonts w:eastAsia="Times New Roman"/>
          <w:kern w:val="0"/>
          <w:sz w:val="24"/>
          <w:szCs w:val="24"/>
          <w:lang w:val="id-ID"/>
        </w:rPr>
        <w:t xml:space="preserve">30 </w:t>
      </w:r>
      <w:r>
        <w:rPr>
          <w:kern w:val="0"/>
          <w:sz w:val="24"/>
          <w:szCs w:val="24"/>
          <w:lang w:val="id-ID"/>
        </w:rPr>
        <w:t>亿盾）的行政罚款。</w:t>
      </w:r>
      <w:r>
        <w:rPr>
          <w:rFonts w:eastAsia="Times New Roman"/>
          <w:kern w:val="0"/>
          <w:sz w:val="24"/>
          <w:szCs w:val="24"/>
          <w:lang w:val="id-ID"/>
        </w:rPr>
        <w:t xml:space="preserve">Sesuai dengan UU No. 22 Tahun 2021 tentang Penyelenggaraan Perlindungan dan </w:t>
      </w:r>
      <w:r>
        <w:rPr>
          <w:spacing w:val="4"/>
          <w:kern w:val="0"/>
          <w:sz w:val="24"/>
          <w:szCs w:val="24"/>
          <w:lang w:val="id-ID"/>
        </w:rPr>
        <w:t>Pengelolaan Lingkungan Hidup, pihak ketiga dapat dikenakan hukuman denda administratif hingga Rp 3.000.000.000 (tiga miliar rupiah), jika pelanggaran terbukti menyebabkan kerusakan lingkungan yang signifikan.</w:t>
      </w:r>
    </w:p>
    <w:p>
      <w:pPr>
        <w:widowControl/>
        <w:ind w:firstLine="0" w:firstLineChars="0"/>
        <w:jc w:val="left"/>
        <w:rPr>
          <w:rFonts w:hint="eastAsia" w:ascii="宋体" w:hAnsi="宋体" w:eastAsia="宋体" w:cs="宋体"/>
          <w:bCs/>
          <w:position w:val="0"/>
          <w:sz w:val="21"/>
          <w:szCs w:val="21"/>
        </w:rPr>
      </w:pPr>
    </w:p>
    <w:sectPr>
      <w:headerReference r:id="rId7" w:type="default"/>
      <w:footerReference r:id="rId8"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FangSong_GB2312">
    <w:altName w:val="仿宋"/>
    <w:panose1 w:val="00000000000000000000"/>
    <w:charset w:val="86"/>
    <w:family w:val="modern"/>
    <w:pitch w:val="default"/>
    <w:sig w:usb0="00000000" w:usb1="00000000" w:usb2="00000016" w:usb3="00000000" w:csb0="00040001" w:csb1="00000000"/>
  </w:font>
  <w:font w:name="等线 Light">
    <w:panose1 w:val="02010600030101010101"/>
    <w:charset w:val="86"/>
    <w:family w:val="auto"/>
    <w:pitch w:val="default"/>
    <w:sig w:usb0="A00002BF" w:usb1="38CF7CFA" w:usb2="00000016" w:usb3="00000000" w:csb0="0004000F" w:csb1="00000000"/>
  </w:font>
  <w:font w:name="Tahoma">
    <w:panose1 w:val="020B0604030504040204"/>
    <w:charset w:val="00"/>
    <w:family w:val="swiss"/>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center"/>
    </w:pPr>
    <w:r>
      <w:fldChar w:fldCharType="begin"/>
    </w:r>
    <w:r>
      <w:instrText xml:space="preserve">PAGE   \* MERGEFORMAT</w:instrText>
    </w:r>
    <w:r>
      <w:fldChar w:fldCharType="separate"/>
    </w:r>
    <w:r>
      <w:rPr>
        <w:lang w:val="zh-CN"/>
      </w:rPr>
      <w:t>12</w:t>
    </w:r>
    <w:r>
      <w:fldChar w:fldCharType="end"/>
    </w:r>
  </w:p>
  <w:p>
    <w:pPr>
      <w:pStyle w:val="10"/>
      <w:spacing w:line="440" w:lineRule="exact"/>
      <w:rPr>
        <w:rFonts w:hAnsi="宋体"/>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framePr w:wrap="around" w:vAnchor="text" w:hAnchor="margin" w:xAlign="center" w:y="1"/>
      <w:rPr>
        <w:rStyle w:val="23"/>
      </w:rPr>
    </w:pPr>
    <w:r>
      <w:fldChar w:fldCharType="begin"/>
    </w:r>
    <w:r>
      <w:rPr>
        <w:rStyle w:val="23"/>
      </w:rPr>
      <w:instrText xml:space="preserve">PAGE  </w:instrText>
    </w:r>
    <w:r>
      <w:fldChar w:fldCharType="separate"/>
    </w:r>
    <w:r>
      <w:rPr>
        <w:rStyle w:val="23"/>
        <w:lang w:val="zh-CN"/>
      </w:rPr>
      <w:t>20</w:t>
    </w:r>
    <w:r>
      <w:fldChar w:fldCharType="end"/>
    </w:r>
  </w:p>
  <w:p>
    <w:pPr>
      <w:pStyle w:val="1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single" w:color="auto" w:sz="4" w:space="1"/>
      </w:pBdr>
      <w:jc w:val="lef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1"/>
      </w:pBdr>
      <w:jc w:val="both"/>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rFonts w:hint="eastAsia"/>
        <w:color w:val="366091"/>
      </w:rPr>
      <w:drawing>
        <wp:anchor distT="0" distB="0" distL="114300" distR="114300" simplePos="0" relativeHeight="251659264" behindDoc="0" locked="0" layoutInCell="1" allowOverlap="1">
          <wp:simplePos x="0" y="0"/>
          <wp:positionH relativeFrom="column">
            <wp:posOffset>-56515</wp:posOffset>
          </wp:positionH>
          <wp:positionV relativeFrom="paragraph">
            <wp:posOffset>-147955</wp:posOffset>
          </wp:positionV>
          <wp:extent cx="2879725" cy="410845"/>
          <wp:effectExtent l="0" t="0" r="635" b="635"/>
          <wp:wrapSquare wrapText="bothSides"/>
          <wp:docPr id="1" name="图片 1" descr="e48b09bfffcc192f56097b08e891a4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48b09bfffcc192f56097b08e891a4c"/>
                  <pic:cNvPicPr>
                    <a:picLocks noChangeAspect="1"/>
                  </pic:cNvPicPr>
                </pic:nvPicPr>
                <pic:blipFill>
                  <a:blip r:embed="rId1"/>
                  <a:stretch>
                    <a:fillRect/>
                  </a:stretch>
                </pic:blipFill>
                <pic:spPr>
                  <a:xfrm>
                    <a:off x="0" y="0"/>
                    <a:ext cx="2879725" cy="410845"/>
                  </a:xfrm>
                  <a:prstGeom prst="rect">
                    <a:avLst/>
                  </a:prstGeom>
                  <a:noFill/>
                  <a:ln>
                    <a:noFill/>
                  </a:ln>
                </pic:spPr>
              </pic:pic>
            </a:graphicData>
          </a:graphic>
        </wp:anchor>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0"/>
      </w:pBdr>
      <w:wordWrap w:val="0"/>
      <w:ind w:right="241"/>
      <w:jc w:val="right"/>
      <w:rPr>
        <w:rFonts w:hint="eastAsia" w:ascii="Arial" w:hAnsi="Arial" w:cs="Arial"/>
        <w:b/>
        <w:sz w:val="21"/>
        <w:szCs w:val="2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E629BB04"/>
    <w:multiLevelType w:val="multilevel"/>
    <w:tmpl w:val="E629BB04"/>
    <w:lvl w:ilvl="0" w:tentative="0">
      <w:start w:val="1"/>
      <w:numFmt w:val="decimal"/>
      <w:lvlText w:val="2.%1"/>
      <w:lvlJc w:val="left"/>
      <w:pPr>
        <w:ind w:left="425" w:hanging="425"/>
      </w:pPr>
      <w:rPr>
        <w:rFonts w:hint="default" w:ascii="宋体" w:hAnsi="宋体" w:eastAsia="宋体" w:cs="宋体"/>
      </w:rPr>
    </w:lvl>
    <w:lvl w:ilvl="1" w:tentative="0">
      <w:start w:val="1"/>
      <w:numFmt w:val="decimal"/>
      <w:lvlText w:val="%1.%2."/>
      <w:lvlJc w:val="left"/>
      <w:pPr>
        <w:ind w:left="567" w:hanging="567"/>
      </w:pPr>
      <w:rPr>
        <w:rFonts w:hint="default"/>
      </w:rPr>
    </w:lvl>
    <w:lvl w:ilvl="2" w:tentative="0">
      <w:start w:val="1"/>
      <w:numFmt w:val="decimal"/>
      <w:lvlText w:val="%1.%2.%3."/>
      <w:lvlJc w:val="left"/>
      <w:pPr>
        <w:ind w:left="709" w:hanging="709"/>
      </w:pPr>
      <w:rPr>
        <w:rFonts w:hint="default"/>
      </w:rPr>
    </w:lvl>
    <w:lvl w:ilvl="3" w:tentative="0">
      <w:start w:val="1"/>
      <w:numFmt w:val="decimal"/>
      <w:lvlText w:val="%1.%2.%3.%4."/>
      <w:lvlJc w:val="left"/>
      <w:pPr>
        <w:ind w:left="850" w:hanging="85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abstractNum w:abstractNumId="1">
    <w:nsid w:val="00A444F3"/>
    <w:multiLevelType w:val="singleLevel"/>
    <w:tmpl w:val="00A444F3"/>
    <w:lvl w:ilvl="0" w:tentative="0">
      <w:start w:val="1"/>
      <w:numFmt w:val="lowerLetter"/>
      <w:lvlText w:val="(%1)"/>
      <w:lvlJc w:val="left"/>
      <w:pPr>
        <w:tabs>
          <w:tab w:val="left" w:pos="635"/>
        </w:tabs>
        <w:ind w:left="635" w:hanging="465"/>
      </w:pPr>
      <w:rPr>
        <w:rFonts w:hint="default"/>
      </w:rPr>
    </w:lvl>
  </w:abstractNum>
  <w:abstractNum w:abstractNumId="2">
    <w:nsid w:val="0F3342A7"/>
    <w:multiLevelType w:val="multilevel"/>
    <w:tmpl w:val="0F3342A7"/>
    <w:lvl w:ilvl="0" w:tentative="0">
      <w:start w:val="1"/>
      <w:numFmt w:val="bullet"/>
      <w:lvlText w:val="−"/>
      <w:lvlJc w:val="left"/>
      <w:pPr>
        <w:ind w:left="1146" w:hanging="360"/>
      </w:pPr>
      <w:rPr>
        <w:rFonts w:hint="default" w:ascii="Times New Roman" w:hAnsi="Times New Roman" w:cs="Times New Roman"/>
      </w:rPr>
    </w:lvl>
    <w:lvl w:ilvl="1" w:tentative="0">
      <w:start w:val="1"/>
      <w:numFmt w:val="bullet"/>
      <w:lvlText w:val="o"/>
      <w:lvlJc w:val="left"/>
      <w:pPr>
        <w:ind w:left="1866" w:hanging="360"/>
      </w:pPr>
      <w:rPr>
        <w:rFonts w:hint="default" w:ascii="Courier New" w:hAnsi="Courier New" w:cs="Courier New"/>
      </w:rPr>
    </w:lvl>
    <w:lvl w:ilvl="2" w:tentative="0">
      <w:start w:val="1"/>
      <w:numFmt w:val="bullet"/>
      <w:lvlText w:val=""/>
      <w:lvlJc w:val="left"/>
      <w:pPr>
        <w:ind w:left="2586" w:hanging="360"/>
      </w:pPr>
      <w:rPr>
        <w:rFonts w:hint="default" w:ascii="Wingdings" w:hAnsi="Wingdings"/>
      </w:rPr>
    </w:lvl>
    <w:lvl w:ilvl="3" w:tentative="0">
      <w:start w:val="1"/>
      <w:numFmt w:val="bullet"/>
      <w:lvlText w:val=""/>
      <w:lvlJc w:val="left"/>
      <w:pPr>
        <w:ind w:left="3306" w:hanging="360"/>
      </w:pPr>
      <w:rPr>
        <w:rFonts w:hint="default" w:ascii="Symbol" w:hAnsi="Symbol"/>
      </w:rPr>
    </w:lvl>
    <w:lvl w:ilvl="4" w:tentative="0">
      <w:start w:val="1"/>
      <w:numFmt w:val="bullet"/>
      <w:lvlText w:val="o"/>
      <w:lvlJc w:val="left"/>
      <w:pPr>
        <w:ind w:left="4026" w:hanging="360"/>
      </w:pPr>
      <w:rPr>
        <w:rFonts w:hint="default" w:ascii="Courier New" w:hAnsi="Courier New" w:cs="Courier New"/>
      </w:rPr>
    </w:lvl>
    <w:lvl w:ilvl="5" w:tentative="0">
      <w:start w:val="1"/>
      <w:numFmt w:val="bullet"/>
      <w:lvlText w:val=""/>
      <w:lvlJc w:val="left"/>
      <w:pPr>
        <w:ind w:left="4746" w:hanging="360"/>
      </w:pPr>
      <w:rPr>
        <w:rFonts w:hint="default" w:ascii="Wingdings" w:hAnsi="Wingdings"/>
      </w:rPr>
    </w:lvl>
    <w:lvl w:ilvl="6" w:tentative="0">
      <w:start w:val="1"/>
      <w:numFmt w:val="bullet"/>
      <w:lvlText w:val=""/>
      <w:lvlJc w:val="left"/>
      <w:pPr>
        <w:ind w:left="5466" w:hanging="360"/>
      </w:pPr>
      <w:rPr>
        <w:rFonts w:hint="default" w:ascii="Symbol" w:hAnsi="Symbol"/>
      </w:rPr>
    </w:lvl>
    <w:lvl w:ilvl="7" w:tentative="0">
      <w:start w:val="1"/>
      <w:numFmt w:val="bullet"/>
      <w:lvlText w:val="o"/>
      <w:lvlJc w:val="left"/>
      <w:pPr>
        <w:ind w:left="6186" w:hanging="360"/>
      </w:pPr>
      <w:rPr>
        <w:rFonts w:hint="default" w:ascii="Courier New" w:hAnsi="Courier New" w:cs="Courier New"/>
      </w:rPr>
    </w:lvl>
    <w:lvl w:ilvl="8" w:tentative="0">
      <w:start w:val="1"/>
      <w:numFmt w:val="bullet"/>
      <w:lvlText w:val=""/>
      <w:lvlJc w:val="left"/>
      <w:pPr>
        <w:ind w:left="6906" w:hanging="360"/>
      </w:pPr>
      <w:rPr>
        <w:rFonts w:hint="default" w:ascii="Wingdings" w:hAnsi="Wingdings"/>
      </w:rPr>
    </w:lvl>
  </w:abstractNum>
  <w:abstractNum w:abstractNumId="3">
    <w:nsid w:val="10545815"/>
    <w:multiLevelType w:val="singleLevel"/>
    <w:tmpl w:val="10545815"/>
    <w:lvl w:ilvl="0" w:tentative="0">
      <w:start w:val="1"/>
      <w:numFmt w:val="decimal"/>
      <w:lvlText w:val="5.%1"/>
      <w:lvlJc w:val="left"/>
      <w:pPr>
        <w:ind w:left="720" w:hanging="360"/>
      </w:pPr>
      <w:rPr>
        <w:rFonts w:hint="default" w:ascii="Tahoma" w:hAnsi="Tahoma"/>
        <w:b w:val="0"/>
        <w:bCs w:val="0"/>
        <w:sz w:val="22"/>
      </w:rPr>
    </w:lvl>
  </w:abstractNum>
  <w:abstractNum w:abstractNumId="4">
    <w:nsid w:val="146A2A17"/>
    <w:multiLevelType w:val="multilevel"/>
    <w:tmpl w:val="146A2A17"/>
    <w:lvl w:ilvl="0" w:tentative="0">
      <w:start w:val="1"/>
      <w:numFmt w:val="decimal"/>
      <w:lvlText w:val="1.%1"/>
      <w:lvlJc w:val="left"/>
      <w:pPr>
        <w:ind w:left="425" w:hanging="425"/>
      </w:pPr>
      <w:rPr>
        <w:rFonts w:hint="default" w:ascii="宋体" w:hAnsi="宋体" w:eastAsia="宋体" w:cs="宋体"/>
      </w:rPr>
    </w:lvl>
    <w:lvl w:ilvl="1" w:tentative="0">
      <w:start w:val="1"/>
      <w:numFmt w:val="decimal"/>
      <w:lvlText w:val="%1.%2."/>
      <w:lvlJc w:val="left"/>
      <w:pPr>
        <w:ind w:left="567" w:hanging="567"/>
      </w:pPr>
      <w:rPr>
        <w:rFonts w:hint="default"/>
      </w:rPr>
    </w:lvl>
    <w:lvl w:ilvl="2" w:tentative="0">
      <w:start w:val="1"/>
      <w:numFmt w:val="decimal"/>
      <w:lvlText w:val="%1.%2.%3."/>
      <w:lvlJc w:val="left"/>
      <w:pPr>
        <w:ind w:left="709" w:hanging="709"/>
      </w:pPr>
      <w:rPr>
        <w:rFonts w:hint="default"/>
      </w:rPr>
    </w:lvl>
    <w:lvl w:ilvl="3" w:tentative="0">
      <w:start w:val="1"/>
      <w:numFmt w:val="decimal"/>
      <w:lvlText w:val="%1.%2.%3.%4."/>
      <w:lvlJc w:val="left"/>
      <w:pPr>
        <w:ind w:left="850" w:hanging="85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abstractNum w:abstractNumId="5">
    <w:nsid w:val="1A4925E7"/>
    <w:multiLevelType w:val="multilevel"/>
    <w:tmpl w:val="1A4925E7"/>
    <w:lvl w:ilvl="0" w:tentative="0">
      <w:start w:val="1"/>
      <w:numFmt w:val="decimal"/>
      <w:lvlText w:val="7.%1"/>
      <w:lvlJc w:val="left"/>
      <w:pPr>
        <w:ind w:left="720" w:hanging="360"/>
      </w:pPr>
      <w:rPr>
        <w:rFonts w:hint="default" w:ascii="Tahoma" w:hAnsi="Tahoma"/>
        <w:b w:val="0"/>
        <w:bCs w:val="0"/>
        <w:sz w:val="22"/>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6">
    <w:nsid w:val="3455648E"/>
    <w:multiLevelType w:val="multilevel"/>
    <w:tmpl w:val="3455648E"/>
    <w:lvl w:ilvl="0" w:tentative="0">
      <w:start w:val="1"/>
      <w:numFmt w:val="bullet"/>
      <w:lvlText w:val="−"/>
      <w:lvlJc w:val="left"/>
      <w:pPr>
        <w:tabs>
          <w:tab w:val="left" w:pos="720"/>
        </w:tabs>
        <w:ind w:left="720" w:hanging="360"/>
      </w:pPr>
      <w:rPr>
        <w:rFonts w:hint="default" w:ascii="Times New Roman" w:hAnsi="Times New Roman" w:cs="Times New Roman"/>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7">
    <w:nsid w:val="50893E5E"/>
    <w:multiLevelType w:val="singleLevel"/>
    <w:tmpl w:val="50893E5E"/>
    <w:lvl w:ilvl="0" w:tentative="0">
      <w:start w:val="3"/>
      <w:numFmt w:val="decimal"/>
      <w:suff w:val="nothing"/>
      <w:lvlText w:val="%1、"/>
      <w:lvlJc w:val="left"/>
    </w:lvl>
  </w:abstractNum>
  <w:abstractNum w:abstractNumId="8">
    <w:nsid w:val="51FD1DED"/>
    <w:multiLevelType w:val="multilevel"/>
    <w:tmpl w:val="51FD1DED"/>
    <w:lvl w:ilvl="0" w:tentative="0">
      <w:start w:val="1"/>
      <w:numFmt w:val="bullet"/>
      <w:lvlText w:val="−"/>
      <w:lvlJc w:val="left"/>
      <w:pPr>
        <w:ind w:left="720" w:hanging="360"/>
      </w:pPr>
      <w:rPr>
        <w:rFonts w:hint="default" w:ascii="Times New Roman" w:hAnsi="Times New Roman" w:cs="Times New Roman"/>
        <w:b w:val="0"/>
        <w:bCs w:val="0"/>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9">
    <w:nsid w:val="54D47D87"/>
    <w:multiLevelType w:val="multilevel"/>
    <w:tmpl w:val="54D47D87"/>
    <w:lvl w:ilvl="0" w:tentative="0">
      <w:start w:val="1"/>
      <w:numFmt w:val="decimal"/>
      <w:lvlText w:val="8.%1"/>
      <w:lvlJc w:val="left"/>
      <w:pPr>
        <w:ind w:left="720" w:hanging="360"/>
      </w:pPr>
      <w:rPr>
        <w:rFonts w:hint="default" w:ascii="Tahoma" w:hAnsi="Tahoma"/>
        <w:b w:val="0"/>
        <w:bCs w:val="0"/>
        <w:sz w:val="22"/>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0">
    <w:nsid w:val="5D8436D8"/>
    <w:multiLevelType w:val="singleLevel"/>
    <w:tmpl w:val="5D8436D8"/>
    <w:lvl w:ilvl="0" w:tentative="0">
      <w:start w:val="2"/>
      <w:numFmt w:val="chineseCounting"/>
      <w:suff w:val="nothing"/>
      <w:lvlText w:val="%1、"/>
      <w:lvlJc w:val="left"/>
    </w:lvl>
  </w:abstractNum>
  <w:abstractNum w:abstractNumId="11">
    <w:nsid w:val="7838B2F8"/>
    <w:multiLevelType w:val="multilevel"/>
    <w:tmpl w:val="7838B2F8"/>
    <w:lvl w:ilvl="0" w:tentative="0">
      <w:start w:val="1"/>
      <w:numFmt w:val="decimal"/>
      <w:lvlText w:val="%1."/>
      <w:lvlJc w:val="left"/>
      <w:pPr>
        <w:ind w:left="425" w:hanging="425"/>
      </w:pPr>
      <w:rPr>
        <w:rFonts w:hint="default"/>
      </w:rPr>
    </w:lvl>
    <w:lvl w:ilvl="1" w:tentative="0">
      <w:start w:val="1"/>
      <w:numFmt w:val="decimal"/>
      <w:lvlText w:val="%1.%2."/>
      <w:lvlJc w:val="left"/>
      <w:pPr>
        <w:ind w:left="567" w:hanging="567"/>
      </w:pPr>
      <w:rPr>
        <w:rFonts w:hint="default"/>
      </w:rPr>
    </w:lvl>
    <w:lvl w:ilvl="2" w:tentative="0">
      <w:start w:val="1"/>
      <w:numFmt w:val="decimal"/>
      <w:lvlText w:val="%1.%2.%3."/>
      <w:lvlJc w:val="left"/>
      <w:pPr>
        <w:ind w:left="709" w:hanging="709"/>
      </w:pPr>
      <w:rPr>
        <w:rFonts w:hint="default"/>
      </w:rPr>
    </w:lvl>
    <w:lvl w:ilvl="3" w:tentative="0">
      <w:start w:val="1"/>
      <w:numFmt w:val="decimal"/>
      <w:lvlText w:val="%1.%2.%3.%4."/>
      <w:lvlJc w:val="left"/>
      <w:pPr>
        <w:ind w:left="850" w:hanging="85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abstractNum w:abstractNumId="12">
    <w:nsid w:val="7F3438F0"/>
    <w:multiLevelType w:val="multilevel"/>
    <w:tmpl w:val="7F3438F0"/>
    <w:lvl w:ilvl="0" w:tentative="0">
      <w:start w:val="1"/>
      <w:numFmt w:val="decimal"/>
      <w:lvlText w:val="7.3.%1."/>
      <w:lvlJc w:val="left"/>
      <w:pPr>
        <w:ind w:left="1146" w:hanging="360"/>
      </w:pPr>
      <w:rPr>
        <w:rFonts w:hint="default" w:ascii="Times New Roman" w:hAnsi="Times New Roman" w:cs="Times New Roman"/>
        <w:sz w:val="24"/>
        <w:szCs w:val="24"/>
      </w:rPr>
    </w:lvl>
    <w:lvl w:ilvl="1" w:tentative="0">
      <w:start w:val="1"/>
      <w:numFmt w:val="lowerLetter"/>
      <w:lvlText w:val="%2."/>
      <w:lvlJc w:val="left"/>
      <w:pPr>
        <w:ind w:left="1866" w:hanging="360"/>
      </w:pPr>
    </w:lvl>
    <w:lvl w:ilvl="2" w:tentative="0">
      <w:start w:val="1"/>
      <w:numFmt w:val="lowerRoman"/>
      <w:lvlText w:val="%3."/>
      <w:lvlJc w:val="right"/>
      <w:pPr>
        <w:ind w:left="2586" w:hanging="180"/>
      </w:pPr>
    </w:lvl>
    <w:lvl w:ilvl="3" w:tentative="0">
      <w:start w:val="1"/>
      <w:numFmt w:val="decimal"/>
      <w:lvlText w:val="%4."/>
      <w:lvlJc w:val="left"/>
      <w:pPr>
        <w:ind w:left="3306" w:hanging="360"/>
      </w:pPr>
    </w:lvl>
    <w:lvl w:ilvl="4" w:tentative="0">
      <w:start w:val="1"/>
      <w:numFmt w:val="lowerLetter"/>
      <w:lvlText w:val="%5."/>
      <w:lvlJc w:val="left"/>
      <w:pPr>
        <w:ind w:left="4026" w:hanging="360"/>
      </w:pPr>
    </w:lvl>
    <w:lvl w:ilvl="5" w:tentative="0">
      <w:start w:val="1"/>
      <w:numFmt w:val="lowerRoman"/>
      <w:lvlText w:val="%6."/>
      <w:lvlJc w:val="right"/>
      <w:pPr>
        <w:ind w:left="4746" w:hanging="180"/>
      </w:pPr>
    </w:lvl>
    <w:lvl w:ilvl="6" w:tentative="0">
      <w:start w:val="1"/>
      <w:numFmt w:val="decimal"/>
      <w:lvlText w:val="%7."/>
      <w:lvlJc w:val="left"/>
      <w:pPr>
        <w:ind w:left="5466" w:hanging="360"/>
      </w:pPr>
    </w:lvl>
    <w:lvl w:ilvl="7" w:tentative="0">
      <w:start w:val="1"/>
      <w:numFmt w:val="lowerLetter"/>
      <w:lvlText w:val="%8."/>
      <w:lvlJc w:val="left"/>
      <w:pPr>
        <w:ind w:left="6186" w:hanging="360"/>
      </w:pPr>
    </w:lvl>
    <w:lvl w:ilvl="8" w:tentative="0">
      <w:start w:val="1"/>
      <w:numFmt w:val="lowerRoman"/>
      <w:lvlText w:val="%9."/>
      <w:lvlJc w:val="right"/>
      <w:pPr>
        <w:ind w:left="6906" w:hanging="180"/>
      </w:pPr>
    </w:lvl>
  </w:abstractNum>
  <w:num w:numId="1">
    <w:abstractNumId w:val="1"/>
  </w:num>
  <w:num w:numId="2">
    <w:abstractNumId w:val="7"/>
  </w:num>
  <w:num w:numId="3">
    <w:abstractNumId w:val="10"/>
  </w:num>
  <w:num w:numId="4">
    <w:abstractNumId w:val="11"/>
  </w:num>
  <w:num w:numId="5">
    <w:abstractNumId w:val="4"/>
  </w:num>
  <w:num w:numId="6">
    <w:abstractNumId w:val="0"/>
  </w:num>
  <w:num w:numId="7">
    <w:abstractNumId w:val="8"/>
  </w:num>
  <w:num w:numId="8">
    <w:abstractNumId w:val="3"/>
  </w:num>
  <w:num w:numId="9">
    <w:abstractNumId w:val="6"/>
  </w:num>
  <w:num w:numId="10">
    <w:abstractNumId w:val="5"/>
  </w:num>
  <w:num w:numId="11">
    <w:abstractNumId w:val="12"/>
  </w:num>
  <w:num w:numId="12">
    <w:abstractNumId w:val="9"/>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3"/>
    </o:shapelayout>
  </w:hdrShapeDefaults>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GFkOGNiNDNhNDJlNzhhYTA0YThkNjg1YzYyZDI0ZGIifQ=="/>
  </w:docVars>
  <w:rsids>
    <w:rsidRoot w:val="00172A27"/>
    <w:rsid w:val="00172A27"/>
    <w:rsid w:val="001E7983"/>
    <w:rsid w:val="00323236"/>
    <w:rsid w:val="00444EF9"/>
    <w:rsid w:val="004A6A11"/>
    <w:rsid w:val="005426A0"/>
    <w:rsid w:val="006769CA"/>
    <w:rsid w:val="006C3671"/>
    <w:rsid w:val="007F34EC"/>
    <w:rsid w:val="0096720D"/>
    <w:rsid w:val="00B247F5"/>
    <w:rsid w:val="00B25007"/>
    <w:rsid w:val="00B27A44"/>
    <w:rsid w:val="00B67DEE"/>
    <w:rsid w:val="00BC12C0"/>
    <w:rsid w:val="00CB3215"/>
    <w:rsid w:val="00D3489F"/>
    <w:rsid w:val="00DC0635"/>
    <w:rsid w:val="00E478A7"/>
    <w:rsid w:val="01791428"/>
    <w:rsid w:val="01EC6E48"/>
    <w:rsid w:val="02352B5F"/>
    <w:rsid w:val="025C5328"/>
    <w:rsid w:val="02FF1593"/>
    <w:rsid w:val="030918B2"/>
    <w:rsid w:val="032D6CA7"/>
    <w:rsid w:val="0336798E"/>
    <w:rsid w:val="035C0186"/>
    <w:rsid w:val="03E3226F"/>
    <w:rsid w:val="04266092"/>
    <w:rsid w:val="04365B61"/>
    <w:rsid w:val="04452C9B"/>
    <w:rsid w:val="04650D62"/>
    <w:rsid w:val="04695151"/>
    <w:rsid w:val="04A41191"/>
    <w:rsid w:val="04CA21BE"/>
    <w:rsid w:val="050235C5"/>
    <w:rsid w:val="054C3F99"/>
    <w:rsid w:val="05873673"/>
    <w:rsid w:val="059238A6"/>
    <w:rsid w:val="063C7053"/>
    <w:rsid w:val="06863289"/>
    <w:rsid w:val="06925505"/>
    <w:rsid w:val="06F77D62"/>
    <w:rsid w:val="06F87785"/>
    <w:rsid w:val="07A47096"/>
    <w:rsid w:val="07FF4484"/>
    <w:rsid w:val="082A0972"/>
    <w:rsid w:val="09207320"/>
    <w:rsid w:val="09304618"/>
    <w:rsid w:val="09631F63"/>
    <w:rsid w:val="09CC4599"/>
    <w:rsid w:val="0A7D6CEB"/>
    <w:rsid w:val="0AAE502F"/>
    <w:rsid w:val="0AAF64D0"/>
    <w:rsid w:val="0AC07BC7"/>
    <w:rsid w:val="0AED0BAC"/>
    <w:rsid w:val="0B3244BD"/>
    <w:rsid w:val="0BA8707A"/>
    <w:rsid w:val="0BCC7AAD"/>
    <w:rsid w:val="0C246301"/>
    <w:rsid w:val="0C2A2D95"/>
    <w:rsid w:val="0D1D5ACE"/>
    <w:rsid w:val="0DB263FA"/>
    <w:rsid w:val="0DD57231"/>
    <w:rsid w:val="0E080FD1"/>
    <w:rsid w:val="0E8E3391"/>
    <w:rsid w:val="0E992C4A"/>
    <w:rsid w:val="0EA44B8E"/>
    <w:rsid w:val="0F0804E7"/>
    <w:rsid w:val="0F25005E"/>
    <w:rsid w:val="0F341CF7"/>
    <w:rsid w:val="0FA70FD0"/>
    <w:rsid w:val="0FD51E58"/>
    <w:rsid w:val="0FD56086"/>
    <w:rsid w:val="101C66B3"/>
    <w:rsid w:val="109525A4"/>
    <w:rsid w:val="118A7335"/>
    <w:rsid w:val="123D1ACD"/>
    <w:rsid w:val="12634E7C"/>
    <w:rsid w:val="127D3F85"/>
    <w:rsid w:val="12D9234D"/>
    <w:rsid w:val="12F63F1C"/>
    <w:rsid w:val="131751F9"/>
    <w:rsid w:val="137258D6"/>
    <w:rsid w:val="137F15CD"/>
    <w:rsid w:val="138052E0"/>
    <w:rsid w:val="14021D40"/>
    <w:rsid w:val="14415ACF"/>
    <w:rsid w:val="14755F67"/>
    <w:rsid w:val="14AC683B"/>
    <w:rsid w:val="14D13334"/>
    <w:rsid w:val="15191E10"/>
    <w:rsid w:val="15555F8A"/>
    <w:rsid w:val="15A24252"/>
    <w:rsid w:val="15E24378"/>
    <w:rsid w:val="16101076"/>
    <w:rsid w:val="167577B8"/>
    <w:rsid w:val="16F4295C"/>
    <w:rsid w:val="17084A05"/>
    <w:rsid w:val="171D7076"/>
    <w:rsid w:val="177D032E"/>
    <w:rsid w:val="180D292D"/>
    <w:rsid w:val="180F0B89"/>
    <w:rsid w:val="185C3AC4"/>
    <w:rsid w:val="189828A8"/>
    <w:rsid w:val="19000E6E"/>
    <w:rsid w:val="19071B3D"/>
    <w:rsid w:val="193719B2"/>
    <w:rsid w:val="196A78D0"/>
    <w:rsid w:val="196F43F1"/>
    <w:rsid w:val="197352ED"/>
    <w:rsid w:val="19B0249E"/>
    <w:rsid w:val="19B87040"/>
    <w:rsid w:val="1A2237D6"/>
    <w:rsid w:val="1B244752"/>
    <w:rsid w:val="1B4A78F4"/>
    <w:rsid w:val="1B4B64D7"/>
    <w:rsid w:val="1BE57EF4"/>
    <w:rsid w:val="1CC749A5"/>
    <w:rsid w:val="1CD65A43"/>
    <w:rsid w:val="1CE24ECF"/>
    <w:rsid w:val="1D3C0986"/>
    <w:rsid w:val="1E1E3DA7"/>
    <w:rsid w:val="1E255FAC"/>
    <w:rsid w:val="1F2B4A12"/>
    <w:rsid w:val="1F650237"/>
    <w:rsid w:val="1F6B2821"/>
    <w:rsid w:val="1F6B7112"/>
    <w:rsid w:val="202548A2"/>
    <w:rsid w:val="209A59B8"/>
    <w:rsid w:val="20B24001"/>
    <w:rsid w:val="222923F3"/>
    <w:rsid w:val="224E07B7"/>
    <w:rsid w:val="22C46DB9"/>
    <w:rsid w:val="22C86EB4"/>
    <w:rsid w:val="232C5AF5"/>
    <w:rsid w:val="237058CF"/>
    <w:rsid w:val="23B86E1F"/>
    <w:rsid w:val="23DC24B8"/>
    <w:rsid w:val="23EB0E9F"/>
    <w:rsid w:val="24152EB5"/>
    <w:rsid w:val="24DD3B60"/>
    <w:rsid w:val="24E22824"/>
    <w:rsid w:val="24FF7C03"/>
    <w:rsid w:val="25BD610A"/>
    <w:rsid w:val="25D84B16"/>
    <w:rsid w:val="25EF193E"/>
    <w:rsid w:val="268454F1"/>
    <w:rsid w:val="273C088B"/>
    <w:rsid w:val="278D6712"/>
    <w:rsid w:val="27A50E21"/>
    <w:rsid w:val="27D1764D"/>
    <w:rsid w:val="28105506"/>
    <w:rsid w:val="283A7765"/>
    <w:rsid w:val="28674AE9"/>
    <w:rsid w:val="28D30117"/>
    <w:rsid w:val="29890414"/>
    <w:rsid w:val="29901309"/>
    <w:rsid w:val="299C312E"/>
    <w:rsid w:val="2A326E54"/>
    <w:rsid w:val="2A436BA6"/>
    <w:rsid w:val="2A696E20"/>
    <w:rsid w:val="2AE11B61"/>
    <w:rsid w:val="2AFC0385"/>
    <w:rsid w:val="2B264334"/>
    <w:rsid w:val="2B28013E"/>
    <w:rsid w:val="2C535C51"/>
    <w:rsid w:val="2CFE2268"/>
    <w:rsid w:val="2D7A5FF8"/>
    <w:rsid w:val="2DF32E78"/>
    <w:rsid w:val="2E1C0F71"/>
    <w:rsid w:val="2E406FD4"/>
    <w:rsid w:val="2E527799"/>
    <w:rsid w:val="2EB629F9"/>
    <w:rsid w:val="2EEC1AAE"/>
    <w:rsid w:val="2EF23BDB"/>
    <w:rsid w:val="2F4A6DED"/>
    <w:rsid w:val="2F5E4550"/>
    <w:rsid w:val="2F634DBB"/>
    <w:rsid w:val="304B29EE"/>
    <w:rsid w:val="30FE77EE"/>
    <w:rsid w:val="31082F45"/>
    <w:rsid w:val="318C328D"/>
    <w:rsid w:val="31924BE4"/>
    <w:rsid w:val="32342B39"/>
    <w:rsid w:val="324E18BA"/>
    <w:rsid w:val="326162B1"/>
    <w:rsid w:val="32BB071B"/>
    <w:rsid w:val="32DD31D0"/>
    <w:rsid w:val="335B5CDB"/>
    <w:rsid w:val="33726ACA"/>
    <w:rsid w:val="337A6427"/>
    <w:rsid w:val="33911F81"/>
    <w:rsid w:val="346D361D"/>
    <w:rsid w:val="34EA0E56"/>
    <w:rsid w:val="355A0490"/>
    <w:rsid w:val="358316A2"/>
    <w:rsid w:val="35886790"/>
    <w:rsid w:val="35970F06"/>
    <w:rsid w:val="35BF5737"/>
    <w:rsid w:val="36B3305D"/>
    <w:rsid w:val="3702641D"/>
    <w:rsid w:val="37194424"/>
    <w:rsid w:val="378555EE"/>
    <w:rsid w:val="37D97B74"/>
    <w:rsid w:val="381534C6"/>
    <w:rsid w:val="384632CB"/>
    <w:rsid w:val="386431C3"/>
    <w:rsid w:val="389D55ED"/>
    <w:rsid w:val="38A671DD"/>
    <w:rsid w:val="38B279DA"/>
    <w:rsid w:val="397001C0"/>
    <w:rsid w:val="3A6462BE"/>
    <w:rsid w:val="3B092781"/>
    <w:rsid w:val="3B416126"/>
    <w:rsid w:val="3BFC1F16"/>
    <w:rsid w:val="3C0854E8"/>
    <w:rsid w:val="3C0B6A1B"/>
    <w:rsid w:val="3DA4647C"/>
    <w:rsid w:val="3DF05000"/>
    <w:rsid w:val="3DF4264D"/>
    <w:rsid w:val="3E106AB7"/>
    <w:rsid w:val="3E3E12A4"/>
    <w:rsid w:val="3E957E00"/>
    <w:rsid w:val="3ECA5B05"/>
    <w:rsid w:val="3F37329A"/>
    <w:rsid w:val="3F6D10D0"/>
    <w:rsid w:val="3FB847CA"/>
    <w:rsid w:val="3FB97BDE"/>
    <w:rsid w:val="3FE17198"/>
    <w:rsid w:val="4019333B"/>
    <w:rsid w:val="4070686C"/>
    <w:rsid w:val="40A14070"/>
    <w:rsid w:val="40A50065"/>
    <w:rsid w:val="40A64301"/>
    <w:rsid w:val="41026FF2"/>
    <w:rsid w:val="41374C89"/>
    <w:rsid w:val="41390BE6"/>
    <w:rsid w:val="41537CF9"/>
    <w:rsid w:val="41B71B28"/>
    <w:rsid w:val="42276876"/>
    <w:rsid w:val="42293DCA"/>
    <w:rsid w:val="42F250FC"/>
    <w:rsid w:val="42F3326A"/>
    <w:rsid w:val="43D61B01"/>
    <w:rsid w:val="43E75AB0"/>
    <w:rsid w:val="44040A87"/>
    <w:rsid w:val="44081823"/>
    <w:rsid w:val="44883016"/>
    <w:rsid w:val="44F95750"/>
    <w:rsid w:val="44FE0A20"/>
    <w:rsid w:val="45B11CDD"/>
    <w:rsid w:val="45CC3B51"/>
    <w:rsid w:val="45F51390"/>
    <w:rsid w:val="464A5455"/>
    <w:rsid w:val="468756CE"/>
    <w:rsid w:val="469C0AEA"/>
    <w:rsid w:val="478F5B75"/>
    <w:rsid w:val="47AF61B3"/>
    <w:rsid w:val="480461CB"/>
    <w:rsid w:val="48276DE7"/>
    <w:rsid w:val="4873371E"/>
    <w:rsid w:val="48DB4BA4"/>
    <w:rsid w:val="48DE6B77"/>
    <w:rsid w:val="490B39D9"/>
    <w:rsid w:val="49702B08"/>
    <w:rsid w:val="49C478BD"/>
    <w:rsid w:val="4A037FB3"/>
    <w:rsid w:val="4A095D93"/>
    <w:rsid w:val="4A5C1585"/>
    <w:rsid w:val="4B4D1E42"/>
    <w:rsid w:val="4B570F50"/>
    <w:rsid w:val="4B603C21"/>
    <w:rsid w:val="4B6B34CA"/>
    <w:rsid w:val="4B702EE8"/>
    <w:rsid w:val="4B811C91"/>
    <w:rsid w:val="4B9E6C5F"/>
    <w:rsid w:val="4BD079DB"/>
    <w:rsid w:val="4BD35D89"/>
    <w:rsid w:val="4C303A4D"/>
    <w:rsid w:val="4CAA60D9"/>
    <w:rsid w:val="4CAF53D1"/>
    <w:rsid w:val="4CC1435D"/>
    <w:rsid w:val="4CDE6804"/>
    <w:rsid w:val="4E123E0B"/>
    <w:rsid w:val="4E232D03"/>
    <w:rsid w:val="4E4E7838"/>
    <w:rsid w:val="4E66786B"/>
    <w:rsid w:val="4E915601"/>
    <w:rsid w:val="4E923937"/>
    <w:rsid w:val="4E9F4F08"/>
    <w:rsid w:val="4EC30E77"/>
    <w:rsid w:val="4EE01E5C"/>
    <w:rsid w:val="4F362701"/>
    <w:rsid w:val="4F4155AC"/>
    <w:rsid w:val="4FC36636"/>
    <w:rsid w:val="4FEB706B"/>
    <w:rsid w:val="4FF77D95"/>
    <w:rsid w:val="500637E0"/>
    <w:rsid w:val="506E7C56"/>
    <w:rsid w:val="50763396"/>
    <w:rsid w:val="522B204B"/>
    <w:rsid w:val="52B86B74"/>
    <w:rsid w:val="52FF6C76"/>
    <w:rsid w:val="54156B0B"/>
    <w:rsid w:val="54B34610"/>
    <w:rsid w:val="54C7144B"/>
    <w:rsid w:val="54CA2704"/>
    <w:rsid w:val="54D247B4"/>
    <w:rsid w:val="55E855F5"/>
    <w:rsid w:val="56CA37EE"/>
    <w:rsid w:val="5736198E"/>
    <w:rsid w:val="57771C22"/>
    <w:rsid w:val="58673E0D"/>
    <w:rsid w:val="58BA2300"/>
    <w:rsid w:val="58E3489B"/>
    <w:rsid w:val="59D7730C"/>
    <w:rsid w:val="59DF70ED"/>
    <w:rsid w:val="5A1274C3"/>
    <w:rsid w:val="5A341206"/>
    <w:rsid w:val="5A6E4D60"/>
    <w:rsid w:val="5A9F5FC0"/>
    <w:rsid w:val="5AD6284A"/>
    <w:rsid w:val="5B4C202E"/>
    <w:rsid w:val="5C816604"/>
    <w:rsid w:val="5CA2358F"/>
    <w:rsid w:val="5D26271C"/>
    <w:rsid w:val="5D677134"/>
    <w:rsid w:val="5D9F52E2"/>
    <w:rsid w:val="5E0F337D"/>
    <w:rsid w:val="5E4B5F5D"/>
    <w:rsid w:val="5E851442"/>
    <w:rsid w:val="5E8F52CD"/>
    <w:rsid w:val="5EBF4CF2"/>
    <w:rsid w:val="5F2169BB"/>
    <w:rsid w:val="5F472EE4"/>
    <w:rsid w:val="5F723500"/>
    <w:rsid w:val="600F58C5"/>
    <w:rsid w:val="601D564F"/>
    <w:rsid w:val="606A731A"/>
    <w:rsid w:val="61156461"/>
    <w:rsid w:val="61C97B21"/>
    <w:rsid w:val="61EE12E2"/>
    <w:rsid w:val="620E0006"/>
    <w:rsid w:val="62185F7D"/>
    <w:rsid w:val="623035D6"/>
    <w:rsid w:val="624D29AC"/>
    <w:rsid w:val="628152ED"/>
    <w:rsid w:val="62B14ECA"/>
    <w:rsid w:val="634770AE"/>
    <w:rsid w:val="63637560"/>
    <w:rsid w:val="63710A86"/>
    <w:rsid w:val="63A448E0"/>
    <w:rsid w:val="63B820CC"/>
    <w:rsid w:val="640E1D19"/>
    <w:rsid w:val="64C418D1"/>
    <w:rsid w:val="64C9384C"/>
    <w:rsid w:val="65462F10"/>
    <w:rsid w:val="65C53226"/>
    <w:rsid w:val="65ED0F75"/>
    <w:rsid w:val="66137CD5"/>
    <w:rsid w:val="66332C3D"/>
    <w:rsid w:val="671021B3"/>
    <w:rsid w:val="67A042C0"/>
    <w:rsid w:val="67C07FEA"/>
    <w:rsid w:val="67D84CA2"/>
    <w:rsid w:val="685968A7"/>
    <w:rsid w:val="687C620B"/>
    <w:rsid w:val="68A47AD2"/>
    <w:rsid w:val="68EF5D8C"/>
    <w:rsid w:val="696911E3"/>
    <w:rsid w:val="69AA62E8"/>
    <w:rsid w:val="6A042668"/>
    <w:rsid w:val="6A072C57"/>
    <w:rsid w:val="6A235B9C"/>
    <w:rsid w:val="6A682CE1"/>
    <w:rsid w:val="6B3F166A"/>
    <w:rsid w:val="6BAD71F9"/>
    <w:rsid w:val="6BED4BCC"/>
    <w:rsid w:val="6C026DF9"/>
    <w:rsid w:val="6C4B7AE2"/>
    <w:rsid w:val="6DB41281"/>
    <w:rsid w:val="6DB57D76"/>
    <w:rsid w:val="6DE51903"/>
    <w:rsid w:val="6E02713A"/>
    <w:rsid w:val="6E382E12"/>
    <w:rsid w:val="6FD01A68"/>
    <w:rsid w:val="6FDE4A4E"/>
    <w:rsid w:val="6FE541CD"/>
    <w:rsid w:val="6FE61007"/>
    <w:rsid w:val="6FF85789"/>
    <w:rsid w:val="70102050"/>
    <w:rsid w:val="705B2676"/>
    <w:rsid w:val="70781ECE"/>
    <w:rsid w:val="70A94169"/>
    <w:rsid w:val="70DF7DD6"/>
    <w:rsid w:val="71B2384D"/>
    <w:rsid w:val="72900B8E"/>
    <w:rsid w:val="72DD14B1"/>
    <w:rsid w:val="73310A01"/>
    <w:rsid w:val="737776B6"/>
    <w:rsid w:val="738947BC"/>
    <w:rsid w:val="73DC1397"/>
    <w:rsid w:val="73E44C7B"/>
    <w:rsid w:val="740B3E17"/>
    <w:rsid w:val="74BC7B63"/>
    <w:rsid w:val="751759EA"/>
    <w:rsid w:val="75797A94"/>
    <w:rsid w:val="76365BD4"/>
    <w:rsid w:val="76566F8A"/>
    <w:rsid w:val="765C67ED"/>
    <w:rsid w:val="76613572"/>
    <w:rsid w:val="76A03CEA"/>
    <w:rsid w:val="76D6583E"/>
    <w:rsid w:val="77527379"/>
    <w:rsid w:val="77BD03FF"/>
    <w:rsid w:val="781012E7"/>
    <w:rsid w:val="78544B97"/>
    <w:rsid w:val="78AA30AC"/>
    <w:rsid w:val="79950FD7"/>
    <w:rsid w:val="799821B4"/>
    <w:rsid w:val="7A277AD0"/>
    <w:rsid w:val="7A6A633A"/>
    <w:rsid w:val="7A8F6DD3"/>
    <w:rsid w:val="7AC27501"/>
    <w:rsid w:val="7B356A3E"/>
    <w:rsid w:val="7B6A2D86"/>
    <w:rsid w:val="7B76166F"/>
    <w:rsid w:val="7BFE2F5D"/>
    <w:rsid w:val="7C276BBD"/>
    <w:rsid w:val="7C5E3187"/>
    <w:rsid w:val="7CAF5699"/>
    <w:rsid w:val="7D277B40"/>
    <w:rsid w:val="7E345F13"/>
    <w:rsid w:val="7EC40C8A"/>
    <w:rsid w:val="7ECF02FC"/>
    <w:rsid w:val="7EF65D4E"/>
    <w:rsid w:val="7F3E73CD"/>
    <w:rsid w:val="7FA23334"/>
    <w:rsid w:val="7FBC64B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qFormat="1" w:uiPriority="39"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宋体" w:hAnsi="Times New Roman" w:eastAsia="宋体" w:cs="Times New Roman"/>
      <w:position w:val="-6"/>
      <w:sz w:val="32"/>
      <w:szCs w:val="22"/>
      <w:lang w:val="en-US" w:eastAsia="zh-CN" w:bidi="ar-SA"/>
    </w:rPr>
  </w:style>
  <w:style w:type="paragraph" w:styleId="4">
    <w:name w:val="heading 1"/>
    <w:basedOn w:val="1"/>
    <w:next w:val="1"/>
    <w:qFormat/>
    <w:uiPriority w:val="0"/>
    <w:pPr>
      <w:keepNext/>
      <w:keepLines/>
      <w:adjustRightInd w:val="0"/>
      <w:spacing w:before="340" w:after="330" w:line="578" w:lineRule="atLeast"/>
      <w:jc w:val="center"/>
      <w:textAlignment w:val="baseline"/>
      <w:outlineLvl w:val="0"/>
    </w:pPr>
    <w:rPr>
      <w:b/>
      <w:kern w:val="44"/>
      <w:sz w:val="44"/>
      <w:szCs w:val="20"/>
    </w:rPr>
  </w:style>
  <w:style w:type="paragraph" w:styleId="2">
    <w:name w:val="heading 2"/>
    <w:basedOn w:val="1"/>
    <w:next w:val="3"/>
    <w:qFormat/>
    <w:uiPriority w:val="0"/>
    <w:pPr>
      <w:keepNext/>
      <w:keepLines/>
      <w:adjustRightInd w:val="0"/>
      <w:spacing w:before="260" w:after="260" w:line="416" w:lineRule="atLeast"/>
      <w:jc w:val="center"/>
      <w:textAlignment w:val="baseline"/>
      <w:outlineLvl w:val="1"/>
    </w:pPr>
    <w:rPr>
      <w:rFonts w:ascii="Arial" w:hAnsi="Arial" w:eastAsia="黑体"/>
      <w:b/>
      <w:sz w:val="28"/>
      <w:szCs w:val="20"/>
    </w:rPr>
  </w:style>
  <w:style w:type="paragraph" w:styleId="5">
    <w:name w:val="heading 3"/>
    <w:basedOn w:val="1"/>
    <w:next w:val="1"/>
    <w:qFormat/>
    <w:uiPriority w:val="0"/>
    <w:pPr>
      <w:keepNext/>
      <w:keepLines/>
      <w:spacing w:before="260" w:after="260" w:line="416" w:lineRule="auto"/>
      <w:outlineLvl w:val="2"/>
    </w:pPr>
    <w:rPr>
      <w:b/>
      <w:bCs/>
      <w:szCs w:val="32"/>
    </w:rPr>
  </w:style>
  <w:style w:type="character" w:default="1" w:styleId="20">
    <w:name w:val="Default Paragraph Font"/>
    <w:link w:val="21"/>
    <w:unhideWhenUsed/>
    <w:qFormat/>
    <w:uiPriority w:val="1"/>
    <w:rPr>
      <w:rFonts w:ascii="宋体" w:hAnsi="宋体" w:cs="宋体"/>
    </w:rPr>
  </w:style>
  <w:style w:type="table" w:default="1" w:styleId="18">
    <w:name w:val="Normal Table"/>
    <w:unhideWhenUsed/>
    <w:qFormat/>
    <w:uiPriority w:val="99"/>
    <w:tblPr>
      <w:tblLayout w:type="fixed"/>
      <w:tblCellMar>
        <w:top w:w="0" w:type="dxa"/>
        <w:left w:w="108" w:type="dxa"/>
        <w:bottom w:w="0" w:type="dxa"/>
        <w:right w:w="108" w:type="dxa"/>
      </w:tblCellMar>
    </w:tblPr>
  </w:style>
  <w:style w:type="paragraph" w:styleId="3">
    <w:name w:val="Normal Indent"/>
    <w:basedOn w:val="1"/>
    <w:next w:val="1"/>
    <w:qFormat/>
    <w:uiPriority w:val="0"/>
    <w:pPr>
      <w:ind w:firstLine="420" w:firstLineChars="200"/>
    </w:pPr>
  </w:style>
  <w:style w:type="paragraph" w:styleId="6">
    <w:name w:val="toc 7"/>
    <w:basedOn w:val="1"/>
    <w:next w:val="1"/>
    <w:unhideWhenUsed/>
    <w:qFormat/>
    <w:uiPriority w:val="39"/>
    <w:pPr>
      <w:ind w:left="1260"/>
      <w:jc w:val="left"/>
    </w:pPr>
    <w:rPr>
      <w:rFonts w:ascii="Calibri" w:hAnsi="Calibri" w:cs="Calibri"/>
      <w:sz w:val="18"/>
      <w:szCs w:val="18"/>
    </w:rPr>
  </w:style>
  <w:style w:type="paragraph" w:styleId="7">
    <w:name w:val="Body Text"/>
    <w:basedOn w:val="1"/>
    <w:qFormat/>
    <w:uiPriority w:val="0"/>
    <w:pPr>
      <w:spacing w:after="120"/>
    </w:pPr>
  </w:style>
  <w:style w:type="paragraph" w:styleId="8">
    <w:name w:val="Body Text Indent"/>
    <w:basedOn w:val="1"/>
    <w:next w:val="1"/>
    <w:qFormat/>
    <w:uiPriority w:val="0"/>
    <w:pPr>
      <w:spacing w:line="360" w:lineRule="auto"/>
      <w:ind w:left="540" w:leftChars="257"/>
    </w:pPr>
    <w:rPr>
      <w:rFonts w:hAnsi="宋体"/>
    </w:rPr>
  </w:style>
  <w:style w:type="paragraph" w:styleId="9">
    <w:name w:val="Date"/>
    <w:basedOn w:val="1"/>
    <w:next w:val="1"/>
    <w:qFormat/>
    <w:uiPriority w:val="0"/>
    <w:pPr>
      <w:spacing w:line="312" w:lineRule="atLeast"/>
      <w:textAlignment w:val="baseline"/>
    </w:pPr>
    <w:rPr>
      <w:rFonts w:hint="eastAsia"/>
      <w:sz w:val="24"/>
    </w:rPr>
  </w:style>
  <w:style w:type="paragraph" w:styleId="10">
    <w:name w:val="footer"/>
    <w:basedOn w:val="1"/>
    <w:qFormat/>
    <w:uiPriority w:val="0"/>
    <w:pPr>
      <w:tabs>
        <w:tab w:val="center" w:pos="4153"/>
        <w:tab w:val="right" w:pos="8306"/>
      </w:tabs>
      <w:snapToGrid w:val="0"/>
      <w:jc w:val="left"/>
    </w:pPr>
    <w:rPr>
      <w:sz w:val="18"/>
    </w:rPr>
  </w:style>
  <w:style w:type="paragraph" w:styleId="11">
    <w:name w:val="header"/>
    <w:basedOn w:val="1"/>
    <w:next w:val="12"/>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rFonts w:ascii="Times New Roman"/>
      <w:sz w:val="18"/>
    </w:rPr>
  </w:style>
  <w:style w:type="paragraph" w:customStyle="1" w:styleId="12">
    <w:name w:val="目录 81"/>
    <w:next w:val="1"/>
    <w:qFormat/>
    <w:uiPriority w:val="0"/>
    <w:pPr>
      <w:wordWrap w:val="0"/>
      <w:ind w:left="2550"/>
      <w:jc w:val="both"/>
    </w:pPr>
    <w:rPr>
      <w:rFonts w:ascii="Times New Roman" w:hAnsi="Times New Roman" w:eastAsia="宋体" w:cs="Times New Roman"/>
      <w:sz w:val="21"/>
      <w:szCs w:val="22"/>
      <w:lang w:val="en-US" w:eastAsia="zh-CN" w:bidi="ar-SA"/>
    </w:rPr>
  </w:style>
  <w:style w:type="paragraph" w:styleId="13">
    <w:name w:val="toc 1"/>
    <w:basedOn w:val="1"/>
    <w:next w:val="1"/>
    <w:qFormat/>
    <w:uiPriority w:val="0"/>
    <w:pPr>
      <w:tabs>
        <w:tab w:val="right" w:leader="dot" w:pos="8812"/>
      </w:tabs>
      <w:spacing w:line="360" w:lineRule="auto"/>
      <w:jc w:val="left"/>
    </w:pPr>
    <w:rPr>
      <w:bCs/>
      <w:caps/>
      <w:szCs w:val="20"/>
    </w:rPr>
  </w:style>
  <w:style w:type="paragraph" w:styleId="14">
    <w:name w:val="toc 2"/>
    <w:basedOn w:val="1"/>
    <w:next w:val="1"/>
    <w:qFormat/>
    <w:uiPriority w:val="0"/>
    <w:pPr>
      <w:ind w:left="210"/>
      <w:jc w:val="left"/>
    </w:pPr>
    <w:rPr>
      <w:smallCaps/>
      <w:sz w:val="20"/>
      <w:szCs w:val="20"/>
    </w:rPr>
  </w:style>
  <w:style w:type="paragraph" w:styleId="15">
    <w:name w:val="Normal (Web)"/>
    <w:basedOn w:val="1"/>
    <w:qFormat/>
    <w:uiPriority w:val="0"/>
    <w:pPr>
      <w:spacing w:before="100" w:beforeAutospacing="1" w:after="100" w:afterAutospacing="1"/>
      <w:jc w:val="left"/>
    </w:pPr>
    <w:rPr>
      <w:sz w:val="24"/>
    </w:rPr>
  </w:style>
  <w:style w:type="paragraph" w:styleId="16">
    <w:name w:val="index 1"/>
    <w:basedOn w:val="1"/>
    <w:next w:val="1"/>
    <w:qFormat/>
    <w:uiPriority w:val="0"/>
    <w:pPr>
      <w:tabs>
        <w:tab w:val="left" w:pos="567"/>
      </w:tabs>
      <w:snapToGrid w:val="0"/>
      <w:spacing w:line="360" w:lineRule="auto"/>
      <w:jc w:val="center"/>
    </w:pPr>
    <w:rPr>
      <w:rFonts w:hint="eastAsia" w:hAnsi="宋体"/>
      <w:sz w:val="24"/>
    </w:rPr>
  </w:style>
  <w:style w:type="paragraph" w:styleId="17">
    <w:name w:val="Body Text First Indent 2"/>
    <w:basedOn w:val="8"/>
    <w:next w:val="6"/>
    <w:qFormat/>
    <w:uiPriority w:val="0"/>
    <w:pPr>
      <w:spacing w:after="120" w:line="240" w:lineRule="auto"/>
      <w:ind w:left="420" w:leftChars="200" w:firstLine="420" w:firstLineChars="200"/>
    </w:pPr>
  </w:style>
  <w:style w:type="table" w:styleId="19">
    <w:name w:val="Table Grid"/>
    <w:basedOn w:val="1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21">
    <w:name w:val=" Char Char Char Char"/>
    <w:basedOn w:val="1"/>
    <w:link w:val="20"/>
    <w:qFormat/>
    <w:uiPriority w:val="0"/>
    <w:pPr>
      <w:spacing w:line="360" w:lineRule="auto"/>
      <w:ind w:firstLine="200" w:firstLineChars="200"/>
    </w:pPr>
    <w:rPr>
      <w:rFonts w:ascii="宋体" w:hAnsi="宋体" w:cs="宋体"/>
    </w:rPr>
  </w:style>
  <w:style w:type="character" w:styleId="22">
    <w:name w:val="Strong"/>
    <w:qFormat/>
    <w:uiPriority w:val="22"/>
    <w:rPr>
      <w:b/>
      <w:bCs/>
    </w:rPr>
  </w:style>
  <w:style w:type="character" w:styleId="23">
    <w:name w:val="page number"/>
    <w:qFormat/>
    <w:uiPriority w:val="0"/>
  </w:style>
  <w:style w:type="character" w:styleId="24">
    <w:name w:val="Hyperlink"/>
    <w:semiHidden/>
    <w:qFormat/>
    <w:uiPriority w:val="0"/>
    <w:rPr>
      <w:color w:val="0000FF"/>
      <w:u w:val="single"/>
    </w:rPr>
  </w:style>
  <w:style w:type="paragraph" w:customStyle="1" w:styleId="25">
    <w:name w:val="Char Char Char Char"/>
    <w:basedOn w:val="1"/>
    <w:qFormat/>
    <w:uiPriority w:val="0"/>
    <w:pPr>
      <w:spacing w:line="360" w:lineRule="auto"/>
      <w:ind w:firstLine="200" w:firstLineChars="200"/>
    </w:pPr>
    <w:rPr>
      <w:rFonts w:hAnsi="宋体" w:cs="宋体"/>
    </w:rPr>
  </w:style>
  <w:style w:type="character" w:customStyle="1" w:styleId="26">
    <w:name w:val="wang正文 Char"/>
    <w:link w:val="27"/>
    <w:qFormat/>
    <w:uiPriority w:val="0"/>
    <w:rPr>
      <w:kern w:val="0"/>
    </w:rPr>
  </w:style>
  <w:style w:type="paragraph" w:customStyle="1" w:styleId="27">
    <w:name w:val="wang正文"/>
    <w:basedOn w:val="1"/>
    <w:link w:val="26"/>
    <w:qFormat/>
    <w:uiPriority w:val="0"/>
    <w:pPr>
      <w:tabs>
        <w:tab w:val="left" w:pos="6840"/>
      </w:tabs>
      <w:ind w:firstLine="420"/>
    </w:pPr>
  </w:style>
  <w:style w:type="paragraph" w:customStyle="1" w:styleId="28">
    <w:name w:val="Normal1"/>
    <w:qFormat/>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szCs w:val="22"/>
      <w:lang w:val="en-US" w:eastAsia="zh-CN" w:bidi="ar-SA"/>
    </w:rPr>
  </w:style>
  <w:style w:type="paragraph" w:customStyle="1" w:styleId="29">
    <w:name w:val="样式1"/>
    <w:basedOn w:val="1"/>
    <w:qFormat/>
    <w:uiPriority w:val="0"/>
    <w:pPr>
      <w:adjustRightInd w:val="0"/>
      <w:spacing w:line="420" w:lineRule="auto"/>
      <w:jc w:val="center"/>
      <w:textAlignment w:val="baseline"/>
    </w:pPr>
    <w:rPr>
      <w:sz w:val="24"/>
      <w:szCs w:val="20"/>
    </w:rPr>
  </w:style>
  <w:style w:type="paragraph" w:customStyle="1" w:styleId="30">
    <w:name w:val="列出段落1"/>
    <w:basedOn w:val="1"/>
    <w:qFormat/>
    <w:uiPriority w:val="34"/>
    <w:pPr>
      <w:ind w:firstLine="420" w:firstLineChars="200"/>
    </w:pPr>
    <w:rPr>
      <w:rFonts w:ascii="Calibri" w:hAnsi="Calibri" w:cs="黑体"/>
    </w:rPr>
  </w:style>
  <w:style w:type="paragraph" w:customStyle="1" w:styleId="31">
    <w:name w:val="CENTER 1"/>
    <w:basedOn w:val="1"/>
    <w:qFormat/>
    <w:uiPriority w:val="0"/>
    <w:pPr>
      <w:keepNext/>
      <w:widowControl/>
      <w:overflowPunct w:val="0"/>
      <w:autoSpaceDE w:val="0"/>
      <w:autoSpaceDN w:val="0"/>
      <w:spacing w:after="240"/>
      <w:jc w:val="center"/>
    </w:pPr>
    <w:rPr>
      <w:caps/>
    </w:rPr>
  </w:style>
  <w:style w:type="paragraph" w:customStyle="1" w:styleId="32">
    <w:name w:val="List Paragraph1"/>
    <w:basedOn w:val="1"/>
    <w:qFormat/>
    <w:uiPriority w:val="34"/>
    <w:pPr>
      <w:ind w:firstLine="420" w:firstLineChars="200"/>
    </w:pPr>
  </w:style>
  <w:style w:type="paragraph" w:customStyle="1" w:styleId="33">
    <w:name w:val="标题 11"/>
    <w:basedOn w:val="1"/>
    <w:next w:val="1"/>
    <w:qFormat/>
    <w:uiPriority w:val="0"/>
    <w:pPr>
      <w:keepNext/>
      <w:keepLines/>
      <w:tabs>
        <w:tab w:val="left" w:pos="480"/>
        <w:tab w:val="left" w:pos="850"/>
      </w:tabs>
      <w:autoSpaceDE w:val="0"/>
      <w:autoSpaceDN w:val="0"/>
      <w:spacing w:before="240" w:after="240" w:line="240" w:lineRule="atLeast"/>
      <w:ind w:left="850" w:hanging="425"/>
      <w:jc w:val="left"/>
      <w:textAlignment w:val="baseline"/>
      <w:outlineLvl w:val="0"/>
    </w:pPr>
    <w:rPr>
      <w:rFonts w:ascii="Arial" w:hAnsi="Arial"/>
      <w:b/>
      <w:kern w:val="44"/>
      <w:sz w:val="28"/>
    </w:rPr>
  </w:style>
  <w:style w:type="paragraph" w:customStyle="1" w:styleId="34">
    <w:name w:val="正文1"/>
    <w:basedOn w:val="1"/>
    <w:qFormat/>
    <w:uiPriority w:val="0"/>
    <w:pPr>
      <w:spacing w:line="50" w:lineRule="atLeast"/>
      <w:jc w:val="left"/>
      <w:textAlignment w:val="baseline"/>
    </w:pPr>
    <w:rPr>
      <w:rFonts w:hint="eastAsia"/>
      <w:sz w:val="24"/>
    </w:rPr>
  </w:style>
  <w:style w:type="paragraph" w:customStyle="1" w:styleId="35">
    <w:name w:val="标题2"/>
    <w:basedOn w:val="2"/>
    <w:qFormat/>
    <w:uiPriority w:val="0"/>
    <w:pPr>
      <w:keepLines w:val="0"/>
      <w:numPr>
        <w:ilvl w:val="1"/>
        <w:numId w:val="1"/>
      </w:numPr>
      <w:tabs>
        <w:tab w:val="left" w:pos="425"/>
        <w:tab w:val="left" w:pos="635"/>
      </w:tabs>
      <w:spacing w:before="0" w:after="0" w:line="360" w:lineRule="auto"/>
      <w:jc w:val="both"/>
    </w:pPr>
    <w:rPr>
      <w:rFonts w:ascii="Times New Roman" w:hAnsi="Times New Roman" w:eastAsia="宋体"/>
      <w:b w:val="0"/>
      <w:sz w:val="24"/>
    </w:rPr>
  </w:style>
  <w:style w:type="paragraph" w:customStyle="1" w:styleId="36">
    <w:name w:val="Char"/>
    <w:basedOn w:val="1"/>
    <w:qFormat/>
    <w:uiPriority w:val="0"/>
  </w:style>
  <w:style w:type="paragraph" w:customStyle="1" w:styleId="37">
    <w:name w:val="Table Paragraph"/>
    <w:basedOn w:val="1"/>
    <w:unhideWhenUsed/>
    <w:qFormat/>
    <w:uiPriority w:val="1"/>
    <w:rPr>
      <w:sz w:val="24"/>
    </w:rPr>
  </w:style>
  <w:style w:type="paragraph" w:customStyle="1" w:styleId="38">
    <w:name w:val="List Paragraph"/>
    <w:basedOn w:val="1"/>
    <w:qFormat/>
    <w:uiPriority w:val="99"/>
    <w:pPr>
      <w:ind w:left="720"/>
      <w:contextualSpacing/>
    </w:pPr>
  </w:style>
  <w:style w:type="paragraph" w:customStyle="1" w:styleId="39">
    <w:name w:val="样式 小四"/>
    <w:qFormat/>
    <w:uiPriority w:val="0"/>
    <w:pPr>
      <w:widowControl w:val="0"/>
    </w:pPr>
    <w:rPr>
      <w:rFonts w:ascii="宋体" w:hAnsi="Calibri" w:eastAsia="宋体" w:cs="Times New Roman"/>
      <w:kern w:val="2"/>
      <w:sz w:val="24"/>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2.xml"/><Relationship Id="rId7" Type="http://schemas.openxmlformats.org/officeDocument/2006/relationships/header" Target="header4.xml"/><Relationship Id="rId6" Type="http://schemas.openxmlformats.org/officeDocument/2006/relationships/header" Target="header3.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Pages>
  <Words>1191</Words>
  <Characters>3656</Characters>
  <Lines>31</Lines>
  <Paragraphs>8</Paragraphs>
  <TotalTime>1</TotalTime>
  <ScaleCrop>false</ScaleCrop>
  <LinksUpToDate>false</LinksUpToDate>
  <CharactersWithSpaces>4068</CharactersWithSpaces>
  <Application>WPS Office_11.8.2.8555_F1E327BC-269C-435d-A152-05C5408002CA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2023-06-26T04:28:00Z</dcterms:created>
  <dc:creator>lenovo</dc:creator>
  <cp:lastModifiedBy>yzj</cp:lastModifiedBy>
  <dcterms:modified xsi:type="dcterms:W3CDTF">2025-10-14T08:05:00Z</dcterms:modified>
  <dc:title>**公司</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2052-11.8.2.8555</vt:lpwstr>
  </property>
  <property fmtid="{D5CDD505-2E9C-101B-9397-08002B2CF9AE}" pid="3" name="ICV">
    <vt:lpwstr>08BF8CF8436F434887DC50B57D5B1461_13</vt:lpwstr>
  </property>
</Properties>
</file>