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2025年下半年办公用品</w:t>
      </w:r>
      <w:r>
        <w:rPr>
          <w:rFonts w:hint="eastAsia" w:ascii="方正小标宋简体" w:hAnsi="黑体" w:eastAsia="方正小标宋简体"/>
          <w:sz w:val="36"/>
          <w:szCs w:val="36"/>
        </w:rPr>
        <w:t>采购询价单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Office supplies in the second half of 2025</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350"/>
        <w:gridCol w:w="1560"/>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樊超</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Fan Chao</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5</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7. Batas Waktu Penawaran: Sebelum pukul 15.00 tanggal 15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w:t>
            </w:r>
            <w:bookmarkStart w:id="1" w:name="_GoBack"/>
            <w:bookmarkEnd w:id="1"/>
            <w:r>
              <w:rPr>
                <w:rStyle w:val="6"/>
                <w:rFonts w:hint="default" w:ascii="仿宋" w:hAnsi="仿宋" w:eastAsia="仿宋" w:cs="仿宋"/>
                <w:b w:val="0"/>
                <w:bCs/>
                <w:sz w:val="21"/>
                <w:szCs w:val="21"/>
                <w:lang w:bidi="ar"/>
              </w:rPr>
              <w:t>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11</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1 Berbaris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 dari total kontrak, untuk periode      .</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35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56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923"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移动硬盘</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西部数据(WD)2T,USB 3.0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350"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文件盒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晨光MG ADM929BU</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A4-S 55mm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A4透明抽杆文件夹</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规格A4 </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文件夹</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黑色：320×240×20mm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塑料报告夹</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打印纸</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A4，500张/包</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5包/箱</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打印纸</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A3，500张/包</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5包/箱</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塑封膜</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包</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塑封膜</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A3</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包</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燕尾夹</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19mm 12枚/盒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燕尾夹</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32mm 12枚/盒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回型针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160枚/盒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中性笔（不更换笔芯）</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晨光0.5mm(黑）</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12支/盒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中性笔（不更换笔芯）</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晨光0.5mm(红）</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12支/盒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纸胶带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宽24mm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双面胶带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宽24mm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双面胶带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宽48mm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透明胶带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宽12mm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透明胶带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宽45mm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剪刀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长度：170mm宽度：60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得力美工刀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常规款155*26mm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美工刀刀片</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适用于常规款155*26mm/盒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得力订书机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可使用24/6及26/6订书针</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得力笔记本</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带磁扣笔记本A5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本</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46</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软面抄笔记本</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本</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油性记号笔</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白色</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支</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便利贴</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76mm*51mm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包</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502胶水</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15g</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支</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得力透明液体胶水</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50ml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支</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得力鼠标垫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250mm*200mm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张</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无线鼠标</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惠普（办公）</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有线键盘</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惠普（办公）</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切纸刀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 地盘300*25mm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（Ricoh）MP3554C 墨粉（黑色）</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 适用设备MP2554/3054/3554/2555/3055/3555/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HP 107A墨盒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 HP w1333X墨盒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适用于HP Pro M405dn打印机</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适用于HP M701n打印机、型号93A墨盒</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CE740A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CE741A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HP Laser 103a W1003AC</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激光打印机墨盒/LJ2268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746S彩色（适用于Canon TR4670S）</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745S黑色（适用于Canon TR4670S）</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CF500A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CF501A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CF502A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墨盒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CF503A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电池</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节</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电池</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节</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9V电池</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6F22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节</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抹布</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吸水抹布，35cm*35cm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插线板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3位5孔</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垃圾桶</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中号8L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两票印章</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Style w:val="14"/>
                <w:rFonts w:hint="eastAsia" w:ascii="仿宋" w:hAnsi="仿宋" w:eastAsia="仿宋" w:cs="仿宋"/>
                <w:sz w:val="21"/>
                <w:szCs w:val="21"/>
                <w:lang w:val="en-US" w:eastAsia="zh-CN" w:bidi="ar"/>
              </w:rPr>
              <w:t>“</w:t>
            </w:r>
            <w:r>
              <w:rPr>
                <w:rStyle w:val="15"/>
                <w:rFonts w:hint="eastAsia" w:ascii="仿宋" w:hAnsi="仿宋" w:eastAsia="仿宋" w:cs="仿宋"/>
                <w:sz w:val="21"/>
                <w:szCs w:val="21"/>
                <w:lang w:val="en-US" w:eastAsia="zh-CN" w:bidi="ar"/>
              </w:rPr>
              <w:t>已执行</w:t>
            </w:r>
            <w:r>
              <w:rPr>
                <w:rStyle w:val="16"/>
                <w:rFonts w:hint="eastAsia" w:ascii="仿宋" w:hAnsi="仿宋" w:eastAsia="仿宋" w:cs="仿宋"/>
                <w:sz w:val="21"/>
                <w:szCs w:val="21"/>
                <w:lang w:val="en-US" w:eastAsia="zh-CN" w:bidi="ar"/>
              </w:rPr>
              <w:t>”</w:t>
            </w:r>
            <w:r>
              <w:rPr>
                <w:rStyle w:val="17"/>
                <w:rFonts w:hint="eastAsia" w:ascii="仿宋" w:hAnsi="仿宋" w:eastAsia="仿宋" w:cs="仿宋"/>
                <w:sz w:val="21"/>
                <w:szCs w:val="21"/>
                <w:lang w:val="en-US" w:eastAsia="zh-CN" w:bidi="ar"/>
              </w:rPr>
              <w:t>、</w:t>
            </w:r>
            <w:r>
              <w:rPr>
                <w:rStyle w:val="16"/>
                <w:rFonts w:hint="eastAsia" w:ascii="仿宋" w:hAnsi="仿宋" w:eastAsia="仿宋" w:cs="仿宋"/>
                <w:sz w:val="21"/>
                <w:szCs w:val="21"/>
                <w:lang w:val="en-US" w:eastAsia="zh-CN" w:bidi="ar"/>
              </w:rPr>
              <w:t>“</w:t>
            </w:r>
            <w:r>
              <w:rPr>
                <w:rStyle w:val="17"/>
                <w:rFonts w:hint="eastAsia" w:ascii="仿宋" w:hAnsi="仿宋" w:eastAsia="仿宋" w:cs="仿宋"/>
                <w:sz w:val="21"/>
                <w:szCs w:val="21"/>
                <w:lang w:val="en-US" w:eastAsia="zh-CN" w:bidi="ar"/>
              </w:rPr>
              <w:t>作废</w:t>
            </w:r>
            <w:r>
              <w:rPr>
                <w:rStyle w:val="16"/>
                <w:rFonts w:hint="eastAsia" w:ascii="仿宋" w:hAnsi="仿宋" w:eastAsia="仿宋" w:cs="仿宋"/>
                <w:sz w:val="21"/>
                <w:szCs w:val="21"/>
                <w:lang w:val="en-US" w:eastAsia="zh-CN" w:bidi="ar"/>
              </w:rPr>
              <w:t>”</w:t>
            </w:r>
            <w:r>
              <w:rPr>
                <w:rStyle w:val="17"/>
                <w:rFonts w:hint="eastAsia" w:ascii="仿宋" w:hAnsi="仿宋" w:eastAsia="仿宋" w:cs="仿宋"/>
                <w:sz w:val="21"/>
                <w:szCs w:val="21"/>
                <w:lang w:val="en-US" w:eastAsia="zh-CN" w:bidi="ar"/>
              </w:rPr>
              <w:t>等（双语）</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铅笔转笔刀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得力 可削7-12mm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Style w:val="18"/>
                <w:rFonts w:hint="eastAsia" w:ascii="仿宋" w:hAnsi="仿宋" w:eastAsia="仿宋" w:cs="仿宋"/>
                <w:sz w:val="21"/>
                <w:szCs w:val="21"/>
                <w:lang w:val="en-US" w:eastAsia="zh-CN" w:bidi="ar"/>
              </w:rPr>
              <w:t>信封</w:t>
            </w:r>
            <w:r>
              <w:rPr>
                <w:rStyle w:val="19"/>
                <w:rFonts w:hint="eastAsia" w:ascii="仿宋" w:hAnsi="仿宋" w:eastAsia="仿宋" w:cs="仿宋"/>
                <w:sz w:val="21"/>
                <w:szCs w:val="21"/>
                <w:lang w:val="en-US" w:eastAsia="zh-CN" w:bidi="ar"/>
              </w:rPr>
              <w:br w:type="textWrapping"/>
            </w:r>
            <w:r>
              <w:rPr>
                <w:rStyle w:val="19"/>
                <w:rFonts w:hint="eastAsia" w:ascii="仿宋" w:hAnsi="仿宋" w:eastAsia="仿宋" w:cs="仿宋"/>
                <w:sz w:val="21"/>
                <w:szCs w:val="21"/>
                <w:lang w:val="en-US" w:eastAsia="zh-CN" w:bidi="ar"/>
              </w:rPr>
              <w:t>folio</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F4/legal size、生产商SIDU</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桌面定位贴</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1x3cm 黄色L型</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不粘胶标签贴纸</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红色[201]38x24mm  （24枚/张）</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张</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不粘胶标签贴纸</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红色[501]28x46mm  （16枚/张）</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张</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彩色胶带5S桌面定位标识胶带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红色 10mm宽/50m长/卷</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卷</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一体机电脑（主板）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HP ProOne 400 G5 20.0-in All-in-One</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透明信封文件袋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电脑显示屏连接线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HDMI-1米</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58"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483"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BC0BA3"/>
    <w:rsid w:val="1C771079"/>
    <w:rsid w:val="22050570"/>
    <w:rsid w:val="25E02FB7"/>
    <w:rsid w:val="30236782"/>
    <w:rsid w:val="37E14762"/>
    <w:rsid w:val="3F1A65D4"/>
    <w:rsid w:val="3F640352"/>
    <w:rsid w:val="51327AEA"/>
    <w:rsid w:val="5B7B286E"/>
    <w:rsid w:val="60810D7D"/>
    <w:rsid w:val="73801BA4"/>
    <w:rsid w:val="7783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uiPriority w:val="0"/>
    <w:rPr>
      <w:rFonts w:hint="default" w:ascii="Times New Roman" w:hAnsi="Times New Roman" w:cs="Times New Roman"/>
      <w:color w:val="000000"/>
      <w:sz w:val="24"/>
      <w:szCs w:val="24"/>
      <w:u w:val="none"/>
    </w:rPr>
  </w:style>
  <w:style w:type="character" w:customStyle="1" w:styleId="15">
    <w:name w:val="font71"/>
    <w:basedOn w:val="3"/>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3</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2025-10-10T02:36:38Z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