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60"/>
        </w:tabs>
        <w:jc w:val="center"/>
        <w:rPr>
          <w:rFonts w:ascii="Times New Roman" w:eastAsia="仿宋"/>
          <w:b/>
          <w:sz w:val="28"/>
          <w:szCs w:val="28"/>
        </w:rPr>
      </w:pPr>
      <w:bookmarkStart w:id="0" w:name="OLE_LINK1"/>
      <w:r>
        <w:rPr>
          <w:rFonts w:hint="eastAsia" w:ascii="Times New Roman" w:eastAsia="仿宋"/>
          <w:b/>
          <w:sz w:val="28"/>
          <w:szCs w:val="28"/>
          <w:lang w:val="en-US" w:eastAsia="zh-CN"/>
        </w:rPr>
        <w:t>印尼玻雅分公司防静电工作服</w:t>
      </w:r>
      <w:r>
        <w:rPr>
          <w:rFonts w:ascii="Times New Roman" w:eastAsia="仿宋"/>
          <w:b/>
          <w:sz w:val="28"/>
          <w:szCs w:val="28"/>
        </w:rPr>
        <w:t>采购</w:t>
      </w:r>
      <w:r>
        <w:rPr>
          <w:rFonts w:hint="eastAsia" w:ascii="Times New Roman" w:eastAsia="仿宋"/>
          <w:b/>
          <w:sz w:val="28"/>
          <w:szCs w:val="28"/>
          <w:lang w:val="en-US" w:eastAsia="zh-CN"/>
        </w:rPr>
        <w:t>询比文件</w:t>
      </w:r>
      <w:r>
        <w:rPr>
          <w:rFonts w:hint="eastAsia" w:eastAsia="仿宋"/>
          <w:b/>
          <w:sz w:val="28"/>
          <w:szCs w:val="28"/>
          <w:lang w:val="en-US" w:eastAsia="zh-CN"/>
        </w:rPr>
        <w:t>(第二次）</w:t>
      </w:r>
    </w:p>
    <w:bookmarkEnd w:id="0"/>
    <w:p>
      <w:pPr>
        <w:jc w:val="center"/>
        <w:rPr>
          <w:rFonts w:hint="eastAsia" w:ascii="Times New Roman" w:eastAsia="仿宋"/>
          <w:b/>
          <w:sz w:val="28"/>
          <w:szCs w:val="28"/>
        </w:rPr>
      </w:pPr>
      <w:r>
        <w:rPr>
          <w:rFonts w:hint="eastAsia" w:ascii="Times New Roman" w:eastAsia="仿宋"/>
          <w:b/>
          <w:sz w:val="28"/>
          <w:szCs w:val="28"/>
        </w:rPr>
        <w:t xml:space="preserve"> Dokumen pertanyaan pembelian pakaian kerja an</w:t>
      </w:r>
      <w:bookmarkStart w:id="2" w:name="_GoBack"/>
      <w:bookmarkEnd w:id="2"/>
      <w:r>
        <w:rPr>
          <w:rFonts w:hint="eastAsia" w:ascii="Times New Roman" w:eastAsia="仿宋"/>
          <w:b/>
          <w:sz w:val="28"/>
          <w:szCs w:val="28"/>
        </w:rPr>
        <w:t>tistatis</w:t>
      </w:r>
      <w:r>
        <w:rPr>
          <w:rFonts w:hint="eastAsia" w:ascii="Times New Roman" w:eastAsia="仿宋"/>
          <w:b/>
          <w:sz w:val="28"/>
          <w:szCs w:val="28"/>
          <w:lang w:val="en-US" w:eastAsia="zh-CN"/>
        </w:rPr>
        <w:t xml:space="preserve"> </w:t>
      </w:r>
      <w:r>
        <w:rPr>
          <w:rFonts w:hint="eastAsia" w:ascii="Times New Roman" w:eastAsia="仿宋"/>
          <w:b/>
          <w:sz w:val="28"/>
          <w:szCs w:val="28"/>
          <w:lang w:val="en-US" w:eastAsia="zh-CN"/>
        </w:rPr>
        <w:t xml:space="preserve">(Kedua) </w:t>
      </w:r>
      <w:r>
        <w:rPr>
          <w:rFonts w:hint="eastAsia" w:ascii="Times New Roman" w:eastAsia="仿宋"/>
          <w:b/>
          <w:sz w:val="28"/>
          <w:szCs w:val="28"/>
          <w:lang w:val="en-US" w:eastAsia="zh-CN"/>
        </w:rPr>
        <w:t xml:space="preserve">Cabang SUMSEL-8 Indonesia </w:t>
      </w:r>
    </w:p>
    <w:p>
      <w:pPr>
        <w:spacing w:line="360" w:lineRule="auto"/>
        <w:rPr>
          <w:rFonts w:ascii="Times New Roman" w:eastAsia="仿宋"/>
          <w:bCs/>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ascii="Times New Roman" w:eastAsia="仿宋"/>
          <w:bCs/>
          <w:sz w:val="24"/>
          <w:szCs w:val="24"/>
        </w:rPr>
        <w:t>一、资格条件Kualifikasi：</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hint="eastAsia" w:ascii="Times New Roman" w:eastAsia="仿宋"/>
          <w:bCs/>
          <w:sz w:val="24"/>
          <w:szCs w:val="24"/>
        </w:rPr>
        <w:t>1、</w:t>
      </w:r>
      <w:r>
        <w:rPr>
          <w:rFonts w:ascii="Times New Roman" w:eastAsia="仿宋"/>
          <w:bCs/>
          <w:sz w:val="24"/>
          <w:szCs w:val="24"/>
        </w:rPr>
        <w:t>供应商是印度尼西亚注册公司, 具有独立的法人资格，持有有效营业执照，能够独立承担民事责任。</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ascii="Times New Roman" w:eastAsia="仿宋"/>
          <w:bCs/>
          <w:sz w:val="24"/>
          <w:szCs w:val="24"/>
        </w:rPr>
        <w:t>Penawar adalah perusahaan terdaftar di Indonesia, memiliki badan hukum independen, memiliki izin usaha yang sah, dapat menanggung tanggung jawab perdata secara mandiri, dan dapat menandatangani kontrak secara mandiri</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hint="eastAsia" w:ascii="Times New Roman" w:eastAsia="仿宋"/>
          <w:bCs/>
          <w:sz w:val="24"/>
          <w:szCs w:val="24"/>
          <w:lang w:val="en-US" w:eastAsia="zh-CN"/>
        </w:rPr>
        <w:t>二、</w:t>
      </w:r>
      <w:r>
        <w:rPr>
          <w:rFonts w:ascii="Times New Roman" w:eastAsia="仿宋"/>
          <w:bCs/>
          <w:sz w:val="24"/>
          <w:szCs w:val="24"/>
        </w:rPr>
        <w:t xml:space="preserve">技术要求 </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ascii="Times New Roman" w:eastAsia="仿宋"/>
          <w:bCs/>
          <w:sz w:val="24"/>
          <w:szCs w:val="24"/>
        </w:rPr>
        <w:t>二、Persyaratan Teknis：</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hint="eastAsia" w:ascii="Times New Roman" w:eastAsia="仿宋"/>
          <w:bCs/>
          <w:sz w:val="24"/>
          <w:szCs w:val="24"/>
          <w:lang w:val="en-US" w:eastAsia="zh-CN"/>
        </w:rPr>
        <w:t>详见技术规范书。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lang w:val="id-ID"/>
        </w:rPr>
      </w:pPr>
      <w:r>
        <w:rPr>
          <w:rFonts w:ascii="Times New Roman" w:eastAsia="仿宋"/>
          <w:bCs/>
          <w:sz w:val="24"/>
          <w:szCs w:val="24"/>
        </w:rPr>
        <w:t xml:space="preserve"> </w:t>
      </w:r>
      <w:r>
        <w:rPr>
          <w:rFonts w:hint="eastAsia" w:ascii="Times New Roman" w:eastAsia="仿宋"/>
          <w:bCs/>
          <w:sz w:val="24"/>
          <w:szCs w:val="24"/>
        </w:rPr>
        <w:t>Lihat spesifikasi teknis untuk detailnya.</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hint="eastAsia" w:ascii="Times New Roman" w:eastAsia="仿宋"/>
          <w:bCs/>
          <w:sz w:val="24"/>
          <w:szCs w:val="24"/>
          <w:lang w:val="en-US" w:eastAsia="zh-CN"/>
        </w:rPr>
        <w:t>三、</w:t>
      </w:r>
      <w:r>
        <w:rPr>
          <w:rFonts w:ascii="Times New Roman" w:eastAsia="仿宋"/>
          <w:bCs/>
          <w:sz w:val="24"/>
          <w:szCs w:val="24"/>
        </w:rPr>
        <w:t xml:space="preserve">其他要求 </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ascii="Times New Roman" w:eastAsia="仿宋"/>
          <w:bCs/>
          <w:sz w:val="24"/>
          <w:szCs w:val="24"/>
        </w:rPr>
        <w:t>三、Persyaratan Lain：</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ascii="Times New Roman" w:eastAsia="仿宋"/>
          <w:bCs/>
          <w:sz w:val="24"/>
          <w:szCs w:val="24"/>
        </w:rPr>
        <w:t>1、报价要求：分别报出单价，以及总价格， 总价包括但不限于与执行本合同有关的所有费用，如产品价格、运输费用、装卸费、退货运费、增值税、利润等。</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ascii="Times New Roman" w:eastAsia="仿宋"/>
          <w:bCs/>
          <w:sz w:val="24"/>
          <w:szCs w:val="24"/>
        </w:rPr>
        <w:t xml:space="preserve">1、Persyaratan Penawaran: Kutipan didasarkan pada daftar persediaan dan harga satuan dikutip secara terpisah, termasuk namun tidak terbatas pada semua biaya yang terkait dengan pelaksanaan kontrak ini, seperti harga produk, biaya transportasi, biaya bongkar muat, biaya pengiriman kembali , pajak pertambahan nilai, bea cukai, dan lain-lain. </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ascii="Times New Roman" w:eastAsia="仿宋"/>
          <w:bCs/>
          <w:sz w:val="24"/>
          <w:szCs w:val="24"/>
        </w:rPr>
        <w:t xml:space="preserve"> 2. 本合同为固定总价合同。</w:t>
      </w:r>
      <w:r>
        <w:rPr>
          <w:rFonts w:hint="eastAsia" w:ascii="Times New Roman" w:eastAsia="仿宋"/>
          <w:bCs/>
          <w:sz w:val="24"/>
          <w:szCs w:val="24"/>
          <w:lang w:val="en-US" w:eastAsia="zh-CN"/>
        </w:rPr>
        <w:t>所有税率按适用税率执行，如遇国家税率调整，不含税总价不变，税率、税费按新的规定执行。</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ascii="Times New Roman" w:eastAsia="仿宋"/>
          <w:bCs/>
          <w:sz w:val="24"/>
          <w:szCs w:val="24"/>
        </w:rPr>
        <w:t xml:space="preserve"> 2、Kontrak ini merupakan kontrak harga total tetap.</w:t>
      </w:r>
      <w:r>
        <w:rPr>
          <w:rFonts w:hint="eastAsia" w:ascii="Times New Roman" w:eastAsia="仿宋"/>
          <w:bCs/>
          <w:sz w:val="24"/>
          <w:szCs w:val="24"/>
        </w:rPr>
        <w:t>Jika tarif pajak nasional disesuaikan, total harga tidak termasuk pajak tidak akan berubah, dan tarif pajak serta pajak akan diterapkan sesuai dengan peraturan baru.</w:t>
      </w:r>
    </w:p>
    <w:p>
      <w:pPr>
        <w:keepNext w:val="0"/>
        <w:keepLines w:val="0"/>
        <w:pageBreakBefore w:val="0"/>
        <w:widowControl w:val="0"/>
        <w:kinsoku/>
        <w:wordWrap/>
        <w:overflowPunct/>
        <w:topLinePunct w:val="0"/>
        <w:autoSpaceDE/>
        <w:autoSpaceDN/>
        <w:bidi w:val="0"/>
        <w:adjustRightInd/>
        <w:snapToGrid/>
        <w:spacing w:line="360" w:lineRule="auto"/>
        <w:ind w:left="959" w:leftChars="228" w:right="0" w:rightChars="0" w:hanging="480" w:hangingChars="200"/>
        <w:jc w:val="both"/>
        <w:textAlignment w:val="auto"/>
        <w:outlineLvl w:val="9"/>
        <w:rPr>
          <w:rFonts w:ascii="Times New Roman" w:eastAsia="仿宋"/>
          <w:bCs/>
          <w:sz w:val="24"/>
          <w:szCs w:val="24"/>
        </w:rPr>
      </w:pPr>
      <w:r>
        <w:rPr>
          <w:rFonts w:ascii="Times New Roman" w:eastAsia="仿宋"/>
          <w:bCs/>
          <w:sz w:val="24"/>
          <w:szCs w:val="24"/>
        </w:rPr>
        <w:t xml:space="preserve"> 3. 付款方式：甲、乙双方验收签字确认后，甲方在收到乙方正确、合法合规发票等资料后30天内支付全额货款的</w:t>
      </w:r>
      <w:r>
        <w:rPr>
          <w:rFonts w:hint="eastAsia" w:ascii="Times New Roman" w:eastAsia="仿宋"/>
          <w:bCs/>
          <w:sz w:val="24"/>
          <w:szCs w:val="24"/>
          <w:lang w:val="en-US" w:eastAsia="zh-CN"/>
        </w:rPr>
        <w:t>97</w:t>
      </w:r>
      <w:r>
        <w:rPr>
          <w:rFonts w:ascii="Times New Roman" w:eastAsia="仿宋"/>
          <w:bCs/>
          <w:sz w:val="24"/>
          <w:szCs w:val="24"/>
        </w:rPr>
        <w:t>%</w:t>
      </w:r>
      <w:r>
        <w:rPr>
          <w:rFonts w:hint="eastAsia" w:ascii="Times New Roman" w:eastAsia="仿宋"/>
          <w:bCs/>
          <w:sz w:val="24"/>
          <w:szCs w:val="24"/>
          <w:lang w:eastAsia="zh-CN"/>
        </w:rPr>
        <w:t>，</w:t>
      </w:r>
      <w:r>
        <w:rPr>
          <w:rFonts w:hint="eastAsia" w:ascii="Times New Roman" w:eastAsia="仿宋"/>
          <w:bCs/>
          <w:sz w:val="24"/>
          <w:szCs w:val="24"/>
          <w:lang w:val="en-US" w:eastAsia="zh-CN"/>
        </w:rPr>
        <w:t>3%为质保金，三个月后无产品质量问题，开具质保金付款验收单后支付剩余3%</w:t>
      </w:r>
      <w:r>
        <w:rPr>
          <w:rFonts w:ascii="Times New Roman" w:eastAsia="仿宋"/>
          <w:bCs/>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959" w:leftChars="228" w:right="0" w:rightChars="0" w:hanging="480" w:hangingChars="200"/>
        <w:jc w:val="both"/>
        <w:textAlignment w:val="auto"/>
        <w:outlineLvl w:val="9"/>
        <w:rPr>
          <w:rFonts w:ascii="Times New Roman" w:eastAsia="仿宋"/>
          <w:bCs/>
          <w:sz w:val="24"/>
          <w:szCs w:val="24"/>
        </w:rPr>
      </w:pPr>
      <w:r>
        <w:rPr>
          <w:rFonts w:ascii="Times New Roman" w:eastAsia="仿宋"/>
          <w:bCs/>
          <w:sz w:val="24"/>
          <w:szCs w:val="24"/>
        </w:rPr>
        <w:t xml:space="preserve"> 3、Metode pembayaran: Setelah Pihak Pertama dan Pihak Kedua menandatangani dan mengonfirmasi penerimaan, Pihak Pertama harus membayar 100% dari pembayaran penuh dalam waktu 30 hari setelah Pihak Kedua menerima faktur yang benar dan sesuai dengan hukum dan informasi lainnya</w:t>
      </w:r>
      <w:r>
        <w:rPr>
          <w:rFonts w:hint="eastAsia" w:ascii="Times New Roman" w:eastAsia="仿宋"/>
          <w:bCs/>
          <w:sz w:val="24"/>
          <w:szCs w:val="24"/>
          <w:lang w:val="en-US" w:eastAsia="zh-CN"/>
        </w:rPr>
        <w:t>,</w:t>
      </w:r>
      <w:r>
        <w:rPr>
          <w:rFonts w:hint="eastAsia" w:ascii="Times New Roman" w:eastAsia="仿宋"/>
          <w:bCs/>
          <w:sz w:val="24"/>
          <w:szCs w:val="24"/>
        </w:rPr>
        <w:t>3% adalah uang jaminan. Jika tidak ada masalah kualitas produk setelah tiga bulan, sisanya 3% akan dibayarkan setelah formulir penerimaan pembayaran deposit garansi diterbitkan.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ascii="Times New Roman" w:eastAsia="仿宋"/>
          <w:bCs/>
          <w:sz w:val="24"/>
          <w:szCs w:val="24"/>
        </w:rPr>
        <w:t xml:space="preserve"> 4.评审方式：经评审的最低价法。</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ascii="Times New Roman" w:eastAsia="仿宋"/>
          <w:bCs/>
          <w:sz w:val="24"/>
          <w:szCs w:val="24"/>
        </w:rPr>
        <w:t xml:space="preserve"> 4、Metode evaluasi: metode harga terendah setelah evaluasi.</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ascii="Times New Roman" w:eastAsia="仿宋"/>
          <w:bCs/>
          <w:sz w:val="24"/>
          <w:szCs w:val="24"/>
        </w:rPr>
        <w:t xml:space="preserve"> 5. 报价截止时间202</w:t>
      </w:r>
      <w:r>
        <w:rPr>
          <w:rFonts w:hint="eastAsia" w:ascii="Times New Roman" w:eastAsia="仿宋"/>
          <w:bCs/>
          <w:sz w:val="24"/>
          <w:szCs w:val="24"/>
          <w:lang w:val="en-US" w:eastAsia="zh-CN"/>
        </w:rPr>
        <w:t>5</w:t>
      </w:r>
      <w:r>
        <w:rPr>
          <w:rFonts w:ascii="Times New Roman" w:eastAsia="仿宋"/>
          <w:bCs/>
          <w:sz w:val="24"/>
          <w:szCs w:val="24"/>
        </w:rPr>
        <w:t>年</w:t>
      </w:r>
      <w:r>
        <w:rPr>
          <w:rFonts w:hint="eastAsia" w:ascii="Times New Roman" w:eastAsia="仿宋"/>
          <w:bCs/>
          <w:sz w:val="24"/>
          <w:szCs w:val="24"/>
          <w:lang w:val="en-US" w:eastAsia="zh-CN"/>
        </w:rPr>
        <w:t>6</w:t>
      </w:r>
      <w:r>
        <w:rPr>
          <w:rFonts w:ascii="Times New Roman" w:eastAsia="仿宋"/>
          <w:bCs/>
          <w:sz w:val="24"/>
          <w:szCs w:val="24"/>
        </w:rPr>
        <w:t>月</w:t>
      </w:r>
      <w:r>
        <w:rPr>
          <w:rFonts w:hint="eastAsia" w:ascii="Times New Roman" w:eastAsia="仿宋"/>
          <w:bCs/>
          <w:sz w:val="24"/>
          <w:szCs w:val="24"/>
          <w:lang w:val="en-US" w:eastAsia="zh-CN"/>
        </w:rPr>
        <w:t>20</w:t>
      </w:r>
      <w:r>
        <w:rPr>
          <w:rFonts w:ascii="Times New Roman" w:eastAsia="仿宋"/>
          <w:bCs/>
          <w:sz w:val="24"/>
          <w:szCs w:val="24"/>
        </w:rPr>
        <w:t>日雅加达时间1</w:t>
      </w:r>
      <w:r>
        <w:rPr>
          <w:rFonts w:hint="eastAsia" w:ascii="Times New Roman" w:eastAsia="仿宋"/>
          <w:bCs/>
          <w:sz w:val="24"/>
          <w:szCs w:val="24"/>
          <w:lang w:val="en-US" w:eastAsia="zh-CN"/>
        </w:rPr>
        <w:t>2</w:t>
      </w:r>
      <w:r>
        <w:rPr>
          <w:rFonts w:ascii="Times New Roman" w:eastAsia="仿宋"/>
          <w:bCs/>
          <w:sz w:val="24"/>
          <w:szCs w:val="24"/>
        </w:rPr>
        <w:t>:00前。</w:t>
      </w:r>
    </w:p>
    <w:p>
      <w:pPr>
        <w:keepNext w:val="0"/>
        <w:keepLines w:val="0"/>
        <w:pageBreakBefore w:val="0"/>
        <w:widowControl w:val="0"/>
        <w:kinsoku/>
        <w:wordWrap/>
        <w:overflowPunct/>
        <w:topLinePunct w:val="0"/>
        <w:autoSpaceDE/>
        <w:autoSpaceDN/>
        <w:bidi w:val="0"/>
        <w:adjustRightInd/>
        <w:snapToGrid/>
        <w:spacing w:line="360" w:lineRule="auto"/>
        <w:ind w:left="959" w:leftChars="228" w:right="0" w:rightChars="0" w:hanging="480" w:hangingChars="200"/>
        <w:jc w:val="both"/>
        <w:textAlignment w:val="auto"/>
        <w:outlineLvl w:val="9"/>
        <w:rPr>
          <w:rFonts w:ascii="Times New Roman" w:eastAsia="仿宋"/>
          <w:bCs/>
          <w:sz w:val="24"/>
          <w:szCs w:val="24"/>
        </w:rPr>
      </w:pPr>
      <w:r>
        <w:rPr>
          <w:rFonts w:ascii="Times New Roman" w:eastAsia="仿宋"/>
          <w:bCs/>
          <w:sz w:val="24"/>
          <w:szCs w:val="24"/>
        </w:rPr>
        <w:t xml:space="preserve"> 5、Penawaran jatuh tempo pada tanggal </w:t>
      </w:r>
      <w:r>
        <w:rPr>
          <w:rFonts w:hint="eastAsia" w:ascii="Times New Roman" w:eastAsia="仿宋"/>
          <w:bCs/>
          <w:sz w:val="24"/>
          <w:szCs w:val="24"/>
          <w:lang w:val="en-US" w:eastAsia="zh-CN"/>
        </w:rPr>
        <w:t>20 Juni</w:t>
      </w:r>
      <w:r>
        <w:rPr>
          <w:rFonts w:ascii="Times New Roman" w:eastAsia="仿宋"/>
          <w:bCs/>
          <w:sz w:val="24"/>
          <w:szCs w:val="24"/>
        </w:rPr>
        <w:t xml:space="preserve"> 202</w:t>
      </w:r>
      <w:r>
        <w:rPr>
          <w:rFonts w:hint="eastAsia" w:ascii="Times New Roman" w:eastAsia="仿宋"/>
          <w:bCs/>
          <w:sz w:val="24"/>
          <w:szCs w:val="24"/>
          <w:lang w:val="en-US" w:eastAsia="zh-CN"/>
        </w:rPr>
        <w:t>5</w:t>
      </w:r>
      <w:r>
        <w:rPr>
          <w:rFonts w:ascii="Times New Roman" w:eastAsia="仿宋"/>
          <w:bCs/>
          <w:sz w:val="24"/>
          <w:szCs w:val="24"/>
        </w:rPr>
        <w:t xml:space="preserve"> pukul 1</w:t>
      </w:r>
      <w:r>
        <w:rPr>
          <w:rFonts w:hint="eastAsia" w:ascii="Times New Roman" w:eastAsia="仿宋"/>
          <w:bCs/>
          <w:sz w:val="24"/>
          <w:szCs w:val="24"/>
          <w:lang w:val="en-US" w:eastAsia="zh-CN"/>
        </w:rPr>
        <w:t>2</w:t>
      </w:r>
      <w:r>
        <w:rPr>
          <w:rFonts w:ascii="Times New Roman" w:eastAsia="仿宋"/>
          <w:bCs/>
          <w:sz w:val="24"/>
          <w:szCs w:val="24"/>
        </w:rPr>
        <w:t>:00 waktu Jakarta.</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imes New Roman" w:eastAsia="仿宋"/>
          <w:bCs/>
          <w:sz w:val="24"/>
          <w:szCs w:val="24"/>
          <w:lang w:val="en-US" w:eastAsia="zh-CN"/>
        </w:rPr>
      </w:pPr>
      <w:r>
        <w:rPr>
          <w:rFonts w:hint="eastAsia" w:ascii="Times New Roman" w:eastAsia="仿宋"/>
          <w:bCs/>
          <w:sz w:val="24"/>
          <w:szCs w:val="24"/>
          <w:lang w:val="en-US" w:eastAsia="zh-CN"/>
        </w:rPr>
        <w:t xml:space="preserve"> 6.投标文件递交方式：纸版密封或发送到指定邮箱 731465071@qq.com。</w:t>
      </w:r>
    </w:p>
    <w:p>
      <w:pPr>
        <w:keepNext w:val="0"/>
        <w:keepLines w:val="0"/>
        <w:pageBreakBefore w:val="0"/>
        <w:widowControl w:val="0"/>
        <w:kinsoku/>
        <w:wordWrap/>
        <w:overflowPunct/>
        <w:topLinePunct w:val="0"/>
        <w:autoSpaceDE/>
        <w:autoSpaceDN/>
        <w:bidi w:val="0"/>
        <w:adjustRightInd/>
        <w:snapToGrid/>
        <w:spacing w:line="360" w:lineRule="auto"/>
        <w:ind w:left="959" w:leftChars="228" w:right="0" w:rightChars="0" w:hanging="480" w:hangingChars="200"/>
        <w:jc w:val="both"/>
        <w:textAlignment w:val="auto"/>
        <w:outlineLvl w:val="9"/>
        <w:rPr>
          <w:rFonts w:hint="eastAsia" w:ascii="Times New Roman" w:eastAsia="仿宋"/>
          <w:bCs/>
          <w:sz w:val="24"/>
          <w:szCs w:val="24"/>
          <w:lang w:val="en-US" w:eastAsia="zh-CN"/>
        </w:rPr>
      </w:pPr>
      <w:r>
        <w:rPr>
          <w:rFonts w:hint="eastAsia" w:ascii="Times New Roman" w:eastAsia="仿宋"/>
          <w:bCs/>
          <w:sz w:val="24"/>
          <w:szCs w:val="24"/>
          <w:lang w:val="en-US" w:eastAsia="zh-CN"/>
        </w:rPr>
        <w:t xml:space="preserve"> 6</w:t>
      </w:r>
      <w:r>
        <w:rPr>
          <w:rFonts w:ascii="Times New Roman" w:eastAsia="仿宋"/>
          <w:bCs/>
          <w:sz w:val="24"/>
          <w:szCs w:val="24"/>
        </w:rPr>
        <w:t>、</w:t>
      </w:r>
      <w:r>
        <w:rPr>
          <w:rFonts w:hint="eastAsia" w:ascii="Times New Roman" w:eastAsia="仿宋"/>
          <w:bCs/>
          <w:sz w:val="24"/>
          <w:szCs w:val="24"/>
          <w:lang w:val="en-US" w:eastAsia="zh-CN"/>
        </w:rPr>
        <w:t>Cara penyerahan dokumen penawaran: Versi kertas harus disegel atau  dikirim ke alamat email yang ditunjuk 731465071@qq.com.</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Times New Roman" w:eastAsia="仿宋"/>
          <w:bCs/>
          <w:sz w:val="24"/>
          <w:szCs w:val="24"/>
          <w:lang w:val="en-US" w:eastAsia="zh-CN"/>
        </w:rPr>
      </w:pPr>
      <w:r>
        <w:rPr>
          <w:rFonts w:hint="eastAsia" w:ascii="Times New Roman" w:eastAsia="仿宋"/>
          <w:bCs/>
          <w:sz w:val="24"/>
          <w:szCs w:val="24"/>
          <w:lang w:val="en-US" w:eastAsia="zh-CN"/>
        </w:rPr>
        <w:t xml:space="preserve"> 7.投标文件递交地点：玻雅（印尼）发电公司行政办公楼二楼物资部 </w:t>
      </w:r>
    </w:p>
    <w:p>
      <w:pPr>
        <w:keepNext w:val="0"/>
        <w:keepLines w:val="0"/>
        <w:pageBreakBefore w:val="0"/>
        <w:widowControl w:val="0"/>
        <w:kinsoku/>
        <w:wordWrap/>
        <w:overflowPunct/>
        <w:topLinePunct w:val="0"/>
        <w:autoSpaceDE/>
        <w:autoSpaceDN/>
        <w:bidi w:val="0"/>
        <w:adjustRightInd/>
        <w:snapToGrid/>
        <w:spacing w:line="360" w:lineRule="auto"/>
        <w:ind w:left="959" w:leftChars="228" w:right="0" w:rightChars="0" w:hanging="480" w:hangingChars="200"/>
        <w:jc w:val="both"/>
        <w:textAlignment w:val="auto"/>
        <w:outlineLvl w:val="9"/>
        <w:rPr>
          <w:rFonts w:hint="eastAsia" w:ascii="Times New Roman" w:eastAsia="仿宋"/>
          <w:bCs/>
          <w:sz w:val="24"/>
          <w:szCs w:val="24"/>
          <w:lang w:val="en-US" w:eastAsia="zh-CN"/>
        </w:rPr>
      </w:pPr>
      <w:r>
        <w:rPr>
          <w:rFonts w:hint="eastAsia" w:ascii="Times New Roman" w:eastAsia="仿宋"/>
          <w:bCs/>
          <w:sz w:val="24"/>
          <w:szCs w:val="24"/>
          <w:lang w:val="en-US" w:eastAsia="zh-CN"/>
        </w:rPr>
        <w:t xml:space="preserve"> 7、Lokasi penyerahan dokumen penawaran: Bagian Material di lantai dua gedung kantor administrasi Perusahaan Pembangkit Listrik Boya (Indonesia)</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ascii="Times New Roman" w:eastAsia="仿宋"/>
          <w:bCs/>
          <w:sz w:val="24"/>
          <w:szCs w:val="24"/>
        </w:rPr>
        <w:t>四、交货时间Waktu pengiriman：</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hint="eastAsia" w:eastAsia="仿宋"/>
          <w:bCs/>
          <w:sz w:val="24"/>
          <w:szCs w:val="24"/>
          <w:lang w:val="en-US" w:eastAsia="zh-CN"/>
        </w:rPr>
        <w:t>中标后双方协商确定</w:t>
      </w:r>
      <w:r>
        <w:rPr>
          <w:rFonts w:hint="eastAsia" w:ascii="Times New Roman" w:eastAsia="仿宋"/>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hint="eastAsia" w:ascii="Times New Roman" w:eastAsia="仿宋"/>
          <w:bCs/>
          <w:sz w:val="24"/>
          <w:szCs w:val="24"/>
        </w:rPr>
        <w:t>Setelah memenangkan tawaran, kedua belah pihak bernegosiasi untuk menentukan</w:t>
      </w:r>
      <w:r>
        <w:rPr>
          <w:rFonts w:hint="eastAsia" w:ascii="Times New Roman" w:eastAsia="仿宋"/>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ascii="Times New Roman" w:eastAsia="仿宋"/>
          <w:bCs/>
          <w:sz w:val="24"/>
          <w:szCs w:val="24"/>
        </w:rPr>
      </w:pPr>
      <w:r>
        <w:rPr>
          <w:rFonts w:ascii="Times New Roman" w:eastAsia="仿宋"/>
          <w:bCs/>
          <w:sz w:val="24"/>
          <w:szCs w:val="24"/>
        </w:rPr>
        <w:t>五、交货地点Tempat Penyerahan Barang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ascii="Times New Roman" w:eastAsia="仿宋"/>
          <w:bCs/>
          <w:sz w:val="24"/>
          <w:szCs w:val="24"/>
        </w:rPr>
        <w:t>印度尼西亚MUARA Enim县以南Darmo镇东南约3.5km</w:t>
      </w:r>
    </w:p>
    <w:p>
      <w:pPr>
        <w:keepNext w:val="0"/>
        <w:keepLines w:val="0"/>
        <w:pageBreakBefore w:val="0"/>
        <w:widowControl w:val="0"/>
        <w:kinsoku/>
        <w:wordWrap/>
        <w:overflowPunct/>
        <w:topLinePunct w:val="0"/>
        <w:autoSpaceDE/>
        <w:autoSpaceDN/>
        <w:bidi w:val="0"/>
        <w:adjustRightInd/>
        <w:snapToGrid/>
        <w:spacing w:line="360" w:lineRule="auto"/>
        <w:ind w:left="479" w:leftChars="228" w:right="0" w:rightChars="0" w:firstLine="0" w:firstLineChars="0"/>
        <w:jc w:val="both"/>
        <w:textAlignment w:val="auto"/>
        <w:outlineLvl w:val="9"/>
        <w:rPr>
          <w:rFonts w:ascii="Times New Roman" w:eastAsia="仿宋"/>
          <w:bCs/>
          <w:sz w:val="24"/>
          <w:szCs w:val="24"/>
        </w:rPr>
      </w:pPr>
      <w:r>
        <w:rPr>
          <w:rFonts w:ascii="Times New Roman" w:eastAsia="仿宋"/>
          <w:bCs/>
          <w:sz w:val="24"/>
          <w:szCs w:val="24"/>
        </w:rPr>
        <w:t xml:space="preserve">Tempat pengiriman: Sekitar 3,5 km sebelah tenggara kota Darmo, sebelah selatan Kabupaten Muara Enim, Indonesia, di tempat yang ditentukan oleh pembeli untuk bongkar muatan truk.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Times New Roman" w:eastAsia="仿宋"/>
          <w:bCs/>
          <w:sz w:val="24"/>
          <w:szCs w:val="24"/>
        </w:rPr>
      </w:pPr>
      <w:r>
        <w:rPr>
          <w:rFonts w:ascii="Times New Roman" w:eastAsia="仿宋"/>
          <w:bCs/>
          <w:sz w:val="24"/>
          <w:szCs w:val="24"/>
        </w:rPr>
        <w:t xml:space="preserve">六、联系人 Narahubung ： </w:t>
      </w:r>
      <w:r>
        <w:rPr>
          <w:rFonts w:hint="eastAsia" w:ascii="Times New Roman" w:eastAsia="仿宋"/>
          <w:bCs/>
          <w:sz w:val="24"/>
          <w:szCs w:val="24"/>
          <w:lang w:val="en-US" w:eastAsia="zh-CN"/>
        </w:rPr>
        <w:t>Wu Chao Lei</w:t>
      </w:r>
      <w:r>
        <w:rPr>
          <w:rFonts w:ascii="Times New Roman" w:eastAsia="仿宋"/>
          <w:bCs/>
          <w:sz w:val="24"/>
          <w:szCs w:val="24"/>
        </w:rPr>
        <w:t xml:space="preserve"> 、 </w:t>
      </w:r>
      <w:r>
        <w:rPr>
          <w:rFonts w:hint="eastAsia" w:ascii="Times New Roman" w:eastAsia="仿宋"/>
          <w:bCs/>
          <w:sz w:val="24"/>
          <w:szCs w:val="24"/>
          <w:lang w:val="en-US" w:eastAsia="zh-CN"/>
        </w:rPr>
        <w:t>Benita</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lang w:val="en-US" w:eastAsia="zh-CN"/>
        </w:rPr>
        <w:sectPr>
          <w:headerReference r:id="rId3" w:type="default"/>
          <w:pgSz w:w="11906" w:h="16838"/>
          <w:pgMar w:top="1440" w:right="1800" w:bottom="1440" w:left="1800" w:header="680"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r>
        <w:rPr>
          <w:rFonts w:hint="default" w:ascii="Times New Roman" w:eastAsia="仿宋"/>
          <w:bCs/>
          <w:sz w:val="24"/>
          <w:szCs w:val="24"/>
          <w:lang w:val="en-US" w:eastAsia="zh-CN"/>
        </w:rPr>
        <w:t xml:space="preserve">七、联系电话 Nomor Telepon： </w:t>
      </w:r>
      <w:r>
        <w:rPr>
          <w:rFonts w:hint="eastAsia" w:ascii="Times New Roman" w:eastAsia="仿宋"/>
          <w:bCs/>
          <w:sz w:val="24"/>
          <w:szCs w:val="24"/>
          <w:lang w:val="en-US" w:eastAsia="zh-CN"/>
        </w:rPr>
        <w:t>082162566855</w:t>
      </w:r>
      <w:r>
        <w:rPr>
          <w:rFonts w:hint="default" w:ascii="Times New Roman" w:eastAsia="仿宋"/>
          <w:bCs/>
          <w:sz w:val="24"/>
          <w:szCs w:val="24"/>
          <w:lang w:val="en-US" w:eastAsia="zh-CN"/>
        </w:rPr>
        <w:t xml:space="preserve">  、</w:t>
      </w:r>
      <w:r>
        <w:rPr>
          <w:rFonts w:hint="eastAsia" w:ascii="Times New Roman" w:eastAsia="仿宋"/>
          <w:bCs/>
          <w:sz w:val="24"/>
          <w:szCs w:val="24"/>
          <w:lang w:val="en-US" w:eastAsia="zh-CN"/>
        </w:rPr>
        <w:t>085607179214</w:t>
      </w:r>
    </w:p>
    <w:p>
      <w:pPr>
        <w:pStyle w:val="5"/>
        <w:jc w:val="center"/>
        <w:rPr>
          <w:rFonts w:hint="eastAsia"/>
          <w:sz w:val="32"/>
          <w:szCs w:val="32"/>
          <w:lang w:val="en-US" w:eastAsia="zh-CN"/>
        </w:rPr>
      </w:pPr>
      <w:r>
        <w:rPr>
          <w:rFonts w:hint="eastAsia"/>
          <w:sz w:val="32"/>
          <w:szCs w:val="32"/>
          <w:lang w:val="en-US" w:eastAsia="zh-CN"/>
        </w:rPr>
        <w:t>采购清单</w:t>
      </w:r>
    </w:p>
    <w:tbl>
      <w:tblPr>
        <w:tblStyle w:val="15"/>
        <w:tblW w:w="1451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915"/>
        <w:gridCol w:w="1428"/>
        <w:gridCol w:w="4931"/>
        <w:gridCol w:w="764"/>
        <w:gridCol w:w="658"/>
        <w:gridCol w:w="1800"/>
        <w:gridCol w:w="40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390" w:hRule="atLeast"/>
          <w:jc w:val="center"/>
        </w:trPr>
        <w:tc>
          <w:tcPr>
            <w:tcW w:w="91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序号</w:t>
            </w:r>
          </w:p>
        </w:tc>
        <w:tc>
          <w:tcPr>
            <w:tcW w:w="142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名称</w:t>
            </w:r>
          </w:p>
        </w:tc>
        <w:tc>
          <w:tcPr>
            <w:tcW w:w="4931"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型号/规格</w:t>
            </w:r>
          </w:p>
        </w:tc>
        <w:tc>
          <w:tcPr>
            <w:tcW w:w="7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单位</w:t>
            </w:r>
          </w:p>
        </w:tc>
        <w:tc>
          <w:tcPr>
            <w:tcW w:w="65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position w:val="-6"/>
                <w:sz w:val="22"/>
                <w:szCs w:val="22"/>
                <w:u w:val="none"/>
                <w:lang w:val="en-US" w:eastAsia="zh-CN" w:bidi="ar"/>
              </w:rPr>
              <w:t>数量</w:t>
            </w:r>
          </w:p>
        </w:tc>
        <w:tc>
          <w:tcPr>
            <w:tcW w:w="180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hAnsi="宋体" w:eastAsia="宋体" w:cs="宋体"/>
                <w:b/>
                <w:i w:val="0"/>
                <w:color w:val="000000"/>
                <w:kern w:val="0"/>
                <w:position w:val="-6"/>
                <w:sz w:val="22"/>
                <w:szCs w:val="22"/>
                <w:u w:val="none"/>
                <w:lang w:val="en-US" w:eastAsia="zh-CN" w:bidi="ar"/>
              </w:rPr>
              <w:t>供货周期</w:t>
            </w:r>
          </w:p>
        </w:tc>
        <w:tc>
          <w:tcPr>
            <w:tcW w:w="4020"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hAnsi="宋体" w:eastAsia="宋体" w:cs="宋体"/>
                <w:b/>
                <w:i w:val="0"/>
                <w:color w:val="000000"/>
                <w:kern w:val="0"/>
                <w:position w:val="-6"/>
                <w:sz w:val="22"/>
                <w:szCs w:val="22"/>
                <w:u w:val="none"/>
                <w:lang w:val="en-US" w:eastAsia="zh-CN"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trHeight w:val="1911" w:hRule="atLeast"/>
          <w:jc w:val="center"/>
        </w:trPr>
        <w:tc>
          <w:tcPr>
            <w:tcW w:w="915"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黑体" w:hAnsi="宋体" w:eastAsia="黑体" w:cs="黑体"/>
                <w:i w:val="0"/>
                <w:color w:val="000000"/>
                <w:kern w:val="0"/>
                <w:position w:val="-6"/>
                <w:sz w:val="22"/>
                <w:szCs w:val="22"/>
                <w:u w:val="none"/>
                <w:lang w:val="en-US" w:eastAsia="zh-CN" w:bidi="ar"/>
              </w:rPr>
              <w:t>1</w:t>
            </w:r>
          </w:p>
        </w:tc>
        <w:tc>
          <w:tcPr>
            <w:tcW w:w="142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防静电工作服</w:t>
            </w:r>
          </w:p>
        </w:tc>
        <w:tc>
          <w:tcPr>
            <w:tcW w:w="4931" w:type="dxa"/>
            <w:tcBorders>
              <w:tl2br w:val="nil"/>
              <w:tr2bl w:val="nil"/>
            </w:tcBorders>
            <w:vAlign w:val="center"/>
          </w:tcPr>
          <w:p>
            <w:pPr>
              <w:keepNext w:val="0"/>
              <w:keepLines w:val="0"/>
              <w:widowControl/>
              <w:suppressLineNumbers w:val="0"/>
              <w:jc w:val="center"/>
              <w:textAlignment w:val="center"/>
              <w:rPr>
                <w:rFonts w:hint="eastAsia"/>
                <w:lang w:val="en-US" w:eastAsia="zh-CN"/>
              </w:rPr>
            </w:pPr>
            <w:r>
              <w:rPr>
                <w:rFonts w:hint="eastAsia" w:ascii="宋体" w:hAnsi="宋体" w:cs="宋体"/>
                <w:i w:val="0"/>
                <w:color w:val="000000"/>
                <w:kern w:val="0"/>
                <w:position w:val="-6"/>
                <w:sz w:val="20"/>
                <w:szCs w:val="20"/>
                <w:u w:val="none"/>
                <w:lang w:val="en-US" w:eastAsia="zh-CN" w:bidi="ar"/>
              </w:rPr>
              <w:t>S、M、L、XL、2XL、3XL、4XL、5XL共计1000套。具体各型号所需数量需现场员工试穿后提供。</w:t>
            </w:r>
          </w:p>
        </w:tc>
        <w:tc>
          <w:tcPr>
            <w:tcW w:w="764"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套</w:t>
            </w:r>
          </w:p>
        </w:tc>
        <w:tc>
          <w:tcPr>
            <w:tcW w:w="65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position w:val="-6"/>
                <w:sz w:val="20"/>
                <w:szCs w:val="20"/>
                <w:u w:val="none"/>
                <w:lang w:val="en-US" w:eastAsia="zh-CN" w:bidi="ar"/>
              </w:rPr>
              <w:t>1000</w:t>
            </w:r>
          </w:p>
        </w:tc>
        <w:tc>
          <w:tcPr>
            <w:tcW w:w="1800" w:type="dxa"/>
            <w:tcBorders>
              <w:tl2br w:val="nil"/>
              <w:tr2bl w:val="nil"/>
            </w:tcBorders>
            <w:vAlign w:val="center"/>
          </w:tcPr>
          <w:p>
            <w:pPr>
              <w:jc w:val="center"/>
              <w:rPr>
                <w:rFonts w:hint="eastAsia" w:ascii="宋体" w:hAnsi="宋体" w:eastAsia="宋体" w:cs="宋体"/>
                <w:i w:val="0"/>
                <w:color w:val="000000"/>
                <w:sz w:val="22"/>
                <w:szCs w:val="22"/>
                <w:u w:val="none"/>
                <w:lang w:val="en-US" w:eastAsia="zh-CN"/>
              </w:rPr>
            </w:pPr>
          </w:p>
        </w:tc>
        <w:tc>
          <w:tcPr>
            <w:tcW w:w="4020" w:type="dxa"/>
            <w:tcBorders>
              <w:tl2br w:val="nil"/>
              <w:tr2bl w:val="nil"/>
            </w:tcBorders>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具体要求详见技术规范书</w:t>
            </w:r>
          </w:p>
        </w:tc>
      </w:tr>
    </w:tbl>
    <w:p>
      <w:pPr>
        <w:pStyle w:val="5"/>
        <w:ind w:firstLine="0" w:firstLineChars="0"/>
        <w:rPr>
          <w:rFonts w:ascii="Times New Roman"/>
          <w:b/>
          <w:bCs/>
          <w:sz w:val="24"/>
          <w:szCs w:val="24"/>
        </w:rPr>
      </w:pPr>
    </w:p>
    <w:p>
      <w:pPr>
        <w:pStyle w:val="2"/>
        <w:rPr>
          <w:rFonts w:hint="eastAsia"/>
          <w:lang w:val="en-US" w:eastAsia="zh-CN"/>
        </w:rPr>
        <w:sectPr>
          <w:pgSz w:w="16838" w:h="11906" w:orient="landscape"/>
          <w:pgMar w:top="1800" w:right="1440" w:bottom="1800" w:left="1440" w:header="680"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5"/>
        <w:rPr>
          <w:rFonts w:hint="eastAsia"/>
          <w:lang w:eastAsia="zh-CN"/>
        </w:rPr>
      </w:pPr>
    </w:p>
    <w:p>
      <w:pPr>
        <w:pStyle w:val="5"/>
        <w:ind w:firstLine="0"/>
        <w:rPr>
          <w:rFonts w:hint="default"/>
          <w:b/>
          <w:color w:val="auto"/>
          <w:spacing w:val="40"/>
          <w:sz w:val="40"/>
          <w:szCs w:val="40"/>
          <w:highlight w:val="none"/>
        </w:rPr>
      </w:pPr>
    </w:p>
    <w:p>
      <w:pPr>
        <w:pStyle w:val="6"/>
        <w:snapToGrid w:val="0"/>
        <w:spacing w:after="0" w:line="240" w:lineRule="auto"/>
        <w:jc w:val="center"/>
        <w:rPr>
          <w:rFonts w:hint="eastAsia" w:asciiTheme="minorEastAsia" w:hAnsiTheme="minorEastAsia" w:eastAsiaTheme="minorEastAsia" w:cstheme="minorEastAsia"/>
          <w:b/>
          <w:color w:val="auto"/>
          <w:spacing w:val="40"/>
          <w:sz w:val="36"/>
          <w:szCs w:val="36"/>
          <w:highlight w:val="none"/>
          <w:lang w:val="en-US" w:eastAsia="zh-CN"/>
        </w:rPr>
      </w:pPr>
      <w:r>
        <w:rPr>
          <w:rFonts w:hint="eastAsia" w:asciiTheme="minorEastAsia" w:hAnsiTheme="minorEastAsia" w:eastAsiaTheme="minorEastAsia" w:cstheme="minorEastAsia"/>
          <w:b/>
          <w:color w:val="auto"/>
          <w:spacing w:val="40"/>
          <w:sz w:val="36"/>
          <w:szCs w:val="36"/>
          <w:highlight w:val="none"/>
          <w:lang w:val="en-US" w:eastAsia="zh-CN"/>
        </w:rPr>
        <w:t>印尼华瑞电力有限公司</w:t>
      </w:r>
    </w:p>
    <w:p>
      <w:pPr>
        <w:spacing w:after="0" w:line="240" w:lineRule="auto"/>
        <w:jc w:val="center"/>
        <w:rPr>
          <w:b/>
          <w:color w:val="auto"/>
          <w:spacing w:val="40"/>
          <w:sz w:val="32"/>
          <w:highlight w:val="none"/>
        </w:rPr>
      </w:pPr>
    </w:p>
    <w:p>
      <w:pPr>
        <w:spacing w:after="0" w:line="240" w:lineRule="auto"/>
        <w:ind w:firstLine="16"/>
        <w:jc w:val="center"/>
        <w:rPr>
          <w:b w:val="0"/>
          <w:bCs/>
          <w:color w:val="auto"/>
          <w:spacing w:val="20"/>
          <w:sz w:val="52"/>
          <w:szCs w:val="52"/>
          <w:highlight w:val="none"/>
        </w:rPr>
      </w:pPr>
      <w:r>
        <w:rPr>
          <w:rFonts w:hint="default" w:cs="Times New Roman"/>
          <w:b w:val="0"/>
          <w:bCs/>
          <w:color w:val="auto"/>
          <w:spacing w:val="20"/>
          <w:sz w:val="52"/>
          <w:szCs w:val="52"/>
          <w:highlight w:val="none"/>
        </w:rPr>
        <w:t>防静电</w:t>
      </w:r>
      <w:r>
        <w:rPr>
          <w:rFonts w:hint="eastAsia" w:cs="Times New Roman"/>
          <w:b w:val="0"/>
          <w:bCs/>
          <w:color w:val="auto"/>
          <w:spacing w:val="20"/>
          <w:sz w:val="52"/>
          <w:szCs w:val="52"/>
          <w:highlight w:val="none"/>
          <w:lang w:val="en-US" w:eastAsia="zh-CN"/>
        </w:rPr>
        <w:t>工作</w:t>
      </w:r>
      <w:r>
        <w:rPr>
          <w:rFonts w:hint="default" w:cs="Times New Roman"/>
          <w:b w:val="0"/>
          <w:bCs/>
          <w:color w:val="auto"/>
          <w:spacing w:val="20"/>
          <w:sz w:val="52"/>
          <w:szCs w:val="52"/>
          <w:highlight w:val="none"/>
        </w:rPr>
        <w:t>服技术规范书</w:t>
      </w:r>
    </w:p>
    <w:p>
      <w:pPr>
        <w:spacing w:after="0" w:line="240" w:lineRule="auto"/>
        <w:rPr>
          <w:rFonts w:hint="default"/>
          <w:color w:val="auto"/>
          <w:sz w:val="28"/>
          <w:szCs w:val="28"/>
          <w:highlight w:val="none"/>
        </w:rPr>
      </w:pPr>
      <w:r>
        <w:rPr>
          <w:rFonts w:hint="default"/>
          <w:color w:val="auto"/>
          <w:sz w:val="28"/>
          <w:szCs w:val="28"/>
          <w:highlight w:val="none"/>
        </w:rPr>
        <w:t xml:space="preserve">              </w:t>
      </w:r>
    </w:p>
    <w:p>
      <w:pPr>
        <w:pStyle w:val="2"/>
        <w:rPr>
          <w:rFonts w:hint="default"/>
        </w:rPr>
      </w:pPr>
    </w:p>
    <w:p>
      <w:pPr>
        <w:pStyle w:val="4"/>
        <w:rPr>
          <w:rFonts w:hint="eastAsia"/>
          <w:color w:val="auto"/>
          <w:lang w:val="en-US" w:eastAsia="zh-CN"/>
        </w:rPr>
      </w:pPr>
      <w:r>
        <w:rPr>
          <w:rFonts w:hint="eastAsia"/>
          <w:color w:val="auto"/>
          <w:lang w:val="en-US" w:eastAsia="zh-CN"/>
        </w:rPr>
        <w:t xml:space="preserve">                   批准：</w:t>
      </w:r>
    </w:p>
    <w:p>
      <w:pPr>
        <w:pStyle w:val="5"/>
        <w:rPr>
          <w:rFonts w:hint="eastAsia"/>
          <w:color w:val="auto"/>
          <w:lang w:val="en-US" w:eastAsia="zh-CN"/>
        </w:rPr>
      </w:pPr>
    </w:p>
    <w:p>
      <w:pPr>
        <w:pStyle w:val="5"/>
        <w:rPr>
          <w:rFonts w:hint="eastAsia"/>
          <w:color w:val="auto"/>
          <w:lang w:val="en-US" w:eastAsia="zh-CN"/>
        </w:rPr>
      </w:pPr>
    </w:p>
    <w:p>
      <w:pPr>
        <w:pStyle w:val="5"/>
        <w:ind w:firstLine="0"/>
        <w:rPr>
          <w:rFonts w:hint="eastAsia"/>
          <w:color w:val="auto"/>
          <w:lang w:val="en-US" w:eastAsia="zh-CN"/>
        </w:rPr>
      </w:pPr>
    </w:p>
    <w:p>
      <w:pPr>
        <w:pStyle w:val="5"/>
        <w:rPr>
          <w:rFonts w:hint="eastAsia" w:ascii="黑体" w:hAnsi="宋体" w:eastAsia="黑体"/>
          <w:b/>
          <w:color w:val="auto"/>
          <w:sz w:val="32"/>
          <w:szCs w:val="24"/>
          <w:lang w:val="en-US" w:eastAsia="zh-CN"/>
        </w:rPr>
      </w:pPr>
      <w:r>
        <w:rPr>
          <w:rFonts w:hint="eastAsia"/>
          <w:color w:val="auto"/>
          <w:lang w:val="en-US" w:eastAsia="zh-CN"/>
        </w:rPr>
        <w:t xml:space="preserve">                       </w:t>
      </w:r>
      <w:r>
        <w:rPr>
          <w:rFonts w:hint="eastAsia" w:ascii="黑体" w:hAnsi="宋体" w:eastAsia="黑体"/>
          <w:b/>
          <w:color w:val="auto"/>
          <w:sz w:val="32"/>
          <w:lang w:val="en-US" w:eastAsia="zh-CN"/>
        </w:rPr>
        <w:t xml:space="preserve"> </w:t>
      </w:r>
      <w:r>
        <w:rPr>
          <w:rFonts w:hint="eastAsia" w:ascii="黑体" w:hAnsi="宋体" w:eastAsia="黑体"/>
          <w:b/>
          <w:color w:val="auto"/>
          <w:sz w:val="32"/>
          <w:szCs w:val="24"/>
          <w:lang w:val="en-US" w:eastAsia="zh-CN"/>
        </w:rPr>
        <w:t>审核：</w:t>
      </w:r>
    </w:p>
    <w:p>
      <w:pPr>
        <w:pStyle w:val="5"/>
        <w:rPr>
          <w:rFonts w:hint="eastAsia" w:ascii="黑体" w:hAnsi="宋体" w:eastAsia="黑体"/>
          <w:b/>
          <w:color w:val="auto"/>
          <w:sz w:val="32"/>
          <w:szCs w:val="24"/>
          <w:lang w:val="en-US" w:eastAsia="zh-CN"/>
        </w:rPr>
      </w:pPr>
    </w:p>
    <w:p>
      <w:pPr>
        <w:pStyle w:val="5"/>
        <w:rPr>
          <w:rFonts w:hint="eastAsia" w:ascii="黑体" w:hAnsi="宋体" w:eastAsia="黑体"/>
          <w:b/>
          <w:color w:val="auto"/>
          <w:sz w:val="32"/>
          <w:szCs w:val="24"/>
          <w:lang w:val="en-US" w:eastAsia="zh-CN"/>
        </w:rPr>
      </w:pPr>
    </w:p>
    <w:p>
      <w:pPr>
        <w:pStyle w:val="5"/>
        <w:rPr>
          <w:rFonts w:hint="eastAsia" w:ascii="黑体" w:hAnsi="宋体" w:eastAsia="黑体"/>
          <w:b/>
          <w:color w:val="auto"/>
          <w:sz w:val="32"/>
          <w:szCs w:val="24"/>
          <w:lang w:val="en-US" w:eastAsia="zh-CN"/>
        </w:rPr>
      </w:pPr>
      <w:r>
        <w:rPr>
          <w:rFonts w:hint="eastAsia" w:ascii="黑体" w:hAnsi="宋体" w:eastAsia="黑体"/>
          <w:b/>
          <w:color w:val="auto"/>
          <w:sz w:val="32"/>
          <w:szCs w:val="24"/>
          <w:lang w:val="en-US" w:eastAsia="zh-CN"/>
        </w:rPr>
        <w:t xml:space="preserve">                编写：</w:t>
      </w:r>
    </w:p>
    <w:p>
      <w:pPr>
        <w:spacing w:after="0" w:line="240" w:lineRule="auto"/>
        <w:rPr>
          <w:b/>
          <w:outline/>
          <w:color w:val="auto"/>
          <w:sz w:val="28"/>
          <w:szCs w:val="28"/>
          <w:highlight w:val="none"/>
          <w14:textOutline w14:w="9525" w14:cap="flat" w14:cmpd="sng" w14:algn="ctr">
            <w14:solidFill>
              <w14:srgbClr w14:val="FFFFFF"/>
            </w14:solidFill>
            <w14:prstDash w14:val="solid"/>
            <w14:round/>
          </w14:textOutline>
        </w:rPr>
      </w:pPr>
    </w:p>
    <w:p>
      <w:pPr>
        <w:spacing w:after="0" w:line="240" w:lineRule="auto"/>
        <w:ind w:firstLine="2891" w:firstLineChars="900"/>
        <w:jc w:val="both"/>
        <w:rPr>
          <w:rFonts w:hint="default" w:eastAsia="FangSong_GB2312"/>
          <w:b/>
          <w:color w:val="auto"/>
          <w:sz w:val="32"/>
          <w:szCs w:val="32"/>
          <w:highlight w:val="none"/>
        </w:rPr>
      </w:pPr>
    </w:p>
    <w:p>
      <w:pPr>
        <w:ind w:firstLine="2891" w:firstLineChars="900"/>
        <w:rPr>
          <w:rFonts w:hint="eastAsia" w:ascii="Times New Roman" w:hAnsi="Times New Roman" w:eastAsia="宋体" w:cs="Times New Roman"/>
          <w:b/>
          <w:bCs/>
          <w:color w:val="auto"/>
          <w:sz w:val="20"/>
          <w:szCs w:val="20"/>
          <w:highlight w:val="none"/>
        </w:rPr>
        <w:sectPr>
          <w:headerReference r:id="rId4" w:type="default"/>
          <w:pgSz w:w="11906" w:h="16838"/>
          <w:pgMar w:top="1440" w:right="1800" w:bottom="1440" w:left="1800" w:header="680"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r>
        <w:rPr>
          <w:rFonts w:hint="eastAsia" w:eastAsia="FangSong_GB2312"/>
          <w:b/>
          <w:color w:val="auto"/>
          <w:sz w:val="32"/>
          <w:szCs w:val="32"/>
          <w:highlight w:val="none"/>
          <w:lang w:val="en-US" w:eastAsia="zh-CN"/>
        </w:rPr>
        <w:t>日期：</w:t>
      </w:r>
      <w:r>
        <w:rPr>
          <w:rFonts w:hint="eastAsia" w:eastAsia="FangSong_GB2312"/>
          <w:b/>
          <w:color w:val="auto"/>
          <w:sz w:val="32"/>
          <w:szCs w:val="32"/>
          <w:highlight w:val="none"/>
          <w:u w:val="single"/>
          <w:lang w:val="en-US" w:eastAsia="zh-CN"/>
        </w:rPr>
        <w:t xml:space="preserve">            </w:t>
      </w:r>
      <w:bookmarkStart w:id="1" w:name="_Toc11493"/>
    </w:p>
    <w:bookmarkEnd w:id="1"/>
    <w:p>
      <w:pPr>
        <w:jc w:val="center"/>
        <w:rPr>
          <w:rFonts w:ascii="宋体" w:hAnsi="宋体" w:cs="Arial"/>
          <w:snapToGrid w:val="0"/>
          <w:kern w:val="0"/>
          <w:sz w:val="36"/>
          <w:szCs w:val="36"/>
        </w:rPr>
      </w:pPr>
      <w:r>
        <w:rPr>
          <w:rFonts w:hint="eastAsia" w:ascii="宋体" w:hAnsi="宋体" w:cs="Arial"/>
          <w:snapToGrid w:val="0"/>
          <w:kern w:val="0"/>
          <w:sz w:val="36"/>
          <w:szCs w:val="36"/>
          <w:lang w:val="en-US" w:eastAsia="zh-CN"/>
        </w:rPr>
        <w:t>防静电工作</w:t>
      </w:r>
      <w:r>
        <w:rPr>
          <w:rFonts w:hint="eastAsia" w:ascii="宋体" w:hAnsi="宋体" w:cs="Arial"/>
          <w:snapToGrid w:val="0"/>
          <w:kern w:val="0"/>
          <w:sz w:val="36"/>
          <w:szCs w:val="36"/>
        </w:rPr>
        <w:t>服技术规范书</w:t>
      </w:r>
    </w:p>
    <w:p>
      <w:pPr>
        <w:spacing w:line="560" w:lineRule="exact"/>
        <w:ind w:firstLine="480" w:firstLineChars="200"/>
        <w:rPr>
          <w:rFonts w:ascii="黑体" w:hAnsi="黑体" w:eastAsia="黑体" w:cs="黑体"/>
          <w:sz w:val="24"/>
        </w:rPr>
      </w:pPr>
      <w:r>
        <w:rPr>
          <w:rFonts w:hint="eastAsia" w:ascii="黑体" w:hAnsi="黑体" w:eastAsia="黑体" w:cs="黑体"/>
          <w:sz w:val="24"/>
        </w:rPr>
        <w:t>一、质量标准</w:t>
      </w:r>
    </w:p>
    <w:p>
      <w:pPr>
        <w:spacing w:line="56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1.工作服</w:t>
      </w:r>
      <w:r>
        <w:rPr>
          <w:rFonts w:hint="eastAsia" w:ascii="仿宋_GB2312" w:hAnsi="仿宋_GB2312" w:eastAsia="仿宋_GB2312" w:cs="仿宋_GB2312"/>
          <w:sz w:val="24"/>
          <w:lang w:val="en-US" w:eastAsia="zh-CN"/>
        </w:rPr>
        <w:t>材料</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必须采用100%</w:t>
      </w:r>
      <w:r>
        <w:rPr>
          <w:rFonts w:hint="eastAsia" w:ascii="仿宋_GB2312" w:hAnsi="仿宋_GB2312" w:eastAsia="仿宋_GB2312" w:cs="仿宋_GB2312"/>
          <w:sz w:val="24"/>
        </w:rPr>
        <w:t>棉质布料制作并在商标处标注；纱线支数（英支）</w:t>
      </w:r>
      <w:r>
        <w:rPr>
          <w:rFonts w:hint="eastAsia" w:ascii="仿宋_GB2312" w:hAnsi="仿宋_GB2312" w:eastAsia="仿宋_GB2312" w:cs="仿宋_GB2312"/>
          <w:sz w:val="24"/>
          <w:lang w:val="en-US" w:eastAsia="zh-CN"/>
        </w:rPr>
        <w:t>为</w:t>
      </w:r>
      <w:r>
        <w:rPr>
          <w:rFonts w:hint="eastAsia" w:ascii="仿宋_GB2312" w:hAnsi="仿宋_GB2312" w:eastAsia="仿宋_GB2312" w:cs="仿宋_GB2312"/>
          <w:sz w:val="24"/>
        </w:rPr>
        <w:t>40支以上精梳棉</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织物组织结构为</w:t>
      </w:r>
      <w:r>
        <w:rPr>
          <w:rFonts w:hint="eastAsia" w:ascii="仿宋_GB2312" w:hAnsi="仿宋_GB2312" w:eastAsia="仿宋_GB2312" w:cs="仿宋_GB2312"/>
          <w:sz w:val="24"/>
        </w:rPr>
        <w:t>珠地网眼/蜂巢组织</w:t>
      </w:r>
      <w:r>
        <w:rPr>
          <w:rFonts w:hint="eastAsia" w:ascii="仿宋_GB2312" w:hAnsi="仿宋_GB2312" w:eastAsia="仿宋_GB2312" w:cs="仿宋_GB2312"/>
          <w:sz w:val="24"/>
          <w:lang w:eastAsia="zh-CN"/>
        </w:rPr>
        <w:t>；后整理工艺：</w:t>
      </w:r>
      <w:r>
        <w:rPr>
          <w:rFonts w:hint="eastAsia" w:ascii="仿宋_GB2312" w:hAnsi="仿宋_GB2312" w:eastAsia="仿宋_GB2312" w:cs="仿宋_GB2312"/>
          <w:sz w:val="24"/>
          <w:lang w:val="en-US" w:eastAsia="zh-CN"/>
        </w:rPr>
        <w:t>增加防皱抗菌防臭处理。建议使用</w:t>
      </w:r>
      <w:r>
        <w:rPr>
          <w:rFonts w:hint="eastAsia" w:ascii="仿宋_GB2312" w:hAnsi="仿宋_GB2312" w:eastAsia="仿宋_GB2312" w:cs="仿宋_GB2312"/>
          <w:sz w:val="24"/>
          <w:lang w:eastAsia="zh-CN"/>
        </w:rPr>
        <w:t>珠地棉或蜂巢布（180-200g/m²）</w:t>
      </w:r>
      <w:r>
        <w:rPr>
          <w:rFonts w:hint="eastAsia" w:ascii="Segoe UI" w:hAnsi="Segoe UI" w:eastAsia="宋体" w:cs="Segoe UI"/>
          <w:i w:val="0"/>
          <w:iCs w:val="0"/>
          <w:caps w:val="0"/>
          <w:color w:val="404040"/>
          <w:spacing w:val="0"/>
          <w:sz w:val="24"/>
          <w:szCs w:val="24"/>
          <w:shd w:val="clear" w:fill="FFFFFF"/>
          <w:lang w:eastAsia="zh-CN"/>
        </w:rPr>
        <w:t>。</w:t>
      </w:r>
      <w:r>
        <w:rPr>
          <w:rFonts w:hint="eastAsia" w:ascii="仿宋_GB2312" w:hAnsi="仿宋_GB2312" w:eastAsia="仿宋_GB2312" w:cs="仿宋_GB2312"/>
          <w:sz w:val="24"/>
        </w:rPr>
        <w:t>衣服主体和零部件不能采用引起静电的材料，不能含有化纤</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涤纶、腈纶、氨纶等</w:t>
      </w:r>
      <w:r>
        <w:rPr>
          <w:rFonts w:hint="eastAsia" w:ascii="仿宋_GB2312" w:hAnsi="仿宋_GB2312" w:eastAsia="仿宋_GB2312" w:cs="仿宋_GB2312"/>
          <w:sz w:val="24"/>
        </w:rPr>
        <w:t>，不能洗后掉色，不能严重缩水。</w:t>
      </w:r>
    </w:p>
    <w:p>
      <w:pPr>
        <w:spacing w:line="56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2.性能标准：</w:t>
      </w:r>
      <w:r>
        <w:rPr>
          <w:rFonts w:hint="eastAsia" w:ascii="仿宋_GB2312" w:hAnsi="仿宋_GB2312" w:eastAsia="仿宋_GB2312" w:cs="仿宋_GB2312"/>
          <w:sz w:val="24"/>
        </w:rPr>
        <w:t>透气性</w:t>
      </w:r>
      <w:r>
        <w:rPr>
          <w:rFonts w:hint="eastAsia" w:ascii="仿宋_GB2312" w:hAnsi="仿宋_GB2312" w:eastAsia="仿宋_GB2312" w:cs="仿宋_GB2312"/>
          <w:sz w:val="24"/>
          <w:lang w:val="en-US" w:eastAsia="zh-CN"/>
        </w:rPr>
        <w:t>要求</w:t>
      </w:r>
      <w:r>
        <w:rPr>
          <w:rFonts w:hint="eastAsia" w:ascii="仿宋_GB2312" w:hAnsi="仿宋_GB2312" w:eastAsia="仿宋_GB2312" w:cs="仿宋_GB2312"/>
          <w:sz w:val="24"/>
        </w:rPr>
        <w:t>≥200mm/s</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色牢度耐洗≥4级，耐汗渍≥4级</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起毛起球≥4级</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断裂强力经向≥250N，纬向≥200N</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.上衣颜色：衣服主体为灰白夹克长袖。上衣左边口袋上方绣制</w:t>
      </w:r>
      <w:r>
        <w:drawing>
          <wp:inline distT="0" distB="0" distL="114300" distR="114300">
            <wp:extent cx="737235" cy="205105"/>
            <wp:effectExtent l="0" t="0" r="12065"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737235" cy="205105"/>
                    </a:xfrm>
                    <a:prstGeom prst="rect">
                      <a:avLst/>
                    </a:prstGeom>
                    <a:noFill/>
                    <a:ln>
                      <a:noFill/>
                    </a:ln>
                  </pic:spPr>
                </pic:pic>
              </a:graphicData>
            </a:graphic>
          </wp:inline>
        </w:drawing>
      </w:r>
      <w:r>
        <w:rPr>
          <w:rFonts w:hint="eastAsia" w:ascii="仿宋_GB2312" w:hAnsi="仿宋_GB2312" w:eastAsia="仿宋_GB2312" w:cs="仿宋_GB2312"/>
          <w:sz w:val="24"/>
        </w:rPr>
        <w:t>标志。衣领颜色为天青石色，胸口挡边里面采用海军蓝色。</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.上衣细节设计：前胸贴袋、笔袋设计；手臂处笔袋设计，口袋上方及背部上方位置细条（2mm左右）反光条设计；上衣开胸使用拉链、挡边设置</w:t>
      </w:r>
      <w:r>
        <w:rPr>
          <w:rFonts w:hint="eastAsia" w:ascii="仿宋_GB2312" w:hAnsi="仿宋_GB2312" w:eastAsia="仿宋_GB2312" w:cs="仿宋_GB2312"/>
          <w:sz w:val="24"/>
          <w:lang w:val="en-US" w:eastAsia="zh-CN"/>
        </w:rPr>
        <w:t>明</w:t>
      </w:r>
      <w:r>
        <w:rPr>
          <w:rFonts w:hint="eastAsia" w:ascii="仿宋_GB2312" w:hAnsi="仿宋_GB2312" w:eastAsia="仿宋_GB2312" w:cs="仿宋_GB2312"/>
          <w:sz w:val="24"/>
        </w:rPr>
        <w:t>扣；衣袖处设置开口、</w:t>
      </w:r>
      <w:r>
        <w:rPr>
          <w:rFonts w:hint="eastAsia" w:ascii="仿宋_GB2312" w:hAnsi="仿宋_GB2312" w:eastAsia="仿宋_GB2312" w:cs="仿宋_GB2312"/>
          <w:sz w:val="24"/>
          <w:lang w:val="en-US" w:eastAsia="zh-CN"/>
        </w:rPr>
        <w:t>明扣</w:t>
      </w:r>
      <w:r>
        <w:rPr>
          <w:rFonts w:hint="eastAsia" w:ascii="仿宋_GB2312" w:hAnsi="仿宋_GB2312" w:eastAsia="仿宋_GB2312" w:cs="仿宋_GB2312"/>
          <w:sz w:val="24"/>
        </w:rPr>
        <w:t>；上衣底边部分设置夹衬伸缩带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腋下设置透气网</w:t>
      </w:r>
      <w:r>
        <w:rPr>
          <w:rFonts w:hint="eastAsia" w:ascii="仿宋_GB2312" w:hAnsi="仿宋_GB2312" w:eastAsia="仿宋_GB2312" w:cs="仿宋_GB2312"/>
          <w:sz w:val="24"/>
        </w:rPr>
        <w:t>。</w:t>
      </w:r>
    </w:p>
    <w:p>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.裤子颜色与细节设计：裤子颜色跟衣服一致；开档处使用拉链，设置扣子，扣眼；裤子收腰处部分设置夹衬伸缩带；裤腿修身设计</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裆部加固缝线</w:t>
      </w:r>
      <w:r>
        <w:rPr>
          <w:rFonts w:hint="eastAsia" w:ascii="仿宋_GB2312" w:hAnsi="仿宋_GB2312" w:eastAsia="仿宋_GB2312" w:cs="仿宋_GB2312"/>
          <w:sz w:val="24"/>
        </w:rPr>
        <w:t>。</w:t>
      </w:r>
    </w:p>
    <w:p>
      <w:pPr>
        <w:spacing w:line="560" w:lineRule="exact"/>
        <w:ind w:firstLine="480" w:firstLineChars="200"/>
        <w:rPr>
          <w:rFonts w:hint="eastAsia" w:ascii="黑体" w:hAnsi="黑体" w:eastAsia="黑体" w:cs="黑体"/>
          <w:snapToGrid w:val="0"/>
          <w:kern w:val="0"/>
          <w:sz w:val="24"/>
        </w:rPr>
      </w:pPr>
      <w:r>
        <w:rPr>
          <w:rFonts w:ascii="宋体" w:hAnsi="宋体" w:eastAsia="宋体" w:cs="宋体"/>
          <w:snapToGrid w:val="0"/>
          <w:kern w:val="0"/>
          <w:sz w:val="24"/>
        </w:rPr>
        <w:drawing>
          <wp:anchor distT="0" distB="0" distL="114300" distR="114300" simplePos="0" relativeHeight="251659264" behindDoc="0" locked="0" layoutInCell="1" allowOverlap="1">
            <wp:simplePos x="0" y="0"/>
            <wp:positionH relativeFrom="column">
              <wp:posOffset>3143885</wp:posOffset>
            </wp:positionH>
            <wp:positionV relativeFrom="paragraph">
              <wp:posOffset>493395</wp:posOffset>
            </wp:positionV>
            <wp:extent cx="1270635" cy="2729865"/>
            <wp:effectExtent l="0" t="0" r="9525" b="13335"/>
            <wp:wrapTopAndBottom/>
            <wp:docPr id="4" name="图片 4" descr="170718808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07188089118"/>
                    <pic:cNvPicPr>
                      <a:picLocks noChangeAspect="1"/>
                    </pic:cNvPicPr>
                  </pic:nvPicPr>
                  <pic:blipFill>
                    <a:blip r:embed="rId7"/>
                    <a:stretch>
                      <a:fillRect/>
                    </a:stretch>
                  </pic:blipFill>
                  <pic:spPr>
                    <a:xfrm>
                      <a:off x="0" y="0"/>
                      <a:ext cx="1270635" cy="2729865"/>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column">
              <wp:posOffset>215900</wp:posOffset>
            </wp:positionH>
            <wp:positionV relativeFrom="paragraph">
              <wp:posOffset>594360</wp:posOffset>
            </wp:positionV>
            <wp:extent cx="2224405" cy="1510030"/>
            <wp:effectExtent l="0" t="0" r="635" b="13970"/>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2224405" cy="1510030"/>
                    </a:xfrm>
                    <a:prstGeom prst="rect">
                      <a:avLst/>
                    </a:prstGeom>
                    <a:noFill/>
                    <a:ln>
                      <a:noFill/>
                    </a:ln>
                  </pic:spPr>
                </pic:pic>
              </a:graphicData>
            </a:graphic>
          </wp:anchor>
        </w:drawing>
      </w:r>
      <w:r>
        <w:rPr>
          <w:rFonts w:hint="eastAsia" w:ascii="宋体" w:hAnsi="宋体" w:cs="宋体"/>
          <w:snapToGrid w:val="0"/>
          <w:kern w:val="0"/>
          <w:sz w:val="24"/>
          <w:lang w:val="en-US" w:eastAsia="zh-CN"/>
        </w:rPr>
        <w:t>6</w:t>
      </w:r>
      <w:r>
        <w:rPr>
          <w:rFonts w:hint="eastAsia" w:ascii="仿宋_GB2312" w:hAnsi="仿宋_GB2312" w:eastAsia="仿宋_GB2312" w:cs="仿宋_GB2312"/>
          <w:sz w:val="24"/>
        </w:rPr>
        <w:t>.样式及颜色要求如下图图片所示</w:t>
      </w:r>
      <w:r>
        <w:rPr>
          <w:rFonts w:hint="eastAsia" w:ascii="仿宋_GB2312" w:hAnsi="仿宋_GB2312" w:eastAsia="仿宋_GB2312" w:cs="仿宋_GB2312"/>
          <w:sz w:val="24"/>
          <w:lang w:val="en-US" w:eastAsia="zh-CN"/>
        </w:rPr>
        <w:t>也可由采购方提供一套样品样式</w:t>
      </w:r>
      <w:r>
        <w:rPr>
          <w:rFonts w:hint="eastAsia" w:ascii="仿宋_GB2312" w:hAnsi="仿宋_GB2312" w:eastAsia="仿宋_GB2312" w:cs="仿宋_GB2312"/>
          <w:sz w:val="24"/>
        </w:rPr>
        <w:t>。</w:t>
      </w:r>
    </w:p>
    <w:p>
      <w:pPr>
        <w:pStyle w:val="2"/>
        <w:numPr>
          <w:ilvl w:val="0"/>
          <w:numId w:val="0"/>
        </w:numPr>
        <w:spacing w:line="560" w:lineRule="exact"/>
        <w:ind w:leftChars="200"/>
        <w:rPr>
          <w:rFonts w:hint="eastAsia" w:ascii="黑体" w:hAnsi="黑体" w:eastAsia="黑体" w:cs="黑体"/>
          <w:snapToGrid w:val="0"/>
          <w:kern w:val="0"/>
          <w:sz w:val="24"/>
        </w:rPr>
      </w:pPr>
      <w:r>
        <w:rPr>
          <w:rFonts w:hint="eastAsia" w:ascii="黑体" w:hAnsi="黑体" w:eastAsia="黑体" w:cs="黑体"/>
          <w:snapToGrid w:val="0"/>
          <w:kern w:val="0"/>
          <w:sz w:val="24"/>
          <w:lang w:val="en-US" w:eastAsia="zh-CN"/>
        </w:rPr>
        <w:t>二、</w:t>
      </w:r>
      <w:r>
        <w:rPr>
          <w:rFonts w:hint="eastAsia" w:ascii="黑体" w:hAnsi="黑体" w:eastAsia="黑体" w:cs="黑体"/>
          <w:snapToGrid w:val="0"/>
          <w:kern w:val="0"/>
          <w:sz w:val="24"/>
        </w:rPr>
        <w:t>采购</w:t>
      </w:r>
      <w:r>
        <w:rPr>
          <w:rFonts w:hint="eastAsia" w:ascii="黑体" w:hAnsi="黑体" w:eastAsia="黑体" w:cs="黑体"/>
          <w:snapToGrid w:val="0"/>
          <w:kern w:val="0"/>
          <w:sz w:val="24"/>
          <w:lang w:val="en-US" w:eastAsia="zh-CN"/>
        </w:rPr>
        <w:t>型号及</w:t>
      </w:r>
      <w:r>
        <w:rPr>
          <w:rFonts w:hint="eastAsia" w:ascii="黑体" w:hAnsi="黑体" w:eastAsia="黑体" w:cs="黑体"/>
          <w:snapToGrid w:val="0"/>
          <w:kern w:val="0"/>
          <w:sz w:val="24"/>
        </w:rPr>
        <w:t>数量：</w:t>
      </w:r>
      <w:r>
        <w:rPr>
          <w:rFonts w:hint="eastAsia" w:ascii="华文仿宋" w:hAnsi="华文仿宋" w:eastAsia="华文仿宋" w:cs="华文仿宋"/>
          <w:snapToGrid w:val="0"/>
          <w:kern w:val="0"/>
          <w:sz w:val="24"/>
          <w:lang w:val="en-US" w:eastAsia="zh-CN"/>
        </w:rPr>
        <w:t>S、M、L、XL、2XL、3XL、4XL、5XL共计10</w:t>
      </w:r>
      <w:r>
        <w:rPr>
          <w:rFonts w:hint="eastAsia" w:ascii="华文仿宋" w:hAnsi="华文仿宋" w:eastAsia="华文仿宋" w:cs="华文仿宋"/>
          <w:snapToGrid w:val="0"/>
          <w:kern w:val="0"/>
          <w:sz w:val="24"/>
        </w:rPr>
        <w:t>00套。</w:t>
      </w:r>
      <w:r>
        <w:rPr>
          <w:rFonts w:hint="eastAsia" w:ascii="华文仿宋" w:hAnsi="华文仿宋" w:eastAsia="华文仿宋" w:cs="华文仿宋"/>
          <w:snapToGrid w:val="0"/>
          <w:kern w:val="0"/>
          <w:sz w:val="24"/>
          <w:lang w:val="en-US" w:eastAsia="zh-CN"/>
        </w:rPr>
        <w:t>具体各型号所需数量需现场员工试穿后提供。</w:t>
      </w:r>
    </w:p>
    <w:p>
      <w:pPr>
        <w:pStyle w:val="2"/>
        <w:numPr>
          <w:ilvl w:val="0"/>
          <w:numId w:val="0"/>
        </w:numPr>
        <w:spacing w:line="560" w:lineRule="exact"/>
        <w:ind w:leftChars="200"/>
        <w:rPr>
          <w:rFonts w:hint="eastAsia" w:ascii="黑体" w:hAnsi="黑体" w:eastAsia="黑体" w:cs="黑体"/>
          <w:snapToGrid w:val="0"/>
          <w:kern w:val="0"/>
          <w:sz w:val="24"/>
          <w:lang w:val="en-US" w:eastAsia="zh-CN"/>
        </w:rPr>
      </w:pPr>
      <w:r>
        <w:rPr>
          <w:rFonts w:hint="eastAsia" w:ascii="黑体" w:hAnsi="黑体" w:eastAsia="黑体" w:cs="黑体"/>
          <w:snapToGrid w:val="0"/>
          <w:kern w:val="0"/>
          <w:sz w:val="24"/>
          <w:lang w:val="en-US" w:eastAsia="zh-CN"/>
        </w:rPr>
        <w:t>三、采购要求：</w:t>
      </w:r>
    </w:p>
    <w:p>
      <w:pPr>
        <w:spacing w:line="560" w:lineRule="exact"/>
        <w:ind w:firstLine="480" w:firstLineChars="200"/>
        <w:rPr>
          <w:rFonts w:hint="eastAsia" w:ascii="仿宋_GB2312" w:hAnsi="仿宋_GB2312" w:eastAsia="仿宋_GB2312" w:cs="仿宋_GB2312"/>
          <w:snapToGrid w:val="0"/>
          <w:kern w:val="0"/>
          <w:sz w:val="24"/>
          <w:lang w:val="en-US" w:eastAsia="zh-CN"/>
        </w:rPr>
      </w:pPr>
      <w:r>
        <w:rPr>
          <w:rFonts w:hint="eastAsia" w:ascii="仿宋_GB2312" w:hAnsi="仿宋_GB2312" w:eastAsia="仿宋_GB2312" w:cs="仿宋_GB2312"/>
          <w:snapToGrid w:val="0"/>
          <w:kern w:val="0"/>
          <w:sz w:val="24"/>
          <w:lang w:val="en-US" w:eastAsia="zh-CN"/>
        </w:rPr>
        <w:t>1、厂家需在投标同时提供工作服所用材料样品或成衣样品，以便采购方进行燃烧实验。</w:t>
      </w:r>
    </w:p>
    <w:p>
      <w:pPr>
        <w:spacing w:line="560" w:lineRule="exact"/>
        <w:ind w:firstLine="480" w:firstLineChars="200"/>
        <w:rPr>
          <w:rFonts w:hint="default" w:ascii="仿宋_GB2312" w:hAnsi="仿宋_GB2312" w:eastAsia="仿宋_GB2312" w:cs="仿宋_GB2312"/>
          <w:snapToGrid w:val="0"/>
          <w:kern w:val="0"/>
          <w:sz w:val="24"/>
          <w:lang w:val="en-US" w:eastAsia="zh-CN"/>
        </w:rPr>
      </w:pPr>
      <w:r>
        <w:rPr>
          <w:rFonts w:hint="eastAsia" w:ascii="仿宋_GB2312" w:hAnsi="仿宋_GB2312" w:eastAsia="仿宋_GB2312" w:cs="仿宋_GB2312"/>
          <w:snapToGrid w:val="0"/>
          <w:kern w:val="0"/>
          <w:sz w:val="24"/>
          <w:lang w:val="en-US" w:eastAsia="zh-CN"/>
        </w:rPr>
        <w:t>3、要求中标方中标后与采购方联系沟通成衣细节。</w:t>
      </w:r>
    </w:p>
    <w:p>
      <w:pPr>
        <w:spacing w:line="560" w:lineRule="exact"/>
        <w:ind w:firstLine="480" w:firstLineChars="200"/>
        <w:rPr>
          <w:rFonts w:hint="default" w:eastAsia="宋体"/>
          <w:lang w:val="en-US" w:eastAsia="zh-CN"/>
        </w:rPr>
      </w:pPr>
      <w:r>
        <w:rPr>
          <w:rFonts w:hint="eastAsia" w:ascii="仿宋_GB2312" w:hAnsi="仿宋_GB2312" w:eastAsia="仿宋_GB2312" w:cs="仿宋_GB2312"/>
          <w:snapToGrid w:val="0"/>
          <w:kern w:val="0"/>
          <w:sz w:val="24"/>
          <w:lang w:val="en-US" w:eastAsia="zh-CN"/>
        </w:rPr>
        <w:t>2、采购中标方需提供所有型号成品样品各1套进行现场打样试穿，实地测试透气性和活动舒适度并接受所提要求后，再批量定制。</w:t>
      </w:r>
    </w:p>
    <w:p>
      <w:pPr>
        <w:pStyle w:val="2"/>
        <w:spacing w:line="560" w:lineRule="exact"/>
        <w:ind w:left="0" w:leftChars="0" w:firstLine="480"/>
        <w:rPr>
          <w:rFonts w:ascii="黑体" w:hAnsi="黑体" w:eastAsia="黑体" w:cs="黑体"/>
          <w:snapToGrid w:val="0"/>
          <w:kern w:val="0"/>
          <w:sz w:val="24"/>
        </w:rPr>
      </w:pPr>
      <w:r>
        <w:rPr>
          <w:rFonts w:hint="eastAsia" w:ascii="黑体" w:hAnsi="黑体" w:eastAsia="黑体" w:cs="黑体"/>
          <w:snapToGrid w:val="0"/>
          <w:kern w:val="0"/>
          <w:sz w:val="24"/>
          <w:lang w:val="en-US" w:eastAsia="zh-CN"/>
        </w:rPr>
        <w:t>三</w:t>
      </w:r>
      <w:r>
        <w:rPr>
          <w:rFonts w:hint="eastAsia" w:ascii="黑体" w:hAnsi="黑体" w:eastAsia="黑体" w:cs="黑体"/>
          <w:snapToGrid w:val="0"/>
          <w:kern w:val="0"/>
          <w:sz w:val="24"/>
        </w:rPr>
        <w:t>、验收标准</w:t>
      </w:r>
    </w:p>
    <w:p>
      <w:pPr>
        <w:spacing w:line="560" w:lineRule="exact"/>
        <w:ind w:firstLine="480" w:firstLineChars="200"/>
        <w:rPr>
          <w:rFonts w:ascii="仿宋_GB2312" w:hAnsi="仿宋_GB2312" w:eastAsia="仿宋_GB2312" w:cs="仿宋_GB2312"/>
          <w:snapToGrid w:val="0"/>
          <w:kern w:val="0"/>
          <w:sz w:val="24"/>
        </w:rPr>
      </w:pPr>
      <w:r>
        <w:rPr>
          <w:rFonts w:hint="eastAsia" w:ascii="仿宋_GB2312" w:hAnsi="仿宋_GB2312" w:eastAsia="仿宋_GB2312" w:cs="仿宋_GB2312"/>
          <w:snapToGrid w:val="0"/>
          <w:kern w:val="0"/>
          <w:sz w:val="24"/>
        </w:rPr>
        <w:t xml:space="preserve">1、型号及数量。核对工作服的型号及数量是否满足技术规范书要求。   </w:t>
      </w:r>
    </w:p>
    <w:p>
      <w:pPr>
        <w:spacing w:line="560" w:lineRule="exact"/>
        <w:ind w:firstLine="480" w:firstLineChars="200"/>
        <w:rPr>
          <w:rFonts w:ascii="仿宋_GB2312" w:hAnsi="仿宋_GB2312" w:eastAsia="仿宋_GB2312" w:cs="仿宋_GB2312"/>
          <w:snapToGrid w:val="0"/>
          <w:kern w:val="0"/>
          <w:sz w:val="24"/>
        </w:rPr>
      </w:pPr>
      <w:r>
        <w:rPr>
          <w:rFonts w:ascii="仿宋_GB2312" w:hAnsi="仿宋_GB2312" w:eastAsia="仿宋_GB2312" w:cs="仿宋_GB2312"/>
          <w:snapToGrid w:val="0"/>
          <w:kern w:val="0"/>
          <w:sz w:val="24"/>
        </w:rPr>
        <w:t>2</w:t>
      </w:r>
      <w:r>
        <w:rPr>
          <w:rFonts w:hint="eastAsia" w:ascii="仿宋_GB2312" w:hAnsi="仿宋_GB2312" w:eastAsia="仿宋_GB2312" w:cs="仿宋_GB2312"/>
          <w:snapToGrid w:val="0"/>
          <w:kern w:val="0"/>
          <w:sz w:val="24"/>
        </w:rPr>
        <w:t>、品质。检查物资外表或包装是否完好无损，有无裂纹、变形、腐蚀、损坏等现象；检查产品标志是否齐全、清晰。检查衣服线缝，封边、口袋，反光条是否有开线情况，是否存在质量问题；</w:t>
      </w:r>
      <w:r>
        <w:rPr>
          <w:rFonts w:hint="eastAsia" w:ascii="仿宋_GB2312" w:hAnsi="仿宋_GB2312" w:eastAsia="仿宋_GB2312" w:cs="仿宋_GB2312"/>
          <w:snapToGrid w:val="0"/>
          <w:kern w:val="0"/>
          <w:sz w:val="24"/>
          <w:lang w:val="en-US" w:eastAsia="zh-CN"/>
        </w:rPr>
        <w:t>对比检查工作服是否与厂家提供样品材料相同；</w:t>
      </w:r>
      <w:r>
        <w:rPr>
          <w:rFonts w:hint="eastAsia" w:ascii="仿宋_GB2312" w:hAnsi="仿宋_GB2312" w:eastAsia="仿宋_GB2312" w:cs="仿宋_GB2312"/>
          <w:snapToGrid w:val="0"/>
          <w:kern w:val="0"/>
          <w:sz w:val="24"/>
        </w:rPr>
        <w:t>检查工作服是否</w:t>
      </w:r>
      <w:r>
        <w:rPr>
          <w:rFonts w:hint="eastAsia" w:ascii="仿宋_GB2312" w:hAnsi="仿宋_GB2312" w:eastAsia="仿宋_GB2312" w:cs="仿宋_GB2312"/>
          <w:snapToGrid w:val="0"/>
          <w:kern w:val="0"/>
          <w:sz w:val="24"/>
          <w:lang w:val="en-US" w:eastAsia="zh-CN"/>
        </w:rPr>
        <w:t>与</w:t>
      </w:r>
      <w:r>
        <w:rPr>
          <w:rFonts w:hint="eastAsia" w:ascii="仿宋_GB2312" w:hAnsi="仿宋_GB2312" w:eastAsia="仿宋_GB2312" w:cs="仿宋_GB2312"/>
          <w:snapToGrid w:val="0"/>
          <w:kern w:val="0"/>
          <w:sz w:val="24"/>
        </w:rPr>
        <w:t>满足质量标准要求。</w:t>
      </w:r>
    </w:p>
    <w:p>
      <w:pPr>
        <w:spacing w:line="560" w:lineRule="exact"/>
        <w:ind w:firstLine="480" w:firstLineChars="200"/>
        <w:rPr>
          <w:rFonts w:ascii="仿宋_GB2312" w:hAnsi="仿宋_GB2312" w:eastAsia="仿宋_GB2312" w:cs="仿宋_GB2312"/>
          <w:snapToGrid w:val="0"/>
          <w:kern w:val="0"/>
          <w:sz w:val="24"/>
        </w:rPr>
      </w:pPr>
      <w:r>
        <w:rPr>
          <w:rFonts w:hint="eastAsia" w:ascii="黑体" w:hAnsi="黑体" w:eastAsia="黑体" w:cs="黑体"/>
          <w:snapToGrid w:val="0"/>
          <w:kern w:val="0"/>
          <w:sz w:val="24"/>
          <w:lang w:val="en-US" w:eastAsia="zh-CN"/>
        </w:rPr>
        <w:t>四</w:t>
      </w:r>
      <w:r>
        <w:rPr>
          <w:rFonts w:hint="eastAsia" w:ascii="黑体" w:hAnsi="黑体" w:eastAsia="黑体" w:cs="黑体"/>
          <w:snapToGrid w:val="0"/>
          <w:kern w:val="0"/>
          <w:sz w:val="24"/>
        </w:rPr>
        <w:t>、交货地点：</w:t>
      </w:r>
      <w:r>
        <w:rPr>
          <w:rFonts w:hint="eastAsia" w:ascii="仿宋_GB2312" w:hAnsi="仿宋_GB2312" w:eastAsia="仿宋_GB2312" w:cs="仿宋_GB2312"/>
          <w:snapToGrid w:val="0"/>
          <w:kern w:val="0"/>
          <w:sz w:val="24"/>
        </w:rPr>
        <w:t>华电（印尼）玻雅发电公司运维楼</w:t>
      </w:r>
    </w:p>
    <w:p>
      <w:pPr>
        <w:spacing w:line="560" w:lineRule="exact"/>
        <w:ind w:firstLine="480" w:firstLineChars="200"/>
        <w:rPr>
          <w:rFonts w:ascii="仿宋_GB2312" w:hAnsi="仿宋_GB2312" w:eastAsia="仿宋_GB2312" w:cs="仿宋_GB2312"/>
          <w:snapToGrid w:val="0"/>
          <w:kern w:val="0"/>
          <w:sz w:val="24"/>
        </w:rPr>
      </w:pPr>
      <w:r>
        <w:rPr>
          <w:rFonts w:hint="eastAsia" w:ascii="黑体" w:hAnsi="黑体" w:eastAsia="黑体" w:cs="黑体"/>
          <w:snapToGrid w:val="0"/>
          <w:kern w:val="0"/>
          <w:sz w:val="24"/>
          <w:lang w:val="en-US" w:eastAsia="zh-CN"/>
        </w:rPr>
        <w:t>五</w:t>
      </w:r>
      <w:r>
        <w:rPr>
          <w:rFonts w:hint="eastAsia" w:ascii="黑体" w:hAnsi="黑体" w:eastAsia="黑体" w:cs="黑体"/>
          <w:snapToGrid w:val="0"/>
          <w:kern w:val="0"/>
          <w:sz w:val="24"/>
        </w:rPr>
        <w:t>、违约责任：</w:t>
      </w:r>
      <w:r>
        <w:rPr>
          <w:rFonts w:hint="eastAsia" w:ascii="仿宋_GB2312" w:hAnsi="仿宋_GB2312" w:eastAsia="仿宋_GB2312" w:cs="仿宋_GB2312"/>
          <w:snapToGrid w:val="0"/>
          <w:kern w:val="0"/>
          <w:sz w:val="24"/>
        </w:rPr>
        <w:t>按照合同约定执行。</w:t>
      </w:r>
    </w:p>
    <w:p>
      <w:pPr>
        <w:pStyle w:val="17"/>
        <w:keepNext w:val="0"/>
        <w:keepLines w:val="0"/>
        <w:pageBreakBefore w:val="0"/>
        <w:widowControl w:val="0"/>
        <w:kinsoku/>
        <w:wordWrap/>
        <w:overflowPunct/>
        <w:topLinePunct w:val="0"/>
        <w:bidi w:val="0"/>
        <w:snapToGrid/>
        <w:spacing w:line="560" w:lineRule="exact"/>
        <w:textAlignment w:val="auto"/>
        <w:rPr>
          <w:rFonts w:hint="eastAsia" w:ascii="宋体" w:hAnsi="宋体" w:eastAsia="宋体" w:cs="宋体"/>
          <w:color w:val="auto"/>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7422"/>
        <w:tab w:val="clear" w:pos="8306"/>
      </w:tabs>
    </w:pPr>
    <w:r>
      <w:rPr>
        <w:rFonts w:hint="eastAsia"/>
        <w:b w:val="0"/>
        <w:bCs w:val="0"/>
        <w:color w:val="000000"/>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7422"/>
        <w:tab w:val="clear" w:pos="8306"/>
      </w:tabs>
    </w:pPr>
    <w:r>
      <w:rPr>
        <w:rFonts w:hint="eastAsia" w:eastAsia="宋体"/>
        <w:color w:val="000000"/>
        <w:lang w:eastAsia="zh-CN"/>
      </w:rPr>
      <w:drawing>
        <wp:inline distT="0" distB="0" distL="114300" distR="114300">
          <wp:extent cx="1847850" cy="435610"/>
          <wp:effectExtent l="0" t="0" r="11430" b="6350"/>
          <wp:docPr id="1" name="图片 1" descr="QQ图片2022103111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221031111856"/>
                  <pic:cNvPicPr>
                    <a:picLocks noChangeAspect="1"/>
                  </pic:cNvPicPr>
                </pic:nvPicPr>
                <pic:blipFill>
                  <a:blip r:embed="rId1"/>
                  <a:stretch>
                    <a:fillRect/>
                  </a:stretch>
                </pic:blipFill>
                <pic:spPr>
                  <a:xfrm>
                    <a:off x="0" y="0"/>
                    <a:ext cx="1847850" cy="435610"/>
                  </a:xfrm>
                  <a:prstGeom prst="rect">
                    <a:avLst/>
                  </a:prstGeom>
                  <a:noFill/>
                  <a:ln w="9525">
                    <a:noFill/>
                    <a:miter/>
                  </a:ln>
                </pic:spPr>
              </pic:pic>
            </a:graphicData>
          </a:graphic>
        </wp:inline>
      </w:drawing>
    </w:r>
    <w:r>
      <w:rPr>
        <w:rFonts w:hint="eastAsia"/>
        <w:b w:val="0"/>
        <w:bCs w:val="0"/>
        <w:color w:val="000000"/>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1Y2VkOWIzMmRmMzJjMzI4Mjg5YjE2ZDI5YmE1MzIifQ=="/>
  </w:docVars>
  <w:rsids>
    <w:rsidRoot w:val="2841008F"/>
    <w:rsid w:val="00C5242F"/>
    <w:rsid w:val="01F4327C"/>
    <w:rsid w:val="04996A69"/>
    <w:rsid w:val="05EE4446"/>
    <w:rsid w:val="083972EC"/>
    <w:rsid w:val="087771F2"/>
    <w:rsid w:val="0A1246B0"/>
    <w:rsid w:val="0A55482E"/>
    <w:rsid w:val="0A8F2D6C"/>
    <w:rsid w:val="0B8027C5"/>
    <w:rsid w:val="0D4B44FC"/>
    <w:rsid w:val="0DB305F2"/>
    <w:rsid w:val="11E76BE4"/>
    <w:rsid w:val="12680F46"/>
    <w:rsid w:val="12CC516C"/>
    <w:rsid w:val="12D81620"/>
    <w:rsid w:val="13492907"/>
    <w:rsid w:val="140A6AD9"/>
    <w:rsid w:val="14BD26AF"/>
    <w:rsid w:val="160144ED"/>
    <w:rsid w:val="16056AC8"/>
    <w:rsid w:val="187C26F7"/>
    <w:rsid w:val="19CF0E02"/>
    <w:rsid w:val="1A823397"/>
    <w:rsid w:val="1BC93102"/>
    <w:rsid w:val="1E461402"/>
    <w:rsid w:val="1EF716CC"/>
    <w:rsid w:val="1F401E7B"/>
    <w:rsid w:val="215A0356"/>
    <w:rsid w:val="22827FFC"/>
    <w:rsid w:val="236B0C61"/>
    <w:rsid w:val="238C349A"/>
    <w:rsid w:val="23D743FD"/>
    <w:rsid w:val="23F6340C"/>
    <w:rsid w:val="257C2C1F"/>
    <w:rsid w:val="25884834"/>
    <w:rsid w:val="25B82157"/>
    <w:rsid w:val="26BE554B"/>
    <w:rsid w:val="27EC05FE"/>
    <w:rsid w:val="2841008F"/>
    <w:rsid w:val="29CC75BA"/>
    <w:rsid w:val="2B360D9B"/>
    <w:rsid w:val="2B952D7C"/>
    <w:rsid w:val="2C731B8F"/>
    <w:rsid w:val="2DC215F3"/>
    <w:rsid w:val="30462635"/>
    <w:rsid w:val="307849BD"/>
    <w:rsid w:val="311B592F"/>
    <w:rsid w:val="316B40EB"/>
    <w:rsid w:val="32053C4F"/>
    <w:rsid w:val="32A96411"/>
    <w:rsid w:val="33D6481C"/>
    <w:rsid w:val="3480628B"/>
    <w:rsid w:val="348076D6"/>
    <w:rsid w:val="34C63E40"/>
    <w:rsid w:val="36230520"/>
    <w:rsid w:val="38ED158E"/>
    <w:rsid w:val="3BF44191"/>
    <w:rsid w:val="3CF00A51"/>
    <w:rsid w:val="3D8140D9"/>
    <w:rsid w:val="3FE5314C"/>
    <w:rsid w:val="420E188D"/>
    <w:rsid w:val="430066E2"/>
    <w:rsid w:val="43053F76"/>
    <w:rsid w:val="44B9111C"/>
    <w:rsid w:val="44FF03E3"/>
    <w:rsid w:val="467568A5"/>
    <w:rsid w:val="46BF5A68"/>
    <w:rsid w:val="479C0F6C"/>
    <w:rsid w:val="482B2BCD"/>
    <w:rsid w:val="486400F0"/>
    <w:rsid w:val="48AC3A30"/>
    <w:rsid w:val="48E3720B"/>
    <w:rsid w:val="497A41C6"/>
    <w:rsid w:val="4A4D25B5"/>
    <w:rsid w:val="4AC52056"/>
    <w:rsid w:val="4E5B2214"/>
    <w:rsid w:val="4F43216F"/>
    <w:rsid w:val="50DC7F06"/>
    <w:rsid w:val="517B778D"/>
    <w:rsid w:val="57356E91"/>
    <w:rsid w:val="583059FA"/>
    <w:rsid w:val="586D27DB"/>
    <w:rsid w:val="5AD706C1"/>
    <w:rsid w:val="5B3B12D3"/>
    <w:rsid w:val="5BD91A32"/>
    <w:rsid w:val="5C134A75"/>
    <w:rsid w:val="5FE00A87"/>
    <w:rsid w:val="60654E78"/>
    <w:rsid w:val="60DE70EB"/>
    <w:rsid w:val="62E90262"/>
    <w:rsid w:val="63291B01"/>
    <w:rsid w:val="641806C3"/>
    <w:rsid w:val="64324F86"/>
    <w:rsid w:val="64797675"/>
    <w:rsid w:val="650F5CBF"/>
    <w:rsid w:val="66C5281E"/>
    <w:rsid w:val="67CB4D88"/>
    <w:rsid w:val="680E0245"/>
    <w:rsid w:val="692B7A8F"/>
    <w:rsid w:val="6BAC6F1C"/>
    <w:rsid w:val="6DB74B0F"/>
    <w:rsid w:val="6EC8089D"/>
    <w:rsid w:val="6F8A36BB"/>
    <w:rsid w:val="6FCE2538"/>
    <w:rsid w:val="6FD165D7"/>
    <w:rsid w:val="6FDE1162"/>
    <w:rsid w:val="70565FA0"/>
    <w:rsid w:val="707F0188"/>
    <w:rsid w:val="71907952"/>
    <w:rsid w:val="723805FC"/>
    <w:rsid w:val="72B63535"/>
    <w:rsid w:val="73542C41"/>
    <w:rsid w:val="7716169B"/>
    <w:rsid w:val="77AD276B"/>
    <w:rsid w:val="7959748D"/>
    <w:rsid w:val="7AF052EF"/>
    <w:rsid w:val="7C177562"/>
    <w:rsid w:val="7C401D0C"/>
    <w:rsid w:val="7CF76237"/>
    <w:rsid w:val="7D4964D0"/>
    <w:rsid w:val="7DDA1D78"/>
    <w:rsid w:val="7E994B91"/>
    <w:rsid w:val="7F5F0929"/>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unhideWhenUsed/>
    <w:qFormat/>
    <w:uiPriority w:val="0"/>
    <w:pPr>
      <w:widowControl/>
      <w:spacing w:before="260" w:beforeLines="0" w:after="260" w:afterLines="0" w:line="408" w:lineRule="auto"/>
      <w:outlineLvl w:val="1"/>
    </w:pPr>
    <w:rPr>
      <w:rFonts w:hint="eastAsia" w:ascii="黑体" w:hAnsi="宋体" w:eastAsia="黑体"/>
      <w:b/>
      <w:sz w:val="32"/>
    </w:rPr>
  </w:style>
  <w:style w:type="character" w:default="1" w:styleId="11">
    <w:name w:val="Default Paragraph Font"/>
    <w:link w:val="12"/>
    <w:semiHidden/>
    <w:qFormat/>
    <w:uiPriority w:val="0"/>
    <w:rPr>
      <w:rFonts w:ascii="宋体" w:hAnsi="宋体" w:cs="宋体"/>
    </w:rPr>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adjustRightInd/>
      <w:snapToGrid/>
      <w:spacing w:after="120" w:afterLines="0" w:line="240" w:lineRule="auto"/>
      <w:ind w:left="420" w:leftChars="200" w:firstLine="420" w:firstLineChars="200"/>
      <w:jc w:val="both"/>
    </w:pPr>
    <w:rPr>
      <w:rFonts w:ascii="Times New Roman" w:hAnsi="Times New Roman"/>
      <w:color w:val="auto"/>
      <w:sz w:val="21"/>
    </w:rPr>
  </w:style>
  <w:style w:type="paragraph" w:styleId="3">
    <w:name w:val="Body Text Indent"/>
    <w:basedOn w:val="1"/>
    <w:qFormat/>
    <w:uiPriority w:val="0"/>
    <w:pPr>
      <w:adjustRightInd w:val="0"/>
      <w:spacing w:line="360" w:lineRule="auto"/>
      <w:ind w:left="454"/>
      <w:jc w:val="left"/>
      <w:textAlignment w:val="baseline"/>
    </w:pPr>
    <w:rPr>
      <w:rFonts w:ascii="宋体"/>
      <w:kern w:val="0"/>
      <w:sz w:val="24"/>
    </w:rPr>
  </w:style>
  <w:style w:type="paragraph" w:styleId="5">
    <w:name w:val="Normal Indent"/>
    <w:basedOn w:val="1"/>
    <w:next w:val="1"/>
    <w:qFormat/>
    <w:uiPriority w:val="0"/>
    <w:pPr>
      <w:ind w:firstLine="420"/>
    </w:pPr>
    <w:rPr>
      <w:rFonts w:eastAsia="宋体"/>
      <w:sz w:val="21"/>
    </w:rPr>
  </w:style>
  <w:style w:type="paragraph" w:styleId="6">
    <w:name w:val="Body Text"/>
    <w:basedOn w:val="1"/>
    <w:qFormat/>
    <w:uiPriority w:val="0"/>
    <w:pPr>
      <w:spacing w:after="12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next w:val="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0">
    <w:name w:val="toc 1"/>
    <w:basedOn w:val="1"/>
    <w:next w:val="1"/>
    <w:qFormat/>
    <w:uiPriority w:val="0"/>
  </w:style>
  <w:style w:type="paragraph" w:customStyle="1" w:styleId="12">
    <w:name w:val=" Char Char Char Char"/>
    <w:basedOn w:val="1"/>
    <w:link w:val="11"/>
    <w:qFormat/>
    <w:uiPriority w:val="0"/>
    <w:pPr>
      <w:spacing w:line="360" w:lineRule="auto"/>
      <w:ind w:firstLine="200" w:firstLineChars="200"/>
    </w:pPr>
    <w:rPr>
      <w:rFonts w:ascii="宋体" w:hAnsi="宋体" w:cs="宋体"/>
    </w:rPr>
  </w:style>
  <w:style w:type="character" w:styleId="13">
    <w:name w:val="Strong"/>
    <w:basedOn w:val="11"/>
    <w:qFormat/>
    <w:uiPriority w:val="0"/>
    <w:rPr>
      <w:b/>
    </w:rPr>
  </w:style>
  <w:style w:type="character" w:styleId="14">
    <w:name w:val="page number"/>
    <w:basedOn w:val="11"/>
    <w:uiPriority w:val="0"/>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Default"/>
    <w:qFormat/>
    <w:uiPriority w:val="0"/>
    <w:pPr>
      <w:widowControl w:val="0"/>
      <w:autoSpaceDE w:val="0"/>
      <w:autoSpaceDN w:val="0"/>
      <w:adjustRightInd w:val="0"/>
    </w:pPr>
    <w:rPr>
      <w:rFonts w:eastAsia="Times New Roman" w:asciiTheme="minorHAnsi" w:hAnsiTheme="minorHAnsi" w:cstheme="minorBidi"/>
      <w:color w:val="000000"/>
      <w:sz w:val="24"/>
      <w:szCs w:val="22"/>
      <w:lang w:val="en-US" w:eastAsia="zh-CN" w:bidi="ar-SA"/>
    </w:rPr>
  </w:style>
  <w:style w:type="paragraph" w:customStyle="1" w:styleId="18">
    <w:name w:val="北海分级目录"/>
    <w:basedOn w:val="1"/>
    <w:qFormat/>
    <w:uiPriority w:val="0"/>
    <w:rPr>
      <w:rFonts w:ascii="宋体" w:hAnsi="宋体"/>
      <w:color w:val="000000"/>
      <w:kern w:val="0"/>
      <w:szCs w:val="21"/>
    </w:rPr>
  </w:style>
  <w:style w:type="paragraph" w:customStyle="1" w:styleId="19">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中国华电集团公司</Company>
  <Pages>4</Pages>
  <Words>604</Words>
  <Characters>626</Characters>
  <Lines>0</Lines>
  <Paragraphs>0</Paragraphs>
  <ScaleCrop>false</ScaleCrop>
  <LinksUpToDate>false</LinksUpToDate>
  <CharactersWithSpaces>714</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2024-10-14T02:48:00Z</dcterms:created>
  <dc:creator>李岗</dc:creator>
  <cp:lastModifiedBy>75793</cp:lastModifiedBy>
  <cp:lastPrinted>2025-05-05T07:18:00Z</cp:lastPrinted>
  <dcterms:modified xsi:type="dcterms:W3CDTF">2025-06-13T09:10:23Z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73290F85558E4FE98FC80158DBBFE791_13</vt:lpwstr>
  </property>
  <property fmtid="{D5CDD505-2E9C-101B-9397-08002B2CF9AE}" pid="4" name="KSOTemplateDocerSaveRecord">
    <vt:lpwstr>eyJoZGlkIjoiYzQ4YjZjNWVjNjlkMGVlZGRmYjI5OWVjYzk5ZjNmZWQiLCJ1c2VySWQiOiIxMjMxNjM1NzY4In0=</vt:lpwstr>
  </property>
</Properties>
</file>