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tabs>
          <w:tab w:val="left" w:pos="2560"/>
        </w:tabs>
        <w:spacing w:line="360" w:lineRule="auto"/>
        <w:jc w:val="center"/>
        <w:rPr>
          <w:rFonts w:ascii="Times New Roman" w:eastAsia="仿宋"/>
          <w:b/>
          <w:sz w:val="32"/>
          <w:szCs w:val="32"/>
        </w:rPr>
      </w:pPr>
      <w:r>
        <w:rPr>
          <w:rFonts w:hint="eastAsia" w:ascii="Times New Roman" w:eastAsia="仿宋"/>
          <w:b/>
          <w:sz w:val="32"/>
          <w:szCs w:val="32"/>
        </w:rPr>
        <w:t>印尼</w:t>
      </w:r>
      <w:r>
        <w:rPr>
          <w:rFonts w:ascii="Times New Roman" w:eastAsia="仿宋"/>
          <w:b/>
          <w:sz w:val="32"/>
          <w:szCs w:val="32"/>
        </w:rPr>
        <w:t>玻雅分公司202</w:t>
      </w:r>
      <w:r>
        <w:rPr>
          <w:rFonts w:hint="eastAsia" w:ascii="Times New Roman" w:eastAsia="仿宋"/>
          <w:b/>
          <w:sz w:val="32"/>
          <w:szCs w:val="32"/>
        </w:rPr>
        <w:t>5</w:t>
      </w:r>
      <w:r>
        <w:rPr>
          <w:rFonts w:ascii="Times New Roman" w:eastAsia="仿宋"/>
          <w:b/>
          <w:sz w:val="32"/>
          <w:szCs w:val="32"/>
        </w:rPr>
        <w:t>-202</w:t>
      </w:r>
      <w:r>
        <w:rPr>
          <w:rFonts w:hint="eastAsia" w:ascii="Times New Roman" w:eastAsia="仿宋"/>
          <w:b/>
          <w:sz w:val="32"/>
          <w:szCs w:val="32"/>
        </w:rPr>
        <w:t>6</w:t>
      </w:r>
      <w:r>
        <w:rPr>
          <w:rFonts w:ascii="Times New Roman" w:eastAsia="仿宋"/>
          <w:b/>
          <w:sz w:val="32"/>
          <w:szCs w:val="32"/>
        </w:rPr>
        <w:t>年饮用品询</w:t>
      </w:r>
      <w:r>
        <w:rPr>
          <w:rFonts w:hint="eastAsia" w:ascii="Times New Roman" w:eastAsia="仿宋"/>
          <w:b/>
          <w:sz w:val="32"/>
          <w:szCs w:val="32"/>
        </w:rPr>
        <w:t>比</w:t>
      </w:r>
      <w:r>
        <w:rPr>
          <w:rFonts w:ascii="Times New Roman" w:eastAsia="仿宋"/>
          <w:b/>
          <w:sz w:val="32"/>
          <w:szCs w:val="32"/>
        </w:rPr>
        <w:t>采购文件</w:t>
      </w:r>
    </w:p>
    <w:p>
      <w:pPr>
        <w:jc w:val="center"/>
        <w:rPr>
          <w:rFonts w:hint="eastAsia" w:eastAsia="黑体" w:asciiTheme="majorEastAsia" w:hAnsiTheme="majorEastAsia" w:cstheme="majorEastAsia"/>
          <w:b/>
          <w:bCs/>
          <w:sz w:val="30"/>
          <w:szCs w:val="30"/>
        </w:rPr>
      </w:pPr>
      <w:r>
        <w:rPr>
          <w:rFonts w:hint="eastAsia" w:eastAsia="Times New Roman" w:asciiTheme="majorEastAsia" w:hAnsiTheme="majorEastAsia" w:cstheme="majorEastAsia"/>
          <w:b/>
          <w:bCs/>
          <w:color w:val="000000"/>
          <w:sz w:val="30"/>
          <w:szCs w:val="30"/>
        </w:rPr>
        <w:t>Dokumen Permintaan Penawaran Pengadaan Minuman Tahun 2025-2026</w:t>
      </w:r>
    </w:p>
    <w:p>
      <w:pPr>
        <w:spacing w:line="560" w:lineRule="exact"/>
        <w:rPr>
          <w:rFonts w:hint="eastAsia" w:ascii="宋体" w:hAnsi="宋体" w:eastAsia="宋体" w:cs="宋体"/>
          <w:b w:val="0"/>
          <w:sz w:val="24"/>
          <w:szCs w:val="24"/>
        </w:rPr>
      </w:pPr>
      <w:r>
        <w:rPr>
          <w:rFonts w:hint="eastAsia" w:ascii="宋体" w:hAnsi="宋体" w:eastAsia="宋体" w:cs="宋体"/>
          <w:b/>
          <w:sz w:val="24"/>
          <w:szCs w:val="24"/>
        </w:rPr>
        <w:t xml:space="preserve">一、资格条件 </w:t>
      </w:r>
      <w:r>
        <w:rPr>
          <w:rFonts w:hint="eastAsia" w:ascii="宋体" w:hAnsi="宋体" w:eastAsia="宋体" w:cs="宋体"/>
          <w:sz w:val="24"/>
          <w:szCs w:val="24"/>
        </w:rPr>
        <w:t>K</w:t>
      </w:r>
      <w:r>
        <w:rPr>
          <w:rFonts w:hint="eastAsia" w:ascii="宋体" w:hAnsi="宋体" w:eastAsia="宋体" w:cs="宋体"/>
          <w:b w:val="0"/>
          <w:sz w:val="24"/>
          <w:szCs w:val="24"/>
        </w:rPr>
        <w:t>ualifikasi：</w:t>
      </w:r>
    </w:p>
    <w:p>
      <w:pPr>
        <w:pStyle w:val="2"/>
        <w:spacing w:after="0" w:line="560" w:lineRule="exact"/>
        <w:ind w:left="0" w:leftChars="0" w:firstLine="560"/>
        <w:rPr>
          <w:rFonts w:hint="eastAsia" w:ascii="宋体" w:hAnsi="宋体" w:eastAsia="宋体" w:cs="宋体"/>
          <w:bCs w:val="0"/>
          <w:sz w:val="24"/>
          <w:szCs w:val="24"/>
        </w:rPr>
      </w:pPr>
      <w:bookmarkStart w:id="0" w:name="OLE_LINK1"/>
      <w:r>
        <w:rPr>
          <w:rFonts w:hint="eastAsia" w:ascii="宋体" w:hAnsi="宋体" w:eastAsia="宋体" w:cs="宋体"/>
          <w:bCs w:val="0"/>
          <w:sz w:val="24"/>
          <w:szCs w:val="24"/>
        </w:rPr>
        <w:t>供应商是印度尼西亚注册公司, 具有独立的法人资格，持有有效营业执照，能够独立承担民事责任。</w:t>
      </w:r>
      <w:bookmarkEnd w:id="0"/>
    </w:p>
    <w:p>
      <w:pPr>
        <w:pStyle w:val="2"/>
        <w:spacing w:after="0" w:line="560" w:lineRule="exact"/>
        <w:ind w:left="0" w:leftChars="0" w:firstLine="560"/>
        <w:rPr>
          <w:rFonts w:hint="eastAsia" w:ascii="宋体" w:hAnsi="宋体" w:eastAsia="宋体" w:cs="宋体"/>
          <w:bCs w:val="0"/>
          <w:sz w:val="24"/>
          <w:szCs w:val="24"/>
        </w:rPr>
      </w:pPr>
      <w:r>
        <w:rPr>
          <w:rFonts w:hint="eastAsia" w:ascii="宋体" w:hAnsi="宋体" w:eastAsia="宋体" w:cs="宋体"/>
          <w:bCs w:val="0"/>
          <w:sz w:val="24"/>
          <w:szCs w:val="24"/>
        </w:rPr>
        <w:t>Pemasok adalah perusahaan yang terdaftar di indonesia, dengan lisensi legal yang independen, dengan lisensi untuk menjalankan tanggung jawab sipil secara mandiri.</w:t>
      </w:r>
    </w:p>
    <w:p>
      <w:pPr>
        <w:numPr>
          <w:ilvl w:val="0"/>
          <w:numId w:val="2"/>
        </w:numPr>
        <w:spacing w:line="560" w:lineRule="exact"/>
        <w:jc w:val="left"/>
        <w:rPr>
          <w:rFonts w:hint="eastAsia" w:ascii="宋体" w:hAnsi="宋体" w:eastAsia="宋体" w:cs="宋体"/>
          <w:b w:val="0"/>
          <w:sz w:val="24"/>
          <w:szCs w:val="24"/>
        </w:rPr>
      </w:pPr>
      <w:r>
        <w:rPr>
          <w:rFonts w:hint="eastAsia" w:ascii="宋体" w:hAnsi="宋体" w:eastAsia="宋体" w:cs="宋体"/>
          <w:b w:val="0"/>
          <w:sz w:val="24"/>
          <w:szCs w:val="24"/>
        </w:rPr>
        <w:t>服务要求 Persyaratan layanan：</w:t>
      </w:r>
    </w:p>
    <w:p>
      <w:pPr>
        <w:pStyle w:val="2"/>
        <w:numPr>
          <w:ilvl w:val="0"/>
          <w:numId w:val="3"/>
        </w:numPr>
        <w:spacing w:after="0" w:line="560" w:lineRule="exact"/>
        <w:ind w:left="0" w:leftChars="0" w:firstLine="560"/>
        <w:rPr>
          <w:rFonts w:hint="eastAsia" w:ascii="宋体" w:hAnsi="宋体" w:eastAsia="宋体" w:cs="宋体"/>
          <w:sz w:val="24"/>
          <w:szCs w:val="24"/>
        </w:rPr>
      </w:pPr>
      <w:r>
        <w:rPr>
          <w:rFonts w:hint="eastAsia" w:ascii="宋体" w:hAnsi="宋体" w:eastAsia="宋体" w:cs="宋体"/>
          <w:sz w:val="24"/>
          <w:szCs w:val="24"/>
        </w:rPr>
        <w:t>采购方向供应商提出饮用品数量，供应商必须于2日内将饮用品送到采购方指定地点（，如遇极端天气或特殊情况经采购方允许后可顺延。</w:t>
      </w:r>
    </w:p>
    <w:p>
      <w:pPr>
        <w:pStyle w:val="2"/>
        <w:spacing w:after="0" w:line="560" w:lineRule="exact"/>
        <w:ind w:left="0" w:leftChars="0" w:firstLine="540"/>
        <w:rPr>
          <w:rFonts w:hint="eastAsia" w:ascii="宋体" w:hAnsi="宋体" w:eastAsia="宋体" w:cs="宋体"/>
          <w:sz w:val="24"/>
          <w:szCs w:val="24"/>
        </w:rPr>
      </w:pPr>
      <w:r>
        <w:rPr>
          <w:rFonts w:hint="eastAsia" w:ascii="宋体" w:hAnsi="宋体" w:eastAsia="宋体" w:cs="宋体"/>
          <w:color w:val="000000"/>
          <w:sz w:val="24"/>
          <w:szCs w:val="24"/>
        </w:rPr>
        <w:t>Pihak pembeli mengajukan jumlah minuman kepada pemasok, dan pemasok wajib mengirimkan minuman tersebut ke lokasi yang ditentukan oleh pihak pembeli dalam waktu 2 hari. Apabila terjadi cuaca ekstrem atau keadaan khusus, pengiriman dapat ditunda setelah mendapat persetujuan dari pihak pembeli.</w:t>
      </w:r>
    </w:p>
    <w:p>
      <w:pPr>
        <w:pStyle w:val="2"/>
        <w:numPr>
          <w:ilvl w:val="0"/>
          <w:numId w:val="3"/>
        </w:numPr>
        <w:spacing w:after="0" w:line="560" w:lineRule="exact"/>
        <w:ind w:left="0" w:leftChars="0" w:firstLine="560"/>
        <w:jc w:val="left"/>
        <w:rPr>
          <w:rFonts w:hint="eastAsia" w:ascii="宋体" w:hAnsi="宋体" w:eastAsia="宋体" w:cs="宋体"/>
          <w:sz w:val="24"/>
          <w:szCs w:val="24"/>
        </w:rPr>
      </w:pPr>
      <w:r>
        <w:rPr>
          <w:rFonts w:hint="eastAsia" w:ascii="宋体" w:hAnsi="宋体" w:eastAsia="宋体" w:cs="宋体"/>
          <w:sz w:val="24"/>
          <w:szCs w:val="24"/>
        </w:rPr>
        <w:t>供应商送达的饮品保质期应不少于30天，送达后如发生容器破裂、泄露以及质量问题，供应商应免费及时更换；</w:t>
      </w:r>
    </w:p>
    <w:p>
      <w:pPr>
        <w:pStyle w:val="2"/>
        <w:spacing w:after="0" w:line="560" w:lineRule="exact"/>
        <w:ind w:left="0" w:leftChars="0" w:firstLine="540"/>
        <w:jc w:val="left"/>
        <w:rPr>
          <w:rFonts w:hint="eastAsia" w:ascii="宋体" w:hAnsi="宋体" w:eastAsia="宋体" w:cs="宋体"/>
          <w:sz w:val="24"/>
          <w:szCs w:val="24"/>
        </w:rPr>
      </w:pPr>
      <w:r>
        <w:rPr>
          <w:rFonts w:hint="eastAsia" w:ascii="宋体" w:hAnsi="宋体" w:eastAsia="宋体" w:cs="宋体"/>
          <w:color w:val="000000"/>
          <w:sz w:val="24"/>
          <w:szCs w:val="24"/>
        </w:rPr>
        <w:t>Minuman yang dikirim oleh pemasok harus memiliki masa kedaluwarsa tidak kurang dari 30 hari. Apabila setelah pengiriman terjadi kerusakan kemasan, kebocoran, atau masalah kualitas, pemasok wajib mengganti secara gratis dan segera.</w:t>
      </w:r>
    </w:p>
    <w:p>
      <w:pPr>
        <w:pStyle w:val="2"/>
        <w:numPr>
          <w:ilvl w:val="0"/>
          <w:numId w:val="3"/>
        </w:numPr>
        <w:spacing w:after="0" w:line="560" w:lineRule="exact"/>
        <w:ind w:left="0" w:leftChars="0" w:firstLine="560"/>
        <w:jc w:val="left"/>
        <w:rPr>
          <w:rFonts w:hint="eastAsia" w:ascii="宋体" w:hAnsi="宋体" w:eastAsia="宋体" w:cs="宋体"/>
          <w:sz w:val="24"/>
          <w:szCs w:val="24"/>
        </w:rPr>
      </w:pPr>
      <w:r>
        <w:rPr>
          <w:rFonts w:hint="eastAsia" w:ascii="宋体" w:hAnsi="宋体" w:eastAsia="宋体" w:cs="宋体"/>
          <w:sz w:val="24"/>
          <w:szCs w:val="24"/>
        </w:rPr>
        <w:t>送货员在送货途中发生意外等情况均由供应商自行承担全部赔偿责任。</w:t>
      </w:r>
    </w:p>
    <w:p>
      <w:pPr>
        <w:pStyle w:val="2"/>
        <w:spacing w:after="0" w:line="560" w:lineRule="exact"/>
        <w:ind w:left="0" w:leftChars="0" w:firstLine="540"/>
        <w:jc w:val="left"/>
        <w:rPr>
          <w:rFonts w:hint="eastAsia" w:ascii="宋体" w:hAnsi="宋体" w:eastAsia="宋体" w:cs="宋体"/>
          <w:sz w:val="24"/>
          <w:szCs w:val="24"/>
        </w:rPr>
      </w:pPr>
      <w:r>
        <w:rPr>
          <w:rFonts w:hint="eastAsia" w:ascii="宋体" w:hAnsi="宋体" w:eastAsia="宋体" w:cs="宋体"/>
          <w:color w:val="000000"/>
          <w:sz w:val="24"/>
          <w:szCs w:val="24"/>
        </w:rPr>
        <w:t>Apabila terjadi kecelakaan atau insiden lain selama proses pengantaran, seluruh tanggung jawab dan ganti rugi sepenuhnya menjadi beban pemasok.</w:t>
      </w:r>
    </w:p>
    <w:p>
      <w:pPr>
        <w:pStyle w:val="2"/>
        <w:spacing w:after="0" w:line="560" w:lineRule="exact"/>
        <w:ind w:left="0" w:leftChars="0" w:firstLine="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三、报价要求</w:t>
      </w:r>
      <w:r>
        <w:rPr>
          <w:rFonts w:hint="eastAsia" w:ascii="宋体" w:hAnsi="宋体" w:eastAsia="宋体" w:cs="宋体"/>
          <w:sz w:val="24"/>
          <w:szCs w:val="24"/>
        </w:rPr>
        <w:t>Persyaratan P</w:t>
      </w:r>
      <w:r>
        <w:rPr>
          <w:rFonts w:hint="eastAsia" w:ascii="宋体" w:hAnsi="宋体" w:eastAsia="宋体" w:cs="宋体"/>
          <w:b w:val="0"/>
          <w:sz w:val="24"/>
          <w:szCs w:val="24"/>
        </w:rPr>
        <w:t>enawaran</w:t>
      </w:r>
      <w:r>
        <w:rPr>
          <w:rFonts w:hint="eastAsia" w:ascii="宋体" w:hAnsi="宋体" w:eastAsia="宋体" w:cs="宋体"/>
          <w:sz w:val="24"/>
          <w:szCs w:val="24"/>
        </w:rPr>
        <w:t xml:space="preserve"> Harga</w:t>
      </w:r>
      <w:r>
        <w:rPr>
          <w:rFonts w:hint="eastAsia" w:ascii="宋体" w:hAnsi="宋体" w:eastAsia="宋体" w:cs="宋体"/>
          <w:b w:val="0"/>
          <w:bCs w:val="0"/>
          <w:sz w:val="24"/>
          <w:szCs w:val="24"/>
        </w:rPr>
        <w:t>：</w:t>
      </w:r>
    </w:p>
    <w:p>
      <w:pPr>
        <w:pStyle w:val="2"/>
        <w:spacing w:after="0" w:line="560" w:lineRule="exact"/>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    1.分别报出单价，以及总价格。总价包含但不限于税费、利润、运费等费用。 </w:t>
      </w:r>
    </w:p>
    <w:p>
      <w:pPr>
        <w:pStyle w:val="2"/>
        <w:spacing w:after="0" w:line="560" w:lineRule="exact"/>
        <w:ind w:left="0" w:leftChars="0" w:firstLine="540"/>
        <w:rPr>
          <w:rFonts w:hint="eastAsia" w:ascii="宋体" w:hAnsi="宋体" w:eastAsia="宋体" w:cs="宋体"/>
          <w:color w:val="000000"/>
          <w:sz w:val="24"/>
          <w:szCs w:val="24"/>
        </w:rPr>
      </w:pPr>
      <w:r>
        <w:rPr>
          <w:rFonts w:hint="eastAsia" w:ascii="宋体" w:hAnsi="宋体" w:eastAsia="宋体" w:cs="宋体"/>
          <w:color w:val="000000"/>
          <w:sz w:val="24"/>
          <w:szCs w:val="24"/>
        </w:rPr>
        <w:t>Cantumkan secara terpisah harga satuan dan total harga. Total harga sudah termasuk tetapi tidak terbatas pada pajak, keuntungan, biaya pengiriman, dan biaya lainnya.</w:t>
      </w:r>
    </w:p>
    <w:p>
      <w:pPr>
        <w:pStyle w:val="2"/>
        <w:spacing w:after="0" w:line="560" w:lineRule="exact"/>
        <w:ind w:left="0" w:leftChars="0" w:firstLine="560"/>
        <w:rPr>
          <w:rFonts w:hint="eastAsia" w:ascii="宋体" w:hAnsi="宋体" w:eastAsia="宋体" w:cs="宋体"/>
          <w:bCs w:val="0"/>
          <w:sz w:val="24"/>
          <w:szCs w:val="24"/>
        </w:rPr>
      </w:pPr>
      <w:r>
        <w:rPr>
          <w:rFonts w:hint="eastAsia" w:ascii="宋体" w:hAnsi="宋体" w:eastAsia="宋体" w:cs="宋体"/>
          <w:bCs w:val="0"/>
          <w:sz w:val="24"/>
          <w:szCs w:val="24"/>
        </w:rPr>
        <w:t xml:space="preserve"> 2. 本合同为固定单价合同。所有税率按适用税率执行，如遇国家税率调整，不含税总价不变，税率、税费按新的规定执行。</w:t>
      </w:r>
    </w:p>
    <w:p>
      <w:pPr>
        <w:pStyle w:val="2"/>
        <w:spacing w:after="0" w:line="560" w:lineRule="exact"/>
        <w:ind w:left="0" w:leftChars="0" w:firstLine="540"/>
        <w:rPr>
          <w:rFonts w:hint="eastAsia" w:ascii="宋体" w:hAnsi="宋体" w:eastAsia="宋体" w:cs="宋体"/>
          <w:sz w:val="24"/>
          <w:szCs w:val="24"/>
        </w:rPr>
      </w:pPr>
      <w:r>
        <w:rPr>
          <w:rFonts w:hint="eastAsia" w:ascii="宋体" w:hAnsi="宋体" w:eastAsia="宋体" w:cs="宋体"/>
          <w:color w:val="000000"/>
          <w:sz w:val="24"/>
          <w:szCs w:val="24"/>
        </w:rPr>
        <w:t>Kontrak ini merupakan kontrak dengan harga satuan tetap. Semua tarif pajak berlaku sesuai ketentuan yang berlaku. Jika terjadi penyesuaian tarif pajak oleh negara, total harga sebelum pajak tidak berubah, sedangkan tarif pajak dan pajak yang berlaku akan mengikuti ketentuan baru.</w:t>
      </w:r>
    </w:p>
    <w:p>
      <w:pPr>
        <w:pStyle w:val="2"/>
        <w:spacing w:after="0" w:line="560" w:lineRule="exact"/>
        <w:ind w:left="0" w:leftChars="0" w:firstLine="560"/>
        <w:rPr>
          <w:rFonts w:hint="eastAsia" w:ascii="宋体" w:hAnsi="宋体" w:eastAsia="宋体" w:cs="宋体"/>
          <w:sz w:val="24"/>
          <w:szCs w:val="24"/>
        </w:rPr>
      </w:pPr>
      <w:r>
        <w:rPr>
          <w:rFonts w:hint="eastAsia" w:ascii="宋体" w:hAnsi="宋体" w:eastAsia="宋体" w:cs="宋体"/>
          <w:sz w:val="24"/>
          <w:szCs w:val="24"/>
        </w:rPr>
        <w:t>3. 付款方式：每月10日供应商向采购方提供正确的合法合规发票及相关资料，经采购方审核无误后，20个工作日内以电汇方式支付给供应商。</w:t>
      </w:r>
    </w:p>
    <w:p>
      <w:pPr>
        <w:pStyle w:val="2"/>
        <w:spacing w:after="0" w:line="560" w:lineRule="exact"/>
        <w:ind w:left="0" w:leftChars="0" w:firstLine="540"/>
        <w:rPr>
          <w:rFonts w:hint="eastAsia" w:ascii="宋体" w:hAnsi="宋体" w:eastAsia="宋体" w:cs="宋体"/>
          <w:sz w:val="24"/>
          <w:szCs w:val="24"/>
        </w:rPr>
      </w:pPr>
      <w:r>
        <w:rPr>
          <w:rFonts w:hint="eastAsia" w:ascii="宋体" w:hAnsi="宋体" w:eastAsia="宋体" w:cs="宋体"/>
          <w:color w:val="000000"/>
          <w:sz w:val="24"/>
          <w:szCs w:val="24"/>
        </w:rPr>
        <w:t>Metode pembayaran: Pada tanggal 10 setiap bulan, pemasok harus memberikan faktur yang benar, sah, dan sesuai ketentuan beserta dokumen terkait kepada pihak pembeli. Setelah diverifikasi dan dinyatakan benar oleh pihak pembeli, pembayaran akan dilakukan melalui transfer bank dalam waktu 20 hari kerja.</w:t>
      </w:r>
    </w:p>
    <w:p>
      <w:pPr>
        <w:pStyle w:val="2"/>
        <w:spacing w:after="0" w:line="560" w:lineRule="exact"/>
        <w:ind w:left="0" w:leftChars="0" w:firstLine="560"/>
        <w:rPr>
          <w:rFonts w:hint="eastAsia" w:ascii="宋体" w:hAnsi="宋体" w:eastAsia="宋体" w:cs="宋体"/>
          <w:sz w:val="24"/>
          <w:szCs w:val="24"/>
        </w:rPr>
      </w:pPr>
      <w:r>
        <w:rPr>
          <w:rFonts w:hint="eastAsia" w:ascii="宋体" w:hAnsi="宋体" w:eastAsia="宋体" w:cs="宋体"/>
          <w:sz w:val="24"/>
          <w:szCs w:val="24"/>
        </w:rPr>
        <w:t xml:space="preserve"> 4. 评审方式：经评审的最低价法。</w:t>
      </w:r>
      <w:bookmarkStart w:id="2" w:name="_GoBack"/>
      <w:bookmarkEnd w:id="2"/>
    </w:p>
    <w:p>
      <w:pPr>
        <w:pStyle w:val="2"/>
        <w:spacing w:after="0" w:line="560" w:lineRule="exact"/>
        <w:ind w:left="0" w:leftChars="0" w:firstLine="560"/>
        <w:rPr>
          <w:rFonts w:hint="eastAsia" w:ascii="宋体" w:hAnsi="宋体" w:eastAsia="宋体" w:cs="宋体"/>
          <w:sz w:val="24"/>
          <w:szCs w:val="24"/>
        </w:rPr>
      </w:pPr>
      <w:r>
        <w:rPr>
          <w:rFonts w:hint="eastAsia" w:ascii="宋体" w:hAnsi="宋体" w:eastAsia="宋体" w:cs="宋体"/>
          <w:sz w:val="24"/>
          <w:szCs w:val="24"/>
        </w:rPr>
        <w:t xml:space="preserve"> 4、Metode evaluasi: metode harga terendah setelah evaluasi.</w:t>
      </w:r>
    </w:p>
    <w:p>
      <w:pPr>
        <w:pStyle w:val="2"/>
        <w:spacing w:after="0" w:line="560" w:lineRule="exact"/>
        <w:ind w:left="0" w:leftChars="0" w:firstLine="560"/>
        <w:rPr>
          <w:rFonts w:hint="eastAsia" w:ascii="宋体" w:hAnsi="宋体" w:eastAsia="宋体" w:cs="宋体"/>
          <w:sz w:val="24"/>
          <w:szCs w:val="24"/>
        </w:rPr>
      </w:pPr>
      <w:r>
        <w:rPr>
          <w:rFonts w:hint="eastAsia" w:ascii="宋体" w:hAnsi="宋体" w:eastAsia="宋体" w:cs="宋体"/>
          <w:sz w:val="24"/>
          <w:szCs w:val="24"/>
        </w:rPr>
        <w:t xml:space="preserve"> 5. 报价截止时间2025年7月22日雅加达时间1</w:t>
      </w:r>
      <w:r>
        <w:rPr>
          <w:rFonts w:hint="eastAsia" w:cs="宋体"/>
          <w:sz w:val="24"/>
          <w:szCs w:val="24"/>
          <w:lang w:val="en-US" w:eastAsia="zh-CN"/>
        </w:rPr>
        <w:t>7</w:t>
      </w:r>
      <w:r>
        <w:rPr>
          <w:rFonts w:hint="eastAsia" w:ascii="宋体" w:hAnsi="宋体" w:eastAsia="宋体" w:cs="宋体"/>
          <w:sz w:val="24"/>
          <w:szCs w:val="24"/>
        </w:rPr>
        <w:t>:00前。</w:t>
      </w:r>
    </w:p>
    <w:p>
      <w:pPr>
        <w:pStyle w:val="2"/>
        <w:spacing w:after="0" w:line="560" w:lineRule="exact"/>
        <w:ind w:left="0" w:leftChars="0" w:firstLine="560"/>
        <w:rPr>
          <w:rFonts w:hint="eastAsia" w:ascii="宋体" w:hAnsi="宋体" w:eastAsia="宋体" w:cs="宋体"/>
          <w:sz w:val="24"/>
          <w:szCs w:val="24"/>
        </w:rPr>
      </w:pPr>
      <w:r>
        <w:rPr>
          <w:rFonts w:hint="eastAsia" w:ascii="宋体" w:hAnsi="宋体" w:eastAsia="宋体" w:cs="宋体"/>
          <w:sz w:val="24"/>
          <w:szCs w:val="24"/>
        </w:rPr>
        <w:t xml:space="preserve"> 5、Penawaran jatuh tempo pada tanggal 22 Juli 2025 pukul 1</w:t>
      </w:r>
      <w:r>
        <w:rPr>
          <w:rFonts w:hint="eastAsia" w:cs="宋体"/>
          <w:sz w:val="24"/>
          <w:szCs w:val="24"/>
          <w:lang w:val="en-US" w:eastAsia="zh-CN"/>
        </w:rPr>
        <w:t>7</w:t>
      </w:r>
      <w:r>
        <w:rPr>
          <w:rFonts w:hint="eastAsia" w:ascii="宋体" w:hAnsi="宋体" w:eastAsia="宋体" w:cs="宋体"/>
          <w:sz w:val="24"/>
          <w:szCs w:val="24"/>
        </w:rPr>
        <w:t>:00 waktu Jakarta.</w:t>
      </w:r>
    </w:p>
    <w:p>
      <w:pPr>
        <w:pStyle w:val="2"/>
        <w:spacing w:after="0" w:line="560" w:lineRule="exact"/>
        <w:ind w:left="0" w:leftChars="0" w:firstLine="560"/>
        <w:rPr>
          <w:rFonts w:hint="eastAsia" w:ascii="宋体" w:hAnsi="宋体" w:eastAsia="宋体" w:cs="宋体"/>
          <w:sz w:val="24"/>
          <w:szCs w:val="24"/>
        </w:rPr>
      </w:pPr>
      <w:r>
        <w:rPr>
          <w:rFonts w:hint="eastAsia" w:ascii="宋体" w:hAnsi="宋体" w:eastAsia="宋体" w:cs="宋体"/>
          <w:sz w:val="24"/>
          <w:szCs w:val="24"/>
        </w:rPr>
        <w:t xml:space="preserve"> 6.投标文件递交方式：纸版密封或发送到指定邮箱731465071@qq.com。</w:t>
      </w:r>
    </w:p>
    <w:p>
      <w:pPr>
        <w:pStyle w:val="2"/>
        <w:spacing w:after="0" w:line="560" w:lineRule="exact"/>
        <w:ind w:left="0" w:leftChars="0" w:firstLine="560"/>
        <w:rPr>
          <w:rFonts w:hint="eastAsia" w:ascii="宋体" w:hAnsi="宋体" w:eastAsia="宋体" w:cs="宋体"/>
          <w:sz w:val="24"/>
          <w:szCs w:val="24"/>
        </w:rPr>
      </w:pPr>
      <w:r>
        <w:rPr>
          <w:rFonts w:hint="eastAsia" w:ascii="宋体" w:hAnsi="宋体" w:eastAsia="宋体" w:cs="宋体"/>
          <w:sz w:val="24"/>
          <w:szCs w:val="24"/>
        </w:rPr>
        <w:t xml:space="preserve"> 6、Cara penyerahan dokumen penawaran: versi kertas harus disegel atau dikirim ke alamar email yang ditunjuk 731465071@qq.com.</w:t>
      </w:r>
    </w:p>
    <w:p>
      <w:pPr>
        <w:pStyle w:val="2"/>
        <w:spacing w:after="0" w:line="560" w:lineRule="exact"/>
        <w:ind w:left="0" w:leftChars="0" w:firstLine="560"/>
        <w:rPr>
          <w:rFonts w:hint="eastAsia" w:ascii="宋体" w:hAnsi="宋体" w:eastAsia="宋体" w:cs="宋体"/>
          <w:sz w:val="24"/>
          <w:szCs w:val="24"/>
        </w:rPr>
      </w:pPr>
      <w:r>
        <w:rPr>
          <w:rFonts w:hint="eastAsia" w:ascii="宋体" w:hAnsi="宋体" w:eastAsia="宋体" w:cs="宋体"/>
          <w:sz w:val="24"/>
          <w:szCs w:val="24"/>
        </w:rPr>
        <w:t xml:space="preserve"> 7.投标文件递交地点：华电（印尼）玻雅发电公司行政办公楼二楼物资部 </w:t>
      </w:r>
    </w:p>
    <w:p>
      <w:pPr>
        <w:pStyle w:val="2"/>
        <w:spacing w:after="0" w:line="560" w:lineRule="exact"/>
        <w:ind w:left="0" w:leftChars="0" w:firstLine="560"/>
        <w:rPr>
          <w:rFonts w:hint="eastAsia" w:ascii="宋体" w:hAnsi="宋体" w:eastAsia="宋体" w:cs="宋体"/>
          <w:sz w:val="24"/>
          <w:szCs w:val="24"/>
        </w:rPr>
      </w:pPr>
      <w:r>
        <w:rPr>
          <w:rFonts w:hint="eastAsia" w:ascii="宋体" w:hAnsi="宋体" w:eastAsia="宋体" w:cs="宋体"/>
          <w:sz w:val="24"/>
          <w:szCs w:val="24"/>
        </w:rPr>
        <w:t xml:space="preserve"> 7、Lokasi penyerahan dokumen penawaran: Bagian Material di lantai dua gedung kantor administrasi Perusahaan Pembangkit Listrik SUMSEL-8 (Indonesia)</w:t>
      </w:r>
    </w:p>
    <w:p>
      <w:pPr>
        <w:pStyle w:val="2"/>
        <w:spacing w:after="0" w:line="560" w:lineRule="exact"/>
        <w:ind w:left="0" w:leftChars="0" w:firstLine="560"/>
        <w:rPr>
          <w:rFonts w:hint="eastAsia" w:ascii="宋体" w:hAnsi="宋体" w:eastAsia="宋体" w:cs="宋体"/>
          <w:sz w:val="24"/>
          <w:szCs w:val="24"/>
        </w:rPr>
      </w:pPr>
      <w:r>
        <w:rPr>
          <w:rFonts w:hint="eastAsia" w:ascii="宋体" w:hAnsi="宋体" w:eastAsia="宋体" w:cs="宋体"/>
          <w:sz w:val="24"/>
          <w:szCs w:val="24"/>
        </w:rPr>
        <w:t>四、服务期限Waktu pengiriman：</w:t>
      </w:r>
    </w:p>
    <w:p>
      <w:pPr>
        <w:pStyle w:val="2"/>
        <w:spacing w:after="0" w:line="560" w:lineRule="exact"/>
        <w:ind w:left="0" w:leftChars="0" w:firstLine="560"/>
        <w:rPr>
          <w:rFonts w:hint="eastAsia" w:ascii="宋体" w:hAnsi="宋体" w:eastAsia="宋体" w:cs="宋体"/>
          <w:sz w:val="24"/>
          <w:szCs w:val="24"/>
        </w:rPr>
      </w:pPr>
      <w:r>
        <w:rPr>
          <w:rFonts w:hint="eastAsia" w:ascii="宋体" w:hAnsi="宋体" w:eastAsia="宋体" w:cs="宋体"/>
          <w:sz w:val="24"/>
          <w:szCs w:val="24"/>
        </w:rPr>
        <w:t>服务期限12个月，计划自2025年8月1日起至2026年7月31日止，具体时间以合同签订为准。</w:t>
      </w:r>
    </w:p>
    <w:p>
      <w:pPr>
        <w:pStyle w:val="2"/>
        <w:spacing w:after="0" w:line="560" w:lineRule="exact"/>
        <w:ind w:left="0" w:leftChars="0" w:firstLine="540"/>
        <w:rPr>
          <w:rFonts w:hint="eastAsia" w:ascii="宋体" w:hAnsi="宋体" w:eastAsia="宋体" w:cs="宋体"/>
          <w:color w:val="000000"/>
          <w:sz w:val="24"/>
          <w:szCs w:val="24"/>
        </w:rPr>
      </w:pPr>
      <w:r>
        <w:rPr>
          <w:rFonts w:hint="eastAsia" w:ascii="宋体" w:hAnsi="宋体" w:eastAsia="宋体" w:cs="宋体"/>
          <w:color w:val="000000"/>
          <w:sz w:val="24"/>
          <w:szCs w:val="24"/>
        </w:rPr>
        <w:t>Masa layanan adalah 12 bulan, direncanakan mulai tanggal 1 Agustus 2025 hingga 31 Juli 2026, dengan waktu pasti mengacu pada tanggal penandatanganan kontrak.</w:t>
      </w:r>
    </w:p>
    <w:p>
      <w:pPr>
        <w:pStyle w:val="2"/>
        <w:spacing w:after="0" w:line="560" w:lineRule="exact"/>
        <w:ind w:left="0" w:leftChars="0" w:firstLine="560"/>
        <w:rPr>
          <w:rFonts w:hint="eastAsia" w:ascii="宋体" w:hAnsi="宋体" w:eastAsia="宋体" w:cs="宋体"/>
          <w:sz w:val="24"/>
          <w:szCs w:val="24"/>
        </w:rPr>
      </w:pPr>
      <w:r>
        <w:rPr>
          <w:rFonts w:hint="eastAsia" w:ascii="宋体" w:hAnsi="宋体" w:eastAsia="宋体" w:cs="宋体"/>
          <w:sz w:val="24"/>
          <w:szCs w:val="24"/>
        </w:rPr>
        <w:t>五、交货地点：印度尼西亚南苏门答腊省穆拉埃宁县以南Darmo镇东南约3.5km</w:t>
      </w:r>
    </w:p>
    <w:p>
      <w:pPr>
        <w:pStyle w:val="2"/>
        <w:spacing w:after="0" w:line="560" w:lineRule="exact"/>
        <w:ind w:left="0" w:leftChars="0" w:firstLine="560"/>
        <w:rPr>
          <w:rFonts w:hint="eastAsia" w:ascii="宋体" w:hAnsi="宋体" w:eastAsia="宋体" w:cs="宋体"/>
          <w:sz w:val="24"/>
          <w:szCs w:val="24"/>
        </w:rPr>
      </w:pPr>
      <w:r>
        <w:rPr>
          <w:rFonts w:hint="eastAsia" w:ascii="宋体" w:hAnsi="宋体" w:eastAsia="宋体" w:cs="宋体"/>
          <w:sz w:val="24"/>
          <w:szCs w:val="24"/>
        </w:rPr>
        <w:t xml:space="preserve">   Tempat pengiriman: Sekitar 3,5 km sebelah tenggara kota Darmo, sebelah selatan Kabupaten Muara Enim, Indonesia, di tempat yang ditentukan oleh pembeli untuk bongkar muatan truk. </w:t>
      </w:r>
    </w:p>
    <w:p>
      <w:pPr>
        <w:pStyle w:val="2"/>
        <w:spacing w:after="0" w:line="560" w:lineRule="exact"/>
        <w:ind w:left="0" w:leftChars="0" w:firstLine="560"/>
        <w:rPr>
          <w:rFonts w:hint="eastAsia" w:ascii="宋体" w:hAnsi="宋体" w:eastAsia="宋体" w:cs="宋体"/>
          <w:sz w:val="24"/>
          <w:szCs w:val="24"/>
        </w:rPr>
      </w:pPr>
      <w:r>
        <w:rPr>
          <w:rFonts w:hint="eastAsia" w:ascii="宋体" w:hAnsi="宋体" w:eastAsia="宋体" w:cs="宋体"/>
          <w:sz w:val="24"/>
          <w:szCs w:val="24"/>
        </w:rPr>
        <w:t>六、联系人 Narahubung ： Yu ZaiJun 、 Benita Wj.</w:t>
      </w:r>
    </w:p>
    <w:p>
      <w:pPr>
        <w:pStyle w:val="2"/>
        <w:spacing w:after="0" w:line="560" w:lineRule="exact"/>
        <w:ind w:left="0" w:leftChars="0" w:firstLine="560"/>
        <w:rPr>
          <w:rFonts w:hint="eastAsia" w:ascii="宋体" w:hAnsi="宋体" w:eastAsia="宋体" w:cs="宋体"/>
          <w:sz w:val="24"/>
          <w:szCs w:val="24"/>
        </w:rPr>
      </w:pPr>
      <w:r>
        <w:rPr>
          <w:rFonts w:hint="eastAsia" w:ascii="宋体" w:hAnsi="宋体" w:eastAsia="宋体" w:cs="宋体"/>
          <w:sz w:val="24"/>
          <w:szCs w:val="24"/>
        </w:rPr>
        <w:t xml:space="preserve">七、联系电话 Nomor Telepon： 082177928042 、 085607179214 </w:t>
      </w:r>
    </w:p>
    <w:p>
      <w:pPr>
        <w:pStyle w:val="2"/>
        <w:spacing w:after="0" w:line="560" w:lineRule="exact"/>
        <w:ind w:left="0" w:leftChars="0" w:firstLine="560"/>
        <w:rPr>
          <w:rFonts w:hint="eastAsia" w:ascii="宋体" w:hAnsi="宋体" w:eastAsia="宋体" w:cs="宋体"/>
          <w:bCs w:val="0"/>
          <w:sz w:val="24"/>
          <w:szCs w:val="24"/>
        </w:rPr>
      </w:pPr>
    </w:p>
    <w:p>
      <w:pPr>
        <w:pStyle w:val="2"/>
        <w:spacing w:after="0" w:line="560" w:lineRule="exact"/>
        <w:ind w:left="0" w:leftChars="0" w:firstLine="640"/>
        <w:rPr>
          <w:rFonts w:hint="eastAsia" w:ascii="宋体" w:hAnsi="宋体" w:eastAsia="宋体" w:cs="宋体"/>
          <w:sz w:val="24"/>
          <w:szCs w:val="24"/>
        </w:rPr>
      </w:pPr>
    </w:p>
    <w:p>
      <w:pPr>
        <w:pStyle w:val="2"/>
        <w:spacing w:after="0" w:line="560" w:lineRule="exact"/>
        <w:ind w:left="0" w:leftChars="0" w:firstLine="640"/>
        <w:rPr>
          <w:rFonts w:hint="eastAsia" w:ascii="宋体" w:hAnsi="宋体" w:eastAsia="宋体" w:cs="宋体"/>
          <w:sz w:val="24"/>
          <w:szCs w:val="24"/>
        </w:rPr>
      </w:pPr>
    </w:p>
    <w:tbl>
      <w:tblPr>
        <w:tblStyle w:val="21"/>
        <w:tblW w:w="8432" w:type="dxa"/>
        <w:tblInd w:w="-25" w:type="dxa"/>
        <w:tblLayout w:type="fixed"/>
        <w:tblCellMar>
          <w:top w:w="0" w:type="dxa"/>
          <w:left w:w="0" w:type="dxa"/>
          <w:bottom w:w="0" w:type="dxa"/>
          <w:right w:w="0" w:type="dxa"/>
        </w:tblCellMar>
      </w:tblPr>
      <w:tblGrid>
        <w:gridCol w:w="419"/>
        <w:gridCol w:w="1037"/>
        <w:gridCol w:w="1692"/>
        <w:gridCol w:w="1176"/>
        <w:gridCol w:w="1196"/>
        <w:gridCol w:w="1695"/>
        <w:gridCol w:w="1217"/>
      </w:tblGrid>
      <w:tr>
        <w:tblPrEx>
          <w:tblLayout w:type="fixed"/>
          <w:tblCellMar>
            <w:top w:w="0" w:type="dxa"/>
            <w:left w:w="0" w:type="dxa"/>
            <w:bottom w:w="0" w:type="dxa"/>
            <w:right w:w="0" w:type="dxa"/>
          </w:tblCellMar>
        </w:tblPrEx>
        <w:trPr>
          <w:trHeight w:val="375" w:hRule="atLeast"/>
        </w:trPr>
        <w:tc>
          <w:tcPr>
            <w:tcW w:w="8432" w:type="dxa"/>
            <w:gridSpan w:val="7"/>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rPr>
              <w:t>2025-2026年饮用品报价表</w:t>
            </w:r>
          </w:p>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rPr>
              <w:t>Daftar Penawaran Harga Minuman Tahun 2025-2026</w:t>
            </w:r>
            <w:r>
              <w:rPr>
                <w:rFonts w:hint="eastAsia" w:ascii="宋体" w:hAnsi="宋体" w:eastAsia="宋体" w:cs="宋体"/>
                <w:sz w:val="24"/>
                <w:szCs w:val="24"/>
              </w:rPr>
              <w:t xml:space="preserve">          </w:t>
            </w:r>
          </w:p>
        </w:tc>
      </w:tr>
      <w:tr>
        <w:tblPrEx>
          <w:tblLayout w:type="fixed"/>
          <w:tblCellMar>
            <w:top w:w="0" w:type="dxa"/>
            <w:left w:w="0" w:type="dxa"/>
            <w:bottom w:w="0" w:type="dxa"/>
            <w:right w:w="0" w:type="dxa"/>
          </w:tblCellMar>
        </w:tblPrEx>
        <w:trPr>
          <w:trHeight w:val="618" w:hRule="atLeast"/>
        </w:trPr>
        <w:tc>
          <w:tcPr>
            <w:tcW w:w="41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序号NO</w:t>
            </w:r>
          </w:p>
        </w:tc>
        <w:tc>
          <w:tcPr>
            <w:tcW w:w="10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 xml:space="preserve">品牌    </w:t>
            </w:r>
            <w:r>
              <w:rPr>
                <w:rFonts w:hint="eastAsia" w:ascii="宋体" w:hAnsi="宋体" w:eastAsia="宋体" w:cs="宋体"/>
                <w:sz w:val="24"/>
                <w:szCs w:val="24"/>
              </w:rPr>
              <w:t>Merek</w:t>
            </w:r>
          </w:p>
        </w:tc>
        <w:tc>
          <w:tcPr>
            <w:tcW w:w="16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rPr>
              <w:t>单位</w:t>
            </w:r>
          </w:p>
          <w:p>
            <w:pPr>
              <w:widowControl/>
              <w:jc w:val="center"/>
              <w:textAlignment w:val="center"/>
              <w:rPr>
                <w:rFonts w:hint="eastAsia" w:ascii="宋体" w:hAnsi="宋体" w:eastAsia="宋体" w:cs="宋体"/>
                <w:color w:val="000000"/>
                <w:sz w:val="24"/>
                <w:szCs w:val="24"/>
              </w:rPr>
            </w:pPr>
            <w:r>
              <w:rPr>
                <w:rFonts w:hint="eastAsia" w:ascii="宋体" w:hAnsi="宋体" w:eastAsia="宋体" w:cs="宋体"/>
                <w:sz w:val="24"/>
                <w:szCs w:val="24"/>
              </w:rPr>
              <w:t xml:space="preserve">Satuan </w:t>
            </w:r>
          </w:p>
        </w:tc>
        <w:tc>
          <w:tcPr>
            <w:tcW w:w="117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rPr>
              <w:t>预估数量</w:t>
            </w:r>
            <w:r>
              <w:rPr>
                <w:rFonts w:hint="eastAsia" w:ascii="宋体" w:hAnsi="宋体" w:eastAsia="宋体" w:cs="宋体"/>
                <w:sz w:val="24"/>
                <w:szCs w:val="24"/>
              </w:rPr>
              <w:t>jumlah</w:t>
            </w:r>
          </w:p>
        </w:tc>
        <w:tc>
          <w:tcPr>
            <w:tcW w:w="11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rPr>
              <w:t>单价</w:t>
            </w:r>
          </w:p>
          <w:p>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rPr>
              <w:t>IDR Harga satuan IDR</w:t>
            </w:r>
          </w:p>
        </w:tc>
        <w:tc>
          <w:tcPr>
            <w:tcW w:w="1695"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 xml:space="preserve">总价          </w:t>
            </w:r>
            <w:r>
              <w:rPr>
                <w:rFonts w:hint="eastAsia" w:ascii="宋体" w:hAnsi="宋体" w:eastAsia="宋体" w:cs="宋体"/>
                <w:sz w:val="24"/>
                <w:szCs w:val="24"/>
              </w:rPr>
              <w:t>Total harga</w:t>
            </w:r>
          </w:p>
        </w:tc>
        <w:tc>
          <w:tcPr>
            <w:tcW w:w="1217"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szCs w:val="24"/>
                <w:lang w:bidi="ar"/>
              </w:rPr>
            </w:pPr>
            <w:bookmarkStart w:id="1" w:name="OLE_LINK2"/>
            <w:r>
              <w:rPr>
                <w:rFonts w:hint="eastAsia" w:ascii="宋体" w:hAnsi="宋体" w:eastAsia="宋体" w:cs="宋体"/>
                <w:color w:val="000000"/>
                <w:sz w:val="24"/>
                <w:szCs w:val="24"/>
                <w:lang w:bidi="ar"/>
              </w:rPr>
              <w:t>备注</w:t>
            </w:r>
            <w:bookmarkEnd w:id="1"/>
          </w:p>
          <w:p>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sz w:val="24"/>
                <w:szCs w:val="24"/>
              </w:rPr>
              <w:t xml:space="preserve">Keterangan </w:t>
            </w:r>
          </w:p>
        </w:tc>
      </w:tr>
      <w:tr>
        <w:tblPrEx>
          <w:tblLayout w:type="fixed"/>
          <w:tblCellMar>
            <w:top w:w="0" w:type="dxa"/>
            <w:left w:w="0" w:type="dxa"/>
            <w:bottom w:w="0" w:type="dxa"/>
            <w:right w:w="0" w:type="dxa"/>
          </w:tblCellMar>
        </w:tblPrEx>
        <w:trPr>
          <w:trHeight w:val="618" w:hRule="atLeast"/>
        </w:trPr>
        <w:tc>
          <w:tcPr>
            <w:tcW w:w="41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1</w:t>
            </w:r>
          </w:p>
        </w:tc>
        <w:tc>
          <w:tcPr>
            <w:tcW w:w="10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AQUA</w:t>
            </w:r>
          </w:p>
        </w:tc>
        <w:tc>
          <w:tcPr>
            <w:tcW w:w="16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19L/桶</w:t>
            </w:r>
            <w:r>
              <w:rPr>
                <w:rFonts w:hint="eastAsia" w:ascii="宋体" w:hAnsi="宋体" w:eastAsia="宋体" w:cs="宋体"/>
                <w:color w:val="000000"/>
                <w:sz w:val="24"/>
                <w:szCs w:val="24"/>
                <w:lang w:bidi="ar"/>
              </w:rPr>
              <w:br w:type="textWrapping"/>
            </w:r>
            <w:r>
              <w:rPr>
                <w:rFonts w:hint="eastAsia" w:ascii="宋体" w:hAnsi="宋体" w:eastAsia="宋体" w:cs="宋体"/>
                <w:color w:val="000000"/>
                <w:sz w:val="24"/>
                <w:szCs w:val="24"/>
                <w:lang w:bidi="ar"/>
              </w:rPr>
              <w:t>ember</w:t>
            </w:r>
          </w:p>
        </w:tc>
        <w:tc>
          <w:tcPr>
            <w:tcW w:w="117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6000</w:t>
            </w:r>
          </w:p>
        </w:tc>
        <w:tc>
          <w:tcPr>
            <w:tcW w:w="1196" w:type="dxa"/>
            <w:tcBorders>
              <w:top w:val="single" w:color="000000" w:sz="4" w:space="0"/>
              <w:left w:val="single" w:color="000000" w:sz="4" w:space="0"/>
              <w:bottom w:val="single" w:color="000000"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szCs w:val="24"/>
              </w:rPr>
            </w:pPr>
          </w:p>
        </w:tc>
        <w:tc>
          <w:tcPr>
            <w:tcW w:w="169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szCs w:val="24"/>
              </w:rPr>
            </w:pPr>
          </w:p>
        </w:tc>
        <w:tc>
          <w:tcPr>
            <w:tcW w:w="1217"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rPr>
                <w:rFonts w:hint="eastAsia" w:ascii="宋体" w:hAnsi="宋体" w:eastAsia="宋体" w:cs="宋体"/>
                <w:color w:val="000000"/>
                <w:sz w:val="24"/>
                <w:szCs w:val="24"/>
              </w:rPr>
            </w:pPr>
            <w:r>
              <w:rPr>
                <w:rFonts w:hint="eastAsia" w:ascii="宋体" w:hAnsi="宋体" w:eastAsia="宋体" w:cs="宋体"/>
                <w:color w:val="000000"/>
                <w:sz w:val="24"/>
                <w:szCs w:val="24"/>
              </w:rPr>
              <w:t>数量为全年预估数，每月据实结算。</w:t>
            </w:r>
          </w:p>
        </w:tc>
      </w:tr>
      <w:tr>
        <w:tblPrEx>
          <w:tblLayout w:type="fixed"/>
          <w:tblCellMar>
            <w:top w:w="0" w:type="dxa"/>
            <w:left w:w="0" w:type="dxa"/>
            <w:bottom w:w="0" w:type="dxa"/>
            <w:right w:w="0" w:type="dxa"/>
          </w:tblCellMar>
        </w:tblPrEx>
        <w:trPr>
          <w:trHeight w:val="618" w:hRule="atLeast"/>
        </w:trPr>
        <w:tc>
          <w:tcPr>
            <w:tcW w:w="41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2</w:t>
            </w:r>
          </w:p>
        </w:tc>
        <w:tc>
          <w:tcPr>
            <w:tcW w:w="10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AQUA</w:t>
            </w:r>
          </w:p>
        </w:tc>
        <w:tc>
          <w:tcPr>
            <w:tcW w:w="16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szCs w:val="24"/>
              </w:rPr>
            </w:pPr>
            <w:r>
              <w:rPr>
                <w:rStyle w:val="28"/>
                <w:rFonts w:hint="eastAsia" w:ascii="宋体" w:hAnsi="宋体" w:eastAsia="宋体" w:cs="宋体"/>
                <w:sz w:val="24"/>
                <w:szCs w:val="24"/>
                <w:lang w:bidi="ar"/>
              </w:rPr>
              <w:t>600ml/24</w:t>
            </w:r>
            <w:r>
              <w:rPr>
                <w:rStyle w:val="28"/>
                <w:rFonts w:hint="eastAsia" w:ascii="宋体" w:hAnsi="宋体" w:eastAsia="宋体" w:cs="宋体"/>
                <w:sz w:val="24"/>
                <w:szCs w:val="24"/>
                <w:lang w:bidi="ar"/>
              </w:rPr>
              <w:br w:type="textWrapping"/>
            </w:r>
            <w:r>
              <w:rPr>
                <w:rStyle w:val="29"/>
                <w:rFonts w:hint="eastAsia" w:ascii="宋体" w:hAnsi="宋体" w:eastAsia="宋体" w:cs="宋体"/>
                <w:sz w:val="24"/>
                <w:szCs w:val="24"/>
                <w:lang w:bidi="ar"/>
              </w:rPr>
              <w:t>瓶</w:t>
            </w:r>
            <w:r>
              <w:rPr>
                <w:rStyle w:val="28"/>
                <w:rFonts w:hint="eastAsia" w:ascii="宋体" w:hAnsi="宋体" w:eastAsia="宋体" w:cs="宋体"/>
                <w:sz w:val="24"/>
                <w:szCs w:val="24"/>
                <w:lang w:bidi="ar"/>
              </w:rPr>
              <w:t xml:space="preserve"> botol</w:t>
            </w:r>
          </w:p>
        </w:tc>
        <w:tc>
          <w:tcPr>
            <w:tcW w:w="117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100</w:t>
            </w:r>
          </w:p>
        </w:tc>
        <w:tc>
          <w:tcPr>
            <w:tcW w:w="1196" w:type="dxa"/>
            <w:tcBorders>
              <w:top w:val="single" w:color="000000" w:sz="4" w:space="0"/>
              <w:left w:val="single" w:color="000000" w:sz="4" w:space="0"/>
              <w:bottom w:val="single" w:color="000000"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szCs w:val="24"/>
              </w:rPr>
            </w:pPr>
          </w:p>
        </w:tc>
        <w:tc>
          <w:tcPr>
            <w:tcW w:w="169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szCs w:val="24"/>
              </w:rPr>
            </w:pPr>
          </w:p>
        </w:tc>
        <w:tc>
          <w:tcPr>
            <w:tcW w:w="1217" w:type="dxa"/>
            <w:vMerge w:val="continue"/>
            <w:tcBorders>
              <w:left w:val="single" w:color="auto" w:sz="4" w:space="0"/>
              <w:right w:val="single" w:color="auto" w:sz="4" w:space="0"/>
            </w:tcBorders>
            <w:tcMar>
              <w:top w:w="15" w:type="dxa"/>
              <w:left w:w="15" w:type="dxa"/>
              <w:right w:w="15" w:type="dxa"/>
            </w:tcMar>
            <w:vAlign w:val="center"/>
          </w:tcPr>
          <w:p>
            <w:pPr>
              <w:jc w:val="center"/>
              <w:rPr>
                <w:rFonts w:hint="eastAsia" w:ascii="宋体" w:hAnsi="宋体" w:eastAsia="宋体" w:cs="宋体"/>
                <w:color w:val="000000"/>
                <w:sz w:val="24"/>
                <w:szCs w:val="24"/>
              </w:rPr>
            </w:pPr>
          </w:p>
        </w:tc>
      </w:tr>
      <w:tr>
        <w:tblPrEx>
          <w:tblLayout w:type="fixed"/>
          <w:tblCellMar>
            <w:top w:w="0" w:type="dxa"/>
            <w:left w:w="0" w:type="dxa"/>
            <w:bottom w:w="0" w:type="dxa"/>
            <w:right w:w="0" w:type="dxa"/>
          </w:tblCellMar>
        </w:tblPrEx>
        <w:trPr>
          <w:trHeight w:val="618" w:hRule="atLeast"/>
        </w:trPr>
        <w:tc>
          <w:tcPr>
            <w:tcW w:w="41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3</w:t>
            </w:r>
          </w:p>
        </w:tc>
        <w:tc>
          <w:tcPr>
            <w:tcW w:w="10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AQUA</w:t>
            </w:r>
          </w:p>
        </w:tc>
        <w:tc>
          <w:tcPr>
            <w:tcW w:w="16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330ml/24</w:t>
            </w:r>
            <w:r>
              <w:rPr>
                <w:rFonts w:hint="eastAsia" w:ascii="宋体" w:hAnsi="宋体" w:eastAsia="宋体" w:cs="宋体"/>
                <w:color w:val="000000"/>
                <w:sz w:val="24"/>
                <w:szCs w:val="24"/>
                <w:lang w:bidi="ar"/>
              </w:rPr>
              <w:br w:type="textWrapping"/>
            </w:r>
            <w:r>
              <w:rPr>
                <w:rFonts w:hint="eastAsia" w:ascii="宋体" w:hAnsi="宋体" w:eastAsia="宋体" w:cs="宋体"/>
                <w:color w:val="000000"/>
                <w:sz w:val="24"/>
                <w:szCs w:val="24"/>
                <w:lang w:bidi="ar"/>
              </w:rPr>
              <w:t>瓶 botol</w:t>
            </w:r>
          </w:p>
        </w:tc>
        <w:tc>
          <w:tcPr>
            <w:tcW w:w="117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300</w:t>
            </w:r>
          </w:p>
        </w:tc>
        <w:tc>
          <w:tcPr>
            <w:tcW w:w="1196" w:type="dxa"/>
            <w:tcBorders>
              <w:top w:val="single" w:color="000000" w:sz="4" w:space="0"/>
              <w:left w:val="single" w:color="000000" w:sz="4" w:space="0"/>
              <w:bottom w:val="single" w:color="000000"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szCs w:val="24"/>
              </w:rPr>
            </w:pPr>
          </w:p>
        </w:tc>
        <w:tc>
          <w:tcPr>
            <w:tcW w:w="169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szCs w:val="24"/>
              </w:rPr>
            </w:pPr>
          </w:p>
        </w:tc>
        <w:tc>
          <w:tcPr>
            <w:tcW w:w="1217" w:type="dxa"/>
            <w:vMerge w:val="continue"/>
            <w:tcBorders>
              <w:left w:val="single" w:color="auto" w:sz="4" w:space="0"/>
              <w:right w:val="single" w:color="auto" w:sz="4" w:space="0"/>
            </w:tcBorders>
            <w:tcMar>
              <w:top w:w="15" w:type="dxa"/>
              <w:left w:w="15" w:type="dxa"/>
              <w:right w:w="15" w:type="dxa"/>
            </w:tcMar>
            <w:vAlign w:val="center"/>
          </w:tcPr>
          <w:p>
            <w:pPr>
              <w:jc w:val="center"/>
              <w:rPr>
                <w:rFonts w:hint="eastAsia" w:ascii="宋体" w:hAnsi="宋体" w:eastAsia="宋体" w:cs="宋体"/>
                <w:color w:val="000000"/>
                <w:sz w:val="24"/>
                <w:szCs w:val="24"/>
              </w:rPr>
            </w:pPr>
          </w:p>
        </w:tc>
      </w:tr>
      <w:tr>
        <w:tblPrEx>
          <w:tblLayout w:type="fixed"/>
          <w:tblCellMar>
            <w:top w:w="0" w:type="dxa"/>
            <w:left w:w="0" w:type="dxa"/>
            <w:bottom w:w="0" w:type="dxa"/>
            <w:right w:w="0" w:type="dxa"/>
          </w:tblCellMar>
        </w:tblPrEx>
        <w:trPr>
          <w:trHeight w:val="618" w:hRule="atLeast"/>
        </w:trPr>
        <w:tc>
          <w:tcPr>
            <w:tcW w:w="41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4</w:t>
            </w:r>
          </w:p>
        </w:tc>
        <w:tc>
          <w:tcPr>
            <w:tcW w:w="10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KRATING DAENG</w:t>
            </w:r>
          </w:p>
        </w:tc>
        <w:tc>
          <w:tcPr>
            <w:tcW w:w="16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szCs w:val="24"/>
              </w:rPr>
            </w:pPr>
            <w:r>
              <w:rPr>
                <w:rStyle w:val="28"/>
                <w:rFonts w:hint="eastAsia" w:ascii="宋体" w:hAnsi="宋体" w:eastAsia="宋体" w:cs="宋体"/>
                <w:sz w:val="24"/>
                <w:szCs w:val="24"/>
                <w:lang w:bidi="ar"/>
              </w:rPr>
              <w:t>250ml/24</w:t>
            </w:r>
            <w:r>
              <w:rPr>
                <w:rStyle w:val="28"/>
                <w:rFonts w:hint="eastAsia" w:ascii="宋体" w:hAnsi="宋体" w:eastAsia="宋体" w:cs="宋体"/>
                <w:sz w:val="24"/>
                <w:szCs w:val="24"/>
                <w:lang w:bidi="ar"/>
              </w:rPr>
              <w:br w:type="textWrapping"/>
            </w:r>
            <w:r>
              <w:rPr>
                <w:rStyle w:val="29"/>
                <w:rFonts w:hint="eastAsia" w:ascii="宋体" w:hAnsi="宋体" w:eastAsia="宋体" w:cs="宋体"/>
                <w:sz w:val="24"/>
                <w:szCs w:val="24"/>
                <w:lang w:bidi="ar"/>
              </w:rPr>
              <w:t>瓶</w:t>
            </w:r>
            <w:r>
              <w:rPr>
                <w:rStyle w:val="28"/>
                <w:rFonts w:hint="eastAsia" w:ascii="宋体" w:hAnsi="宋体" w:eastAsia="宋体" w:cs="宋体"/>
                <w:sz w:val="24"/>
                <w:szCs w:val="24"/>
                <w:lang w:bidi="ar"/>
              </w:rPr>
              <w:t xml:space="preserve"> botol</w:t>
            </w:r>
          </w:p>
        </w:tc>
        <w:tc>
          <w:tcPr>
            <w:tcW w:w="117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100</w:t>
            </w:r>
          </w:p>
        </w:tc>
        <w:tc>
          <w:tcPr>
            <w:tcW w:w="1196" w:type="dxa"/>
            <w:tcBorders>
              <w:top w:val="single" w:color="000000" w:sz="4" w:space="0"/>
              <w:left w:val="single" w:color="000000" w:sz="4" w:space="0"/>
              <w:bottom w:val="single" w:color="000000"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szCs w:val="24"/>
              </w:rPr>
            </w:pPr>
          </w:p>
        </w:tc>
        <w:tc>
          <w:tcPr>
            <w:tcW w:w="169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szCs w:val="24"/>
              </w:rPr>
            </w:pPr>
          </w:p>
        </w:tc>
        <w:tc>
          <w:tcPr>
            <w:tcW w:w="1217" w:type="dxa"/>
            <w:vMerge w:val="continue"/>
            <w:tcBorders>
              <w:left w:val="single" w:color="auto" w:sz="4" w:space="0"/>
              <w:right w:val="single" w:color="auto" w:sz="4" w:space="0"/>
            </w:tcBorders>
            <w:tcMar>
              <w:top w:w="15" w:type="dxa"/>
              <w:left w:w="15" w:type="dxa"/>
              <w:right w:w="15" w:type="dxa"/>
            </w:tcMar>
            <w:vAlign w:val="center"/>
          </w:tcPr>
          <w:p>
            <w:pPr>
              <w:jc w:val="center"/>
              <w:rPr>
                <w:rFonts w:hint="eastAsia" w:ascii="宋体" w:hAnsi="宋体" w:eastAsia="宋体" w:cs="宋体"/>
                <w:color w:val="000000"/>
                <w:sz w:val="24"/>
                <w:szCs w:val="24"/>
              </w:rPr>
            </w:pPr>
          </w:p>
        </w:tc>
      </w:tr>
      <w:tr>
        <w:tblPrEx>
          <w:tblLayout w:type="fixed"/>
          <w:tblCellMar>
            <w:top w:w="0" w:type="dxa"/>
            <w:left w:w="0" w:type="dxa"/>
            <w:bottom w:w="0" w:type="dxa"/>
            <w:right w:w="0" w:type="dxa"/>
          </w:tblCellMar>
        </w:tblPrEx>
        <w:trPr>
          <w:trHeight w:val="618" w:hRule="atLeast"/>
        </w:trPr>
        <w:tc>
          <w:tcPr>
            <w:tcW w:w="41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5</w:t>
            </w:r>
          </w:p>
        </w:tc>
        <w:tc>
          <w:tcPr>
            <w:tcW w:w="10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PULPY ORANGE</w:t>
            </w:r>
          </w:p>
        </w:tc>
        <w:tc>
          <w:tcPr>
            <w:tcW w:w="16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Style w:val="27"/>
                <w:rFonts w:hint="eastAsia" w:ascii="宋体" w:hAnsi="宋体" w:eastAsia="宋体" w:cs="宋体"/>
                <w:sz w:val="24"/>
                <w:szCs w:val="24"/>
                <w:lang w:bidi="ar"/>
              </w:rPr>
            </w:pPr>
            <w:r>
              <w:rPr>
                <w:rStyle w:val="28"/>
                <w:rFonts w:hint="eastAsia" w:ascii="宋体" w:hAnsi="宋体" w:eastAsia="宋体" w:cs="宋体"/>
                <w:sz w:val="24"/>
                <w:szCs w:val="24"/>
                <w:lang w:bidi="ar"/>
              </w:rPr>
              <w:t>350ml/12</w:t>
            </w:r>
            <w:r>
              <w:rPr>
                <w:rStyle w:val="28"/>
                <w:rFonts w:hint="eastAsia" w:ascii="宋体" w:hAnsi="宋体" w:eastAsia="宋体" w:cs="宋体"/>
                <w:sz w:val="24"/>
                <w:szCs w:val="24"/>
                <w:lang w:bidi="ar"/>
              </w:rPr>
              <w:br w:type="textWrapping"/>
            </w:r>
            <w:r>
              <w:rPr>
                <w:rStyle w:val="29"/>
                <w:rFonts w:hint="eastAsia" w:ascii="宋体" w:hAnsi="宋体" w:eastAsia="宋体" w:cs="宋体"/>
                <w:sz w:val="24"/>
                <w:szCs w:val="24"/>
                <w:lang w:bidi="ar"/>
              </w:rPr>
              <w:t>瓶</w:t>
            </w:r>
            <w:r>
              <w:rPr>
                <w:rStyle w:val="28"/>
                <w:rFonts w:hint="eastAsia" w:ascii="宋体" w:hAnsi="宋体" w:eastAsia="宋体" w:cs="宋体"/>
                <w:sz w:val="24"/>
                <w:szCs w:val="24"/>
                <w:lang w:bidi="ar"/>
              </w:rPr>
              <w:t xml:space="preserve"> botol</w:t>
            </w:r>
          </w:p>
        </w:tc>
        <w:tc>
          <w:tcPr>
            <w:tcW w:w="117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100</w:t>
            </w:r>
          </w:p>
        </w:tc>
        <w:tc>
          <w:tcPr>
            <w:tcW w:w="1196" w:type="dxa"/>
            <w:tcBorders>
              <w:top w:val="single" w:color="000000" w:sz="4" w:space="0"/>
              <w:left w:val="single" w:color="000000" w:sz="4" w:space="0"/>
              <w:bottom w:val="single" w:color="000000"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szCs w:val="24"/>
              </w:rPr>
            </w:pPr>
          </w:p>
        </w:tc>
        <w:tc>
          <w:tcPr>
            <w:tcW w:w="169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szCs w:val="24"/>
              </w:rPr>
            </w:pPr>
          </w:p>
        </w:tc>
        <w:tc>
          <w:tcPr>
            <w:tcW w:w="1217" w:type="dxa"/>
            <w:vMerge w:val="continue"/>
            <w:tcBorders>
              <w:left w:val="single" w:color="auto" w:sz="4" w:space="0"/>
              <w:right w:val="single" w:color="auto" w:sz="4" w:space="0"/>
            </w:tcBorders>
            <w:tcMar>
              <w:top w:w="15" w:type="dxa"/>
              <w:left w:w="15" w:type="dxa"/>
              <w:right w:w="15" w:type="dxa"/>
            </w:tcMar>
            <w:vAlign w:val="center"/>
          </w:tcPr>
          <w:p>
            <w:pPr>
              <w:jc w:val="center"/>
              <w:rPr>
                <w:rFonts w:hint="eastAsia" w:ascii="宋体" w:hAnsi="宋体" w:eastAsia="宋体" w:cs="宋体"/>
                <w:color w:val="000000"/>
                <w:sz w:val="24"/>
                <w:szCs w:val="24"/>
              </w:rPr>
            </w:pPr>
          </w:p>
        </w:tc>
      </w:tr>
      <w:tr>
        <w:tblPrEx>
          <w:tblLayout w:type="fixed"/>
          <w:tblCellMar>
            <w:top w:w="0" w:type="dxa"/>
            <w:left w:w="0" w:type="dxa"/>
            <w:bottom w:w="0" w:type="dxa"/>
            <w:right w:w="0" w:type="dxa"/>
          </w:tblCellMar>
        </w:tblPrEx>
        <w:trPr>
          <w:trHeight w:val="618" w:hRule="atLeast"/>
        </w:trPr>
        <w:tc>
          <w:tcPr>
            <w:tcW w:w="41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6</w:t>
            </w:r>
          </w:p>
        </w:tc>
        <w:tc>
          <w:tcPr>
            <w:tcW w:w="10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COCA COLA</w:t>
            </w:r>
          </w:p>
        </w:tc>
        <w:tc>
          <w:tcPr>
            <w:tcW w:w="16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Style w:val="27"/>
                <w:rFonts w:hint="eastAsia" w:ascii="宋体" w:hAnsi="宋体" w:eastAsia="宋体" w:cs="宋体"/>
                <w:sz w:val="24"/>
                <w:szCs w:val="24"/>
                <w:lang w:bidi="ar"/>
              </w:rPr>
            </w:pPr>
            <w:r>
              <w:rPr>
                <w:rStyle w:val="28"/>
                <w:rFonts w:hint="eastAsia" w:ascii="宋体" w:hAnsi="宋体" w:eastAsia="宋体" w:cs="宋体"/>
                <w:sz w:val="24"/>
                <w:szCs w:val="24"/>
                <w:lang w:bidi="ar"/>
              </w:rPr>
              <w:t>300ml/12</w:t>
            </w:r>
            <w:r>
              <w:rPr>
                <w:rStyle w:val="28"/>
                <w:rFonts w:hint="eastAsia" w:ascii="宋体" w:hAnsi="宋体" w:eastAsia="宋体" w:cs="宋体"/>
                <w:sz w:val="24"/>
                <w:szCs w:val="24"/>
                <w:lang w:bidi="ar"/>
              </w:rPr>
              <w:br w:type="textWrapping"/>
            </w:r>
            <w:r>
              <w:rPr>
                <w:rStyle w:val="29"/>
                <w:rFonts w:hint="eastAsia" w:ascii="宋体" w:hAnsi="宋体" w:eastAsia="宋体" w:cs="宋体"/>
                <w:sz w:val="24"/>
                <w:szCs w:val="24"/>
                <w:lang w:bidi="ar"/>
              </w:rPr>
              <w:t>瓶</w:t>
            </w:r>
            <w:r>
              <w:rPr>
                <w:rStyle w:val="28"/>
                <w:rFonts w:hint="eastAsia" w:ascii="宋体" w:hAnsi="宋体" w:eastAsia="宋体" w:cs="宋体"/>
                <w:sz w:val="24"/>
                <w:szCs w:val="24"/>
                <w:lang w:bidi="ar"/>
              </w:rPr>
              <w:t xml:space="preserve"> botol</w:t>
            </w:r>
          </w:p>
        </w:tc>
        <w:tc>
          <w:tcPr>
            <w:tcW w:w="117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300</w:t>
            </w:r>
          </w:p>
        </w:tc>
        <w:tc>
          <w:tcPr>
            <w:tcW w:w="1196" w:type="dxa"/>
            <w:tcBorders>
              <w:top w:val="single" w:color="000000" w:sz="4" w:space="0"/>
              <w:left w:val="single" w:color="000000" w:sz="4" w:space="0"/>
              <w:bottom w:val="single" w:color="000000"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szCs w:val="24"/>
              </w:rPr>
            </w:pPr>
          </w:p>
        </w:tc>
        <w:tc>
          <w:tcPr>
            <w:tcW w:w="169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szCs w:val="24"/>
              </w:rPr>
            </w:pPr>
          </w:p>
        </w:tc>
        <w:tc>
          <w:tcPr>
            <w:tcW w:w="1217" w:type="dxa"/>
            <w:vMerge w:val="continue"/>
            <w:tcBorders>
              <w:left w:val="single" w:color="auto" w:sz="4" w:space="0"/>
              <w:right w:val="single" w:color="auto" w:sz="4" w:space="0"/>
            </w:tcBorders>
            <w:tcMar>
              <w:top w:w="15" w:type="dxa"/>
              <w:left w:w="15" w:type="dxa"/>
              <w:right w:w="15" w:type="dxa"/>
            </w:tcMar>
            <w:vAlign w:val="center"/>
          </w:tcPr>
          <w:p>
            <w:pPr>
              <w:jc w:val="center"/>
              <w:rPr>
                <w:rFonts w:hint="eastAsia" w:ascii="宋体" w:hAnsi="宋体" w:eastAsia="宋体" w:cs="宋体"/>
                <w:color w:val="000000"/>
                <w:sz w:val="24"/>
                <w:szCs w:val="24"/>
              </w:rPr>
            </w:pPr>
          </w:p>
        </w:tc>
      </w:tr>
      <w:tr>
        <w:tblPrEx>
          <w:tblLayout w:type="fixed"/>
          <w:tblCellMar>
            <w:top w:w="0" w:type="dxa"/>
            <w:left w:w="0" w:type="dxa"/>
            <w:bottom w:w="0" w:type="dxa"/>
            <w:right w:w="0" w:type="dxa"/>
          </w:tblCellMar>
        </w:tblPrEx>
        <w:trPr>
          <w:trHeight w:val="618" w:hRule="atLeast"/>
        </w:trPr>
        <w:tc>
          <w:tcPr>
            <w:tcW w:w="41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7</w:t>
            </w:r>
          </w:p>
        </w:tc>
        <w:tc>
          <w:tcPr>
            <w:tcW w:w="10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POCARIION WATER 350ml</w:t>
            </w:r>
          </w:p>
        </w:tc>
        <w:tc>
          <w:tcPr>
            <w:tcW w:w="16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szCs w:val="24"/>
              </w:rPr>
            </w:pPr>
            <w:r>
              <w:rPr>
                <w:rStyle w:val="28"/>
                <w:rFonts w:hint="eastAsia" w:ascii="宋体" w:hAnsi="宋体" w:eastAsia="宋体" w:cs="宋体"/>
                <w:sz w:val="24"/>
                <w:szCs w:val="24"/>
                <w:lang w:bidi="ar"/>
              </w:rPr>
              <w:t>350ml/24</w:t>
            </w:r>
            <w:r>
              <w:rPr>
                <w:rStyle w:val="28"/>
                <w:rFonts w:hint="eastAsia" w:ascii="宋体" w:hAnsi="宋体" w:eastAsia="宋体" w:cs="宋体"/>
                <w:sz w:val="24"/>
                <w:szCs w:val="24"/>
                <w:lang w:bidi="ar"/>
              </w:rPr>
              <w:br w:type="textWrapping"/>
            </w:r>
            <w:r>
              <w:rPr>
                <w:rStyle w:val="29"/>
                <w:rFonts w:hint="eastAsia" w:ascii="宋体" w:hAnsi="宋体" w:eastAsia="宋体" w:cs="宋体"/>
                <w:sz w:val="24"/>
                <w:szCs w:val="24"/>
                <w:lang w:bidi="ar"/>
              </w:rPr>
              <w:t>瓶</w:t>
            </w:r>
            <w:r>
              <w:rPr>
                <w:rStyle w:val="28"/>
                <w:rFonts w:hint="eastAsia" w:ascii="宋体" w:hAnsi="宋体" w:eastAsia="宋体" w:cs="宋体"/>
                <w:sz w:val="24"/>
                <w:szCs w:val="24"/>
                <w:lang w:bidi="ar"/>
              </w:rPr>
              <w:t xml:space="preserve"> botol</w:t>
            </w:r>
          </w:p>
        </w:tc>
        <w:tc>
          <w:tcPr>
            <w:tcW w:w="117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100</w:t>
            </w:r>
          </w:p>
        </w:tc>
        <w:tc>
          <w:tcPr>
            <w:tcW w:w="1196" w:type="dxa"/>
            <w:tcBorders>
              <w:top w:val="single" w:color="000000" w:sz="4" w:space="0"/>
              <w:left w:val="single" w:color="000000" w:sz="4" w:space="0"/>
              <w:bottom w:val="single" w:color="000000"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szCs w:val="24"/>
              </w:rPr>
            </w:pPr>
          </w:p>
        </w:tc>
        <w:tc>
          <w:tcPr>
            <w:tcW w:w="169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szCs w:val="24"/>
              </w:rPr>
            </w:pPr>
          </w:p>
        </w:tc>
        <w:tc>
          <w:tcPr>
            <w:tcW w:w="1217" w:type="dxa"/>
            <w:vMerge w:val="continue"/>
            <w:tcBorders>
              <w:left w:val="single" w:color="auto" w:sz="4" w:space="0"/>
              <w:right w:val="single" w:color="auto" w:sz="4" w:space="0"/>
            </w:tcBorders>
            <w:tcMar>
              <w:top w:w="15" w:type="dxa"/>
              <w:left w:w="15" w:type="dxa"/>
              <w:right w:w="15" w:type="dxa"/>
            </w:tcMar>
            <w:vAlign w:val="center"/>
          </w:tcPr>
          <w:p>
            <w:pPr>
              <w:jc w:val="center"/>
              <w:rPr>
                <w:rFonts w:hint="eastAsia" w:ascii="宋体" w:hAnsi="宋体" w:eastAsia="宋体" w:cs="宋体"/>
                <w:color w:val="000000"/>
                <w:sz w:val="24"/>
                <w:szCs w:val="24"/>
              </w:rPr>
            </w:pPr>
          </w:p>
        </w:tc>
      </w:tr>
      <w:tr>
        <w:tblPrEx>
          <w:tblLayout w:type="fixed"/>
          <w:tblCellMar>
            <w:top w:w="0" w:type="dxa"/>
            <w:left w:w="0" w:type="dxa"/>
            <w:bottom w:w="0" w:type="dxa"/>
            <w:right w:w="0" w:type="dxa"/>
          </w:tblCellMar>
        </w:tblPrEx>
        <w:trPr>
          <w:trHeight w:val="618" w:hRule="atLeast"/>
        </w:trPr>
        <w:tc>
          <w:tcPr>
            <w:tcW w:w="5520" w:type="dxa"/>
            <w:gridSpan w:val="5"/>
            <w:tcBorders>
              <w:top w:val="single" w:color="000000" w:sz="4" w:space="0"/>
              <w:left w:val="single" w:color="000000" w:sz="4" w:space="0"/>
              <w:bottom w:val="single" w:color="000000"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rPr>
              <w:t>小计Subtotal</w:t>
            </w:r>
          </w:p>
        </w:tc>
        <w:tc>
          <w:tcPr>
            <w:tcW w:w="169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szCs w:val="24"/>
              </w:rPr>
            </w:pPr>
          </w:p>
        </w:tc>
        <w:tc>
          <w:tcPr>
            <w:tcW w:w="1217" w:type="dxa"/>
            <w:vMerge w:val="continue"/>
            <w:tcBorders>
              <w:left w:val="single" w:color="auto" w:sz="4" w:space="0"/>
              <w:right w:val="single" w:color="auto" w:sz="4" w:space="0"/>
            </w:tcBorders>
            <w:tcMar>
              <w:top w:w="15" w:type="dxa"/>
              <w:left w:w="15" w:type="dxa"/>
              <w:right w:w="15" w:type="dxa"/>
            </w:tcMar>
            <w:vAlign w:val="center"/>
          </w:tcPr>
          <w:p>
            <w:pPr>
              <w:jc w:val="center"/>
              <w:rPr>
                <w:rFonts w:hint="eastAsia" w:ascii="宋体" w:hAnsi="宋体" w:eastAsia="宋体" w:cs="宋体"/>
                <w:color w:val="000000"/>
                <w:sz w:val="24"/>
                <w:szCs w:val="24"/>
              </w:rPr>
            </w:pPr>
          </w:p>
        </w:tc>
      </w:tr>
      <w:tr>
        <w:tblPrEx>
          <w:tblLayout w:type="fixed"/>
          <w:tblCellMar>
            <w:top w:w="0" w:type="dxa"/>
            <w:left w:w="0" w:type="dxa"/>
            <w:bottom w:w="0" w:type="dxa"/>
            <w:right w:w="0" w:type="dxa"/>
          </w:tblCellMar>
        </w:tblPrEx>
        <w:trPr>
          <w:trHeight w:val="618" w:hRule="atLeast"/>
        </w:trPr>
        <w:tc>
          <w:tcPr>
            <w:tcW w:w="5520" w:type="dxa"/>
            <w:gridSpan w:val="5"/>
            <w:tcBorders>
              <w:top w:val="single" w:color="000000" w:sz="4" w:space="0"/>
              <w:left w:val="single" w:color="000000" w:sz="4" w:space="0"/>
              <w:bottom w:val="single" w:color="000000"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rPr>
              <w:t>PPN</w:t>
            </w:r>
          </w:p>
        </w:tc>
        <w:tc>
          <w:tcPr>
            <w:tcW w:w="169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szCs w:val="24"/>
              </w:rPr>
            </w:pPr>
          </w:p>
        </w:tc>
        <w:tc>
          <w:tcPr>
            <w:tcW w:w="1217" w:type="dxa"/>
            <w:tcBorders>
              <w:left w:val="single" w:color="auto" w:sz="4" w:space="0"/>
              <w:right w:val="single" w:color="auto" w:sz="4" w:space="0"/>
            </w:tcBorders>
            <w:tcMar>
              <w:top w:w="15" w:type="dxa"/>
              <w:left w:w="15" w:type="dxa"/>
              <w:right w:w="15" w:type="dxa"/>
            </w:tcMar>
            <w:vAlign w:val="center"/>
          </w:tcPr>
          <w:p>
            <w:pPr>
              <w:jc w:val="center"/>
              <w:rPr>
                <w:rFonts w:hint="eastAsia" w:ascii="宋体" w:hAnsi="宋体" w:eastAsia="宋体" w:cs="宋体"/>
                <w:color w:val="000000"/>
                <w:sz w:val="24"/>
                <w:szCs w:val="24"/>
              </w:rPr>
            </w:pPr>
          </w:p>
        </w:tc>
      </w:tr>
      <w:tr>
        <w:tblPrEx>
          <w:tblLayout w:type="fixed"/>
          <w:tblCellMar>
            <w:top w:w="0" w:type="dxa"/>
            <w:left w:w="0" w:type="dxa"/>
            <w:bottom w:w="0" w:type="dxa"/>
            <w:right w:w="0" w:type="dxa"/>
          </w:tblCellMar>
        </w:tblPrEx>
        <w:trPr>
          <w:trHeight w:val="618" w:hRule="atLeast"/>
        </w:trPr>
        <w:tc>
          <w:tcPr>
            <w:tcW w:w="5520" w:type="dxa"/>
            <w:gridSpan w:val="5"/>
            <w:tcBorders>
              <w:top w:val="single" w:color="000000" w:sz="4" w:space="0"/>
              <w:left w:val="single" w:color="000000" w:sz="4" w:space="0"/>
              <w:bottom w:val="single" w:color="000000"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rPr>
              <w:t>总计Total</w:t>
            </w:r>
          </w:p>
        </w:tc>
        <w:tc>
          <w:tcPr>
            <w:tcW w:w="169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szCs w:val="24"/>
              </w:rPr>
            </w:pPr>
          </w:p>
        </w:tc>
        <w:tc>
          <w:tcPr>
            <w:tcW w:w="1217" w:type="dxa"/>
            <w:tcBorders>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宋体" w:hAnsi="宋体" w:eastAsia="宋体" w:cs="宋体"/>
                <w:color w:val="000000"/>
                <w:sz w:val="24"/>
                <w:szCs w:val="24"/>
              </w:rPr>
            </w:pPr>
          </w:p>
        </w:tc>
      </w:tr>
    </w:tbl>
    <w:p>
      <w:pPr>
        <w:widowControl/>
        <w:jc w:val="left"/>
        <w:rPr>
          <w:rFonts w:hint="eastAsia" w:eastAsia="仿宋" w:asciiTheme="majorEastAsia" w:hAnsiTheme="majorEastAsia" w:cstheme="majorEastAsia"/>
          <w:szCs w:val="32"/>
        </w:rPr>
      </w:pPr>
    </w:p>
    <w:sectPr>
      <w:headerReference r:id="rId5" w:type="first"/>
      <w:footerReference r:id="rId8" w:type="first"/>
      <w:headerReference r:id="rId3" w:type="default"/>
      <w:footerReference r:id="rId6" w:type="default"/>
      <w:headerReference r:id="rId4" w:type="even"/>
      <w:footerReference r:id="rId7" w:type="even"/>
      <w:pgSz w:w="11906" w:h="16838"/>
      <w:pgMar w:top="1440" w:right="1080" w:bottom="1440" w:left="108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仿宋">
    <w:panose1 w:val="02010609060101010101"/>
    <w:charset w:val="86"/>
    <w:family w:val="modern"/>
    <w:pitch w:val="default"/>
    <w:sig w:usb0="800002BF" w:usb1="38CF7CFA" w:usb2="00000016" w:usb3="00000000" w:csb0="00040001" w:csb1="00000000"/>
  </w:font>
  <w:font w:name="FangSong_GB2312">
    <w:altName w:val="仿宋"/>
    <w:panose1 w:val="020B0604020202020204"/>
    <w:charset w:val="86"/>
    <w:family w:val="auto"/>
    <w:pitch w:val="default"/>
    <w:sig w:usb0="00000000" w:usb1="00000000" w:usb2="00000010" w:usb3="00000000" w:csb0="000401FF" w:csb1="00000000"/>
  </w:font>
  <w:font w:name="-webkit-standard">
    <w:altName w:val="Cambria"/>
    <w:panose1 w:val="020B0604020202020204"/>
    <w:charset w:val="00"/>
    <w:family w:val="roman"/>
    <w:pitch w:val="default"/>
    <w:sig w:usb0="00000000" w:usb1="00000000" w:usb2="00000000" w:usb3="00000000" w:csb0="00000000" w:csb1="00000000"/>
  </w:font>
  <w:font w:name="Calibri Light">
    <w:panose1 w:val="020F0302020204030204"/>
    <w:charset w:val="00"/>
    <w:family w:val="swiss"/>
    <w:pitch w:val="default"/>
    <w:sig w:usb0="E4002EFF" w:usb1="C2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rPr>
        <w:rStyle w:val="20"/>
      </w:rPr>
    </w:pPr>
    <w:r>
      <w:fldChar w:fldCharType="begin"/>
    </w:r>
    <w:r>
      <w:rPr>
        <w:rStyle w:val="20"/>
      </w:rPr>
      <w:instrText xml:space="preserve">PAGE  </w:instrText>
    </w:r>
    <w:r>
      <w:fldChar w:fldCharType="separate"/>
    </w:r>
    <w:r>
      <w:rPr>
        <w:rStyle w:val="20"/>
        <w:lang w:val="id-ID" w:eastAsia="id-ID"/>
      </w:rPr>
      <w:t>18</w:t>
    </w:r>
    <w:r>
      <w:fldChar w:fldCharType="end"/>
    </w:r>
  </w:p>
  <w:p>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wordWrap w:val="0"/>
      <w:ind w:right="241"/>
      <w:jc w:val="right"/>
      <w:rPr>
        <w:rFonts w:hint="eastAsia" w:ascii="Arial" w:hAnsi="Arial" w:cs="Arial"/>
        <w:b/>
        <w:sz w:val="21"/>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444F3"/>
    <w:multiLevelType w:val="singleLevel"/>
    <w:tmpl w:val="00A444F3"/>
    <w:lvl w:ilvl="0" w:tentative="0">
      <w:start w:val="1"/>
      <w:numFmt w:val="lowerLetter"/>
      <w:lvlText w:val="(%1)"/>
      <w:lvlJc w:val="left"/>
      <w:pPr>
        <w:tabs>
          <w:tab w:val="left" w:pos="635"/>
        </w:tabs>
        <w:ind w:left="635" w:hanging="465"/>
      </w:pPr>
      <w:rPr>
        <w:rFonts w:hint="default"/>
      </w:rPr>
    </w:lvl>
  </w:abstractNum>
  <w:abstractNum w:abstractNumId="1">
    <w:nsid w:val="57941E99"/>
    <w:multiLevelType w:val="singleLevel"/>
    <w:tmpl w:val="57941E99"/>
    <w:lvl w:ilvl="0" w:tentative="0">
      <w:start w:val="1"/>
      <w:numFmt w:val="decimal"/>
      <w:suff w:val="nothing"/>
      <w:lvlText w:val="%1、"/>
      <w:lvlJc w:val="left"/>
    </w:lvl>
  </w:abstractNum>
  <w:abstractNum w:abstractNumId="2">
    <w:nsid w:val="5D8436D8"/>
    <w:multiLevelType w:val="singleLevel"/>
    <w:tmpl w:val="5D8436D8"/>
    <w:lvl w:ilvl="0" w:tentative="0">
      <w:start w:val="2"/>
      <w:numFmt w:val="chineseCounting"/>
      <w:suff w:val="nothing"/>
      <w:lvlText w:val="%1、"/>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420"/>
  <w:drawingGridVerticalSpacing w:val="156"/>
  <w:noPunctuationKerning w:val="1"/>
  <w:characterSpacingControl w:val="compressPunctuation"/>
  <w:doNotValidateAgainstSchema/>
  <w:doNotDemarcateInvalidXml/>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ViY2JkMjU3NGYzZTEwMzZmMGFkZWViYmNkYWU3NDIifQ=="/>
  </w:docVars>
  <w:rsids>
    <w:rsidRoot w:val="00172A27"/>
    <w:rsid w:val="00031E1F"/>
    <w:rsid w:val="000C7028"/>
    <w:rsid w:val="000D665A"/>
    <w:rsid w:val="000E1FCD"/>
    <w:rsid w:val="001E2A32"/>
    <w:rsid w:val="00397E3B"/>
    <w:rsid w:val="003B6590"/>
    <w:rsid w:val="005B1B73"/>
    <w:rsid w:val="008203FD"/>
    <w:rsid w:val="009127B6"/>
    <w:rsid w:val="00917E24"/>
    <w:rsid w:val="009745A9"/>
    <w:rsid w:val="00982D26"/>
    <w:rsid w:val="009D4FBB"/>
    <w:rsid w:val="00A151E3"/>
    <w:rsid w:val="00A15F1D"/>
    <w:rsid w:val="00B55ACF"/>
    <w:rsid w:val="00BA24A0"/>
    <w:rsid w:val="00BA5131"/>
    <w:rsid w:val="00C76D14"/>
    <w:rsid w:val="00C95BA6"/>
    <w:rsid w:val="00D32139"/>
    <w:rsid w:val="00D3489F"/>
    <w:rsid w:val="00D85FE4"/>
    <w:rsid w:val="00E0669D"/>
    <w:rsid w:val="00E164FC"/>
    <w:rsid w:val="00E31C90"/>
    <w:rsid w:val="00E478A7"/>
    <w:rsid w:val="00E757F3"/>
    <w:rsid w:val="00E9710E"/>
    <w:rsid w:val="00EA6C8D"/>
    <w:rsid w:val="00EB66B1"/>
    <w:rsid w:val="00F9490E"/>
    <w:rsid w:val="016D51B9"/>
    <w:rsid w:val="01791428"/>
    <w:rsid w:val="01A62C11"/>
    <w:rsid w:val="01EC6E48"/>
    <w:rsid w:val="025C5328"/>
    <w:rsid w:val="02617823"/>
    <w:rsid w:val="02FF1593"/>
    <w:rsid w:val="030918B2"/>
    <w:rsid w:val="0336798E"/>
    <w:rsid w:val="035C0186"/>
    <w:rsid w:val="03E3226F"/>
    <w:rsid w:val="04266092"/>
    <w:rsid w:val="04365B61"/>
    <w:rsid w:val="04452C9B"/>
    <w:rsid w:val="04650D62"/>
    <w:rsid w:val="04695151"/>
    <w:rsid w:val="04891106"/>
    <w:rsid w:val="04A41191"/>
    <w:rsid w:val="04CA21BE"/>
    <w:rsid w:val="054C3F99"/>
    <w:rsid w:val="059238A6"/>
    <w:rsid w:val="0628207F"/>
    <w:rsid w:val="063C7053"/>
    <w:rsid w:val="06863289"/>
    <w:rsid w:val="06925505"/>
    <w:rsid w:val="06F77D62"/>
    <w:rsid w:val="06F87785"/>
    <w:rsid w:val="07A47096"/>
    <w:rsid w:val="07FF4484"/>
    <w:rsid w:val="082A0972"/>
    <w:rsid w:val="08E13132"/>
    <w:rsid w:val="09304618"/>
    <w:rsid w:val="09631F63"/>
    <w:rsid w:val="09CC4599"/>
    <w:rsid w:val="0A4E007D"/>
    <w:rsid w:val="0AAE502F"/>
    <w:rsid w:val="0AAF64D0"/>
    <w:rsid w:val="0AC07BC7"/>
    <w:rsid w:val="0AD41DC4"/>
    <w:rsid w:val="0AED0BAC"/>
    <w:rsid w:val="0B3244BD"/>
    <w:rsid w:val="0BCC7AAD"/>
    <w:rsid w:val="0C2A2D95"/>
    <w:rsid w:val="0D1D5ACE"/>
    <w:rsid w:val="0DB263FA"/>
    <w:rsid w:val="0DD57231"/>
    <w:rsid w:val="0E080FD1"/>
    <w:rsid w:val="0E655F51"/>
    <w:rsid w:val="0E8E3391"/>
    <w:rsid w:val="0E992C4A"/>
    <w:rsid w:val="0EA44B8E"/>
    <w:rsid w:val="0EDC5DD3"/>
    <w:rsid w:val="0EE73324"/>
    <w:rsid w:val="0EF44E9F"/>
    <w:rsid w:val="0F0804E7"/>
    <w:rsid w:val="0F25005E"/>
    <w:rsid w:val="0F341CF7"/>
    <w:rsid w:val="0F4E4854"/>
    <w:rsid w:val="0FA70FD0"/>
    <w:rsid w:val="0FD51E58"/>
    <w:rsid w:val="0FD56086"/>
    <w:rsid w:val="101C66B3"/>
    <w:rsid w:val="109525A4"/>
    <w:rsid w:val="118A7335"/>
    <w:rsid w:val="123D1ACD"/>
    <w:rsid w:val="12596687"/>
    <w:rsid w:val="12634E7C"/>
    <w:rsid w:val="1276320D"/>
    <w:rsid w:val="127D3F85"/>
    <w:rsid w:val="12D9234D"/>
    <w:rsid w:val="1314278F"/>
    <w:rsid w:val="131751F9"/>
    <w:rsid w:val="137F15CD"/>
    <w:rsid w:val="138052E0"/>
    <w:rsid w:val="14415ACF"/>
    <w:rsid w:val="14AC683B"/>
    <w:rsid w:val="14B76E8E"/>
    <w:rsid w:val="14D13334"/>
    <w:rsid w:val="15191E10"/>
    <w:rsid w:val="15555F8A"/>
    <w:rsid w:val="15E24378"/>
    <w:rsid w:val="16101076"/>
    <w:rsid w:val="167577B8"/>
    <w:rsid w:val="16813DFB"/>
    <w:rsid w:val="16CA40BF"/>
    <w:rsid w:val="16E55D6D"/>
    <w:rsid w:val="16F4295C"/>
    <w:rsid w:val="17084A05"/>
    <w:rsid w:val="171D7076"/>
    <w:rsid w:val="177D032E"/>
    <w:rsid w:val="180D292D"/>
    <w:rsid w:val="180F0B89"/>
    <w:rsid w:val="185C3AC4"/>
    <w:rsid w:val="189828A8"/>
    <w:rsid w:val="19071B3D"/>
    <w:rsid w:val="193719B2"/>
    <w:rsid w:val="196A78D0"/>
    <w:rsid w:val="196F43F1"/>
    <w:rsid w:val="19B0249E"/>
    <w:rsid w:val="19B87040"/>
    <w:rsid w:val="19FA13E8"/>
    <w:rsid w:val="1A2237D6"/>
    <w:rsid w:val="1A53211A"/>
    <w:rsid w:val="1ACB02A7"/>
    <w:rsid w:val="1B244752"/>
    <w:rsid w:val="1B4A78F4"/>
    <w:rsid w:val="1B4B64D7"/>
    <w:rsid w:val="1BE57EF4"/>
    <w:rsid w:val="1CD65A43"/>
    <w:rsid w:val="1CE24ECF"/>
    <w:rsid w:val="1CFD6E20"/>
    <w:rsid w:val="1CFE4EAC"/>
    <w:rsid w:val="1D3C0986"/>
    <w:rsid w:val="1E1E3DA7"/>
    <w:rsid w:val="1E255FAC"/>
    <w:rsid w:val="1F2B4A12"/>
    <w:rsid w:val="1F4A36D9"/>
    <w:rsid w:val="1F650237"/>
    <w:rsid w:val="1F6B2821"/>
    <w:rsid w:val="1F6B7112"/>
    <w:rsid w:val="202548A2"/>
    <w:rsid w:val="209A59B8"/>
    <w:rsid w:val="212C3601"/>
    <w:rsid w:val="222923F3"/>
    <w:rsid w:val="224E07B7"/>
    <w:rsid w:val="22C46DB9"/>
    <w:rsid w:val="22C86EB4"/>
    <w:rsid w:val="232C5AF5"/>
    <w:rsid w:val="237058CF"/>
    <w:rsid w:val="23A16AA3"/>
    <w:rsid w:val="23B86E1F"/>
    <w:rsid w:val="23DC24B8"/>
    <w:rsid w:val="23EB0E9F"/>
    <w:rsid w:val="24152EB5"/>
    <w:rsid w:val="24D332FD"/>
    <w:rsid w:val="24DD3B60"/>
    <w:rsid w:val="24FF7C03"/>
    <w:rsid w:val="257F5613"/>
    <w:rsid w:val="25BD610A"/>
    <w:rsid w:val="25D84B16"/>
    <w:rsid w:val="26313857"/>
    <w:rsid w:val="267A7A13"/>
    <w:rsid w:val="268454F1"/>
    <w:rsid w:val="273C088B"/>
    <w:rsid w:val="278D6712"/>
    <w:rsid w:val="27A50E21"/>
    <w:rsid w:val="27B70ED2"/>
    <w:rsid w:val="27D1764D"/>
    <w:rsid w:val="27F5460C"/>
    <w:rsid w:val="28105506"/>
    <w:rsid w:val="283A7765"/>
    <w:rsid w:val="28674AE9"/>
    <w:rsid w:val="28D30117"/>
    <w:rsid w:val="295637B8"/>
    <w:rsid w:val="29890414"/>
    <w:rsid w:val="29901309"/>
    <w:rsid w:val="2A326E54"/>
    <w:rsid w:val="2A436BA6"/>
    <w:rsid w:val="2A696E20"/>
    <w:rsid w:val="2AE11B61"/>
    <w:rsid w:val="2AFC0385"/>
    <w:rsid w:val="2B264334"/>
    <w:rsid w:val="2B28013E"/>
    <w:rsid w:val="2B8478A2"/>
    <w:rsid w:val="2C535C51"/>
    <w:rsid w:val="2CFE2268"/>
    <w:rsid w:val="2D546C0A"/>
    <w:rsid w:val="2D7A5FF8"/>
    <w:rsid w:val="2DF32E78"/>
    <w:rsid w:val="2E1C0F71"/>
    <w:rsid w:val="2E406FD4"/>
    <w:rsid w:val="2E527799"/>
    <w:rsid w:val="2E69766A"/>
    <w:rsid w:val="2EB629F9"/>
    <w:rsid w:val="2EEC1AAE"/>
    <w:rsid w:val="2EF23BDB"/>
    <w:rsid w:val="2F4A6DED"/>
    <w:rsid w:val="2F5E4550"/>
    <w:rsid w:val="2F634DBB"/>
    <w:rsid w:val="2F766004"/>
    <w:rsid w:val="304B29EE"/>
    <w:rsid w:val="30FE77EE"/>
    <w:rsid w:val="318C328D"/>
    <w:rsid w:val="32342B39"/>
    <w:rsid w:val="324E18BA"/>
    <w:rsid w:val="326162B1"/>
    <w:rsid w:val="32BB071B"/>
    <w:rsid w:val="32DD31D0"/>
    <w:rsid w:val="335B5CDB"/>
    <w:rsid w:val="33726ACA"/>
    <w:rsid w:val="337A6427"/>
    <w:rsid w:val="33911F81"/>
    <w:rsid w:val="346D361D"/>
    <w:rsid w:val="3504091C"/>
    <w:rsid w:val="355A0490"/>
    <w:rsid w:val="358316A2"/>
    <w:rsid w:val="35886790"/>
    <w:rsid w:val="35970F06"/>
    <w:rsid w:val="35BD160E"/>
    <w:rsid w:val="35BF5737"/>
    <w:rsid w:val="36B3305D"/>
    <w:rsid w:val="3702641D"/>
    <w:rsid w:val="37194424"/>
    <w:rsid w:val="378555EE"/>
    <w:rsid w:val="37D97B74"/>
    <w:rsid w:val="381534C6"/>
    <w:rsid w:val="384632CB"/>
    <w:rsid w:val="386431C3"/>
    <w:rsid w:val="38A671DD"/>
    <w:rsid w:val="38B279DA"/>
    <w:rsid w:val="3A543285"/>
    <w:rsid w:val="3A6462BE"/>
    <w:rsid w:val="3B416126"/>
    <w:rsid w:val="3BFC1F16"/>
    <w:rsid w:val="3C0854E8"/>
    <w:rsid w:val="3C0B6A1B"/>
    <w:rsid w:val="3C751145"/>
    <w:rsid w:val="3C7E77FF"/>
    <w:rsid w:val="3CFB46B8"/>
    <w:rsid w:val="3D1544A7"/>
    <w:rsid w:val="3D8447CE"/>
    <w:rsid w:val="3DA4647C"/>
    <w:rsid w:val="3DF05000"/>
    <w:rsid w:val="3DF4264D"/>
    <w:rsid w:val="3E106AB7"/>
    <w:rsid w:val="3E3E12A4"/>
    <w:rsid w:val="3E957E00"/>
    <w:rsid w:val="3EAC34F8"/>
    <w:rsid w:val="3ECA5B05"/>
    <w:rsid w:val="3F6D10D0"/>
    <w:rsid w:val="3FB847CA"/>
    <w:rsid w:val="3FB97BDE"/>
    <w:rsid w:val="3FC66A6F"/>
    <w:rsid w:val="3FE17198"/>
    <w:rsid w:val="4019333B"/>
    <w:rsid w:val="406D6214"/>
    <w:rsid w:val="4070686C"/>
    <w:rsid w:val="40A14070"/>
    <w:rsid w:val="40A50065"/>
    <w:rsid w:val="40A64301"/>
    <w:rsid w:val="41026FF2"/>
    <w:rsid w:val="41195D48"/>
    <w:rsid w:val="41374C89"/>
    <w:rsid w:val="41390BE6"/>
    <w:rsid w:val="41537CF9"/>
    <w:rsid w:val="41B71B28"/>
    <w:rsid w:val="42276876"/>
    <w:rsid w:val="42293DCA"/>
    <w:rsid w:val="42F3326A"/>
    <w:rsid w:val="436C596F"/>
    <w:rsid w:val="43D61B01"/>
    <w:rsid w:val="43E75AB0"/>
    <w:rsid w:val="44040A87"/>
    <w:rsid w:val="44081823"/>
    <w:rsid w:val="44883016"/>
    <w:rsid w:val="44F95750"/>
    <w:rsid w:val="44FE0A20"/>
    <w:rsid w:val="45CC3B51"/>
    <w:rsid w:val="45FA71A4"/>
    <w:rsid w:val="464A5455"/>
    <w:rsid w:val="468756CE"/>
    <w:rsid w:val="469C0AEA"/>
    <w:rsid w:val="478F5B75"/>
    <w:rsid w:val="47AF61B3"/>
    <w:rsid w:val="480461CB"/>
    <w:rsid w:val="48276DE7"/>
    <w:rsid w:val="4873371E"/>
    <w:rsid w:val="48DB4BA4"/>
    <w:rsid w:val="490B39D9"/>
    <w:rsid w:val="49144112"/>
    <w:rsid w:val="49702B08"/>
    <w:rsid w:val="49C478BD"/>
    <w:rsid w:val="4A037FB3"/>
    <w:rsid w:val="4A095D93"/>
    <w:rsid w:val="4A3E2ECA"/>
    <w:rsid w:val="4A5C1585"/>
    <w:rsid w:val="4B4D1E42"/>
    <w:rsid w:val="4B603C21"/>
    <w:rsid w:val="4B6B34CA"/>
    <w:rsid w:val="4B702EE8"/>
    <w:rsid w:val="4B811C91"/>
    <w:rsid w:val="4B9E6C5F"/>
    <w:rsid w:val="4BD079DB"/>
    <w:rsid w:val="4BD35D89"/>
    <w:rsid w:val="4C303A4D"/>
    <w:rsid w:val="4CAA60D9"/>
    <w:rsid w:val="4CAF53D1"/>
    <w:rsid w:val="4CC1435D"/>
    <w:rsid w:val="4CDE6804"/>
    <w:rsid w:val="4E123E0B"/>
    <w:rsid w:val="4E232D03"/>
    <w:rsid w:val="4E4E7838"/>
    <w:rsid w:val="4E923937"/>
    <w:rsid w:val="4EC30E77"/>
    <w:rsid w:val="4EE01E5C"/>
    <w:rsid w:val="4F362701"/>
    <w:rsid w:val="4F4155AC"/>
    <w:rsid w:val="4F59654D"/>
    <w:rsid w:val="4FB54EB9"/>
    <w:rsid w:val="4FC36636"/>
    <w:rsid w:val="4FEB706B"/>
    <w:rsid w:val="4FF77D95"/>
    <w:rsid w:val="500637E0"/>
    <w:rsid w:val="506E7C56"/>
    <w:rsid w:val="50763396"/>
    <w:rsid w:val="50D2410B"/>
    <w:rsid w:val="51853EC7"/>
    <w:rsid w:val="522B204B"/>
    <w:rsid w:val="52B86B74"/>
    <w:rsid w:val="52FF6C76"/>
    <w:rsid w:val="54156B0B"/>
    <w:rsid w:val="54B34610"/>
    <w:rsid w:val="54C7144B"/>
    <w:rsid w:val="54CA2704"/>
    <w:rsid w:val="54D247B4"/>
    <w:rsid w:val="55E855F5"/>
    <w:rsid w:val="56CA37EE"/>
    <w:rsid w:val="5736198E"/>
    <w:rsid w:val="57564E9A"/>
    <w:rsid w:val="57771C22"/>
    <w:rsid w:val="581B50AB"/>
    <w:rsid w:val="58673E0D"/>
    <w:rsid w:val="589745F1"/>
    <w:rsid w:val="58BA2300"/>
    <w:rsid w:val="58E3489B"/>
    <w:rsid w:val="59181042"/>
    <w:rsid w:val="59D7730C"/>
    <w:rsid w:val="5A1274C3"/>
    <w:rsid w:val="5A341206"/>
    <w:rsid w:val="5A6E4D60"/>
    <w:rsid w:val="5A9F5FC0"/>
    <w:rsid w:val="5AD6284A"/>
    <w:rsid w:val="5B2D43CD"/>
    <w:rsid w:val="5B4C202E"/>
    <w:rsid w:val="5C4F6C26"/>
    <w:rsid w:val="5C816604"/>
    <w:rsid w:val="5CA2358F"/>
    <w:rsid w:val="5D26271C"/>
    <w:rsid w:val="5D677134"/>
    <w:rsid w:val="5D9F52E2"/>
    <w:rsid w:val="5DB621B6"/>
    <w:rsid w:val="5DBF2F07"/>
    <w:rsid w:val="5DD61E31"/>
    <w:rsid w:val="5E0F337D"/>
    <w:rsid w:val="5E4B5F5D"/>
    <w:rsid w:val="5E851442"/>
    <w:rsid w:val="5E8F52CD"/>
    <w:rsid w:val="5EBF4CF2"/>
    <w:rsid w:val="5F0E2508"/>
    <w:rsid w:val="5F2169BB"/>
    <w:rsid w:val="5F472EE4"/>
    <w:rsid w:val="5F723500"/>
    <w:rsid w:val="600F58C5"/>
    <w:rsid w:val="601D564F"/>
    <w:rsid w:val="606A731A"/>
    <w:rsid w:val="60931BBC"/>
    <w:rsid w:val="60AF46FF"/>
    <w:rsid w:val="61156461"/>
    <w:rsid w:val="61C97B21"/>
    <w:rsid w:val="61EE12E2"/>
    <w:rsid w:val="61F84706"/>
    <w:rsid w:val="620E0006"/>
    <w:rsid w:val="62185F7D"/>
    <w:rsid w:val="624D29AC"/>
    <w:rsid w:val="628152ED"/>
    <w:rsid w:val="62B14ECA"/>
    <w:rsid w:val="634770AE"/>
    <w:rsid w:val="63710A86"/>
    <w:rsid w:val="63A448E0"/>
    <w:rsid w:val="63B820CC"/>
    <w:rsid w:val="640E1D19"/>
    <w:rsid w:val="647C3D4C"/>
    <w:rsid w:val="65462F10"/>
    <w:rsid w:val="65C53226"/>
    <w:rsid w:val="65ED0F75"/>
    <w:rsid w:val="66137CD5"/>
    <w:rsid w:val="66332C3D"/>
    <w:rsid w:val="671021B3"/>
    <w:rsid w:val="67A042C0"/>
    <w:rsid w:val="67C07FEA"/>
    <w:rsid w:val="67D84CA2"/>
    <w:rsid w:val="67E056DE"/>
    <w:rsid w:val="682F553C"/>
    <w:rsid w:val="687C620B"/>
    <w:rsid w:val="68A47AD2"/>
    <w:rsid w:val="68EF5D8C"/>
    <w:rsid w:val="696911E3"/>
    <w:rsid w:val="69AA62E8"/>
    <w:rsid w:val="6A042668"/>
    <w:rsid w:val="6A072C57"/>
    <w:rsid w:val="6A235B9C"/>
    <w:rsid w:val="6A5437CA"/>
    <w:rsid w:val="6A647785"/>
    <w:rsid w:val="6AE82299"/>
    <w:rsid w:val="6B3F166A"/>
    <w:rsid w:val="6BAD71F9"/>
    <w:rsid w:val="6BC96A82"/>
    <w:rsid w:val="6BED4BCC"/>
    <w:rsid w:val="6BF53D38"/>
    <w:rsid w:val="6C026DF9"/>
    <w:rsid w:val="6C4B7AE2"/>
    <w:rsid w:val="6D4A46A3"/>
    <w:rsid w:val="6D756A74"/>
    <w:rsid w:val="6DAB72F0"/>
    <w:rsid w:val="6DB41281"/>
    <w:rsid w:val="6DB57D76"/>
    <w:rsid w:val="6DE51903"/>
    <w:rsid w:val="6E02713A"/>
    <w:rsid w:val="6E0D63FF"/>
    <w:rsid w:val="6FD01A68"/>
    <w:rsid w:val="6FDE4A4E"/>
    <w:rsid w:val="6FE541CD"/>
    <w:rsid w:val="6FE61007"/>
    <w:rsid w:val="6FF85789"/>
    <w:rsid w:val="70102050"/>
    <w:rsid w:val="705B2676"/>
    <w:rsid w:val="70781ECE"/>
    <w:rsid w:val="70A94169"/>
    <w:rsid w:val="70DF7DD6"/>
    <w:rsid w:val="710B7F33"/>
    <w:rsid w:val="71B2384D"/>
    <w:rsid w:val="71FB3706"/>
    <w:rsid w:val="72900B8E"/>
    <w:rsid w:val="72DD14B1"/>
    <w:rsid w:val="73310A01"/>
    <w:rsid w:val="738947BC"/>
    <w:rsid w:val="73C6739B"/>
    <w:rsid w:val="73E44C7B"/>
    <w:rsid w:val="740B3E17"/>
    <w:rsid w:val="74F130E4"/>
    <w:rsid w:val="751759EA"/>
    <w:rsid w:val="75797A94"/>
    <w:rsid w:val="76365BD4"/>
    <w:rsid w:val="76566F8A"/>
    <w:rsid w:val="765C67ED"/>
    <w:rsid w:val="76613572"/>
    <w:rsid w:val="76675C9F"/>
    <w:rsid w:val="76A03CEA"/>
    <w:rsid w:val="76AF1F21"/>
    <w:rsid w:val="76D6583E"/>
    <w:rsid w:val="7724581F"/>
    <w:rsid w:val="77527379"/>
    <w:rsid w:val="77BD03FF"/>
    <w:rsid w:val="781012E7"/>
    <w:rsid w:val="78544B97"/>
    <w:rsid w:val="787974AD"/>
    <w:rsid w:val="79950FD7"/>
    <w:rsid w:val="799821B4"/>
    <w:rsid w:val="79AD3778"/>
    <w:rsid w:val="79FE49F3"/>
    <w:rsid w:val="7A277AD0"/>
    <w:rsid w:val="7A6A633A"/>
    <w:rsid w:val="7AC27501"/>
    <w:rsid w:val="7B356A3E"/>
    <w:rsid w:val="7B6A2D86"/>
    <w:rsid w:val="7B76166F"/>
    <w:rsid w:val="7BA02AA7"/>
    <w:rsid w:val="7BFE2F5D"/>
    <w:rsid w:val="7C276BBD"/>
    <w:rsid w:val="7C5E3187"/>
    <w:rsid w:val="7CAF5699"/>
    <w:rsid w:val="7D277B40"/>
    <w:rsid w:val="7D697D16"/>
    <w:rsid w:val="7E345F13"/>
    <w:rsid w:val="7EC40C8A"/>
    <w:rsid w:val="7ECF02FC"/>
    <w:rsid w:val="7EF65D4E"/>
    <w:rsid w:val="7F3E73CD"/>
    <w:rsid w:val="7FA23334"/>
    <w:rsid w:val="7FBC64B7"/>
    <w:rsid w:val="7FC14BF5"/>
  </w:rsids>
  <m:mathPr>
    <m:lMargin m:val="0"/>
    <m:mathFont m:val="Cambria Math"/>
    <m:rMargin m:val="0"/>
    <m:wrapIndent m:val="1440"/>
    <m:brkBin m:val="before"/>
    <m:brkBinSub m:val="--"/>
    <m:defJc m:val="centerGroup"/>
    <m:intLim m:val="subSup"/>
    <m:naryLim m:val="undOvr"/>
    <m:smallFrac m:val="0"/>
    <m:dispDef/>
  </m:mathPr>
  <w:themeFontLang w:val="id-ID"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Times New Roman" w:eastAsia="宋体" w:cs="Times New Roman"/>
      <w:position w:val="-6"/>
      <w:sz w:val="32"/>
      <w:szCs w:val="22"/>
      <w:lang w:val="en-US" w:eastAsia="zh-CN" w:bidi="ar-SA"/>
    </w:rPr>
  </w:style>
  <w:style w:type="paragraph" w:styleId="4">
    <w:name w:val="heading 1"/>
    <w:basedOn w:val="1"/>
    <w:next w:val="1"/>
    <w:qFormat/>
    <w:uiPriority w:val="0"/>
    <w:pPr>
      <w:keepNext/>
      <w:keepLines/>
      <w:adjustRightInd w:val="0"/>
      <w:spacing w:before="340" w:after="330" w:line="578" w:lineRule="atLeast"/>
      <w:jc w:val="center"/>
      <w:textAlignment w:val="baseline"/>
      <w:outlineLvl w:val="0"/>
    </w:pPr>
    <w:rPr>
      <w:b/>
      <w:kern w:val="44"/>
      <w:sz w:val="44"/>
      <w:szCs w:val="20"/>
    </w:rPr>
  </w:style>
  <w:style w:type="paragraph" w:styleId="5">
    <w:name w:val="heading 2"/>
    <w:basedOn w:val="1"/>
    <w:next w:val="1"/>
    <w:qFormat/>
    <w:uiPriority w:val="0"/>
    <w:pPr>
      <w:keepNext/>
      <w:keepLines/>
      <w:adjustRightInd w:val="0"/>
      <w:spacing w:before="260" w:after="260" w:line="416" w:lineRule="atLeast"/>
      <w:jc w:val="center"/>
      <w:textAlignment w:val="baseline"/>
      <w:outlineLvl w:val="1"/>
    </w:pPr>
    <w:rPr>
      <w:rFonts w:ascii="Arial" w:hAnsi="Arial" w:eastAsia="黑体"/>
      <w:b/>
      <w:sz w:val="28"/>
      <w:szCs w:val="20"/>
    </w:rPr>
  </w:style>
  <w:style w:type="paragraph" w:styleId="6">
    <w:name w:val="heading 3"/>
    <w:basedOn w:val="1"/>
    <w:next w:val="1"/>
    <w:qFormat/>
    <w:uiPriority w:val="0"/>
    <w:pPr>
      <w:keepNext/>
      <w:keepLines/>
      <w:spacing w:before="260" w:after="260" w:line="416" w:lineRule="auto"/>
      <w:outlineLvl w:val="2"/>
    </w:pPr>
    <w:rPr>
      <w:b/>
      <w:bCs/>
      <w:szCs w:val="32"/>
    </w:rPr>
  </w:style>
  <w:style w:type="character" w:default="1" w:styleId="18">
    <w:name w:val="Default Paragraph Font"/>
    <w:link w:val="19"/>
    <w:qFormat/>
    <w:uiPriority w:val="0"/>
    <w:rPr>
      <w:rFonts w:ascii="宋体" w:hAnsi="宋体" w:cs="宋体"/>
    </w:rPr>
  </w:style>
  <w:style w:type="table" w:default="1" w:styleId="21">
    <w:name w:val="Normal Table"/>
    <w:semiHidden/>
    <w:qFormat/>
    <w:uiPriority w:val="0"/>
    <w:tblPr>
      <w:tblLayout w:type="fixed"/>
      <w:tblCellMar>
        <w:top w:w="0" w:type="dxa"/>
        <w:left w:w="108" w:type="dxa"/>
        <w:bottom w:w="0" w:type="dxa"/>
        <w:right w:w="108" w:type="dxa"/>
      </w:tblCellMar>
    </w:tblPr>
  </w:style>
  <w:style w:type="paragraph" w:styleId="2">
    <w:name w:val="Body Text First Indent 2"/>
    <w:basedOn w:val="3"/>
    <w:qFormat/>
    <w:uiPriority w:val="0"/>
    <w:pPr>
      <w:spacing w:after="120" w:line="240" w:lineRule="auto"/>
      <w:ind w:left="420" w:leftChars="200" w:firstLine="420" w:firstLineChars="200"/>
    </w:pPr>
  </w:style>
  <w:style w:type="paragraph" w:styleId="3">
    <w:name w:val="Body Text Indent"/>
    <w:basedOn w:val="1"/>
    <w:qFormat/>
    <w:uiPriority w:val="0"/>
    <w:pPr>
      <w:spacing w:line="360" w:lineRule="auto"/>
      <w:ind w:left="540" w:leftChars="257"/>
    </w:pPr>
    <w:rPr>
      <w:rFonts w:hAnsi="宋体"/>
    </w:rPr>
  </w:style>
  <w:style w:type="paragraph" w:styleId="7">
    <w:name w:val="Normal Indent"/>
    <w:basedOn w:val="1"/>
    <w:qFormat/>
    <w:uiPriority w:val="0"/>
    <w:pPr>
      <w:ind w:firstLine="420" w:firstLineChars="200"/>
    </w:pPr>
  </w:style>
  <w:style w:type="paragraph" w:styleId="8">
    <w:name w:val="Body Text"/>
    <w:basedOn w:val="1"/>
    <w:qFormat/>
    <w:uiPriority w:val="0"/>
    <w:pPr>
      <w:spacing w:after="120"/>
    </w:pPr>
  </w:style>
  <w:style w:type="paragraph" w:styleId="9">
    <w:name w:val="Date"/>
    <w:basedOn w:val="1"/>
    <w:next w:val="1"/>
    <w:uiPriority w:val="0"/>
    <w:pPr>
      <w:spacing w:line="312" w:lineRule="atLeast"/>
      <w:textAlignment w:val="baseline"/>
    </w:pPr>
    <w:rPr>
      <w:rFonts w:hint="eastAsia"/>
      <w:sz w:val="24"/>
    </w:rPr>
  </w:style>
  <w:style w:type="paragraph" w:styleId="10">
    <w:name w:val="Balloon Text"/>
    <w:basedOn w:val="1"/>
    <w:link w:val="26"/>
    <w:qFormat/>
    <w:uiPriority w:val="0"/>
    <w:rPr>
      <w:sz w:val="18"/>
      <w:szCs w:val="18"/>
    </w:rPr>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next w:val="13"/>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sz w:val="18"/>
    </w:rPr>
  </w:style>
  <w:style w:type="paragraph" w:customStyle="1" w:styleId="13">
    <w:name w:val="目录 81"/>
    <w:next w:val="1"/>
    <w:qFormat/>
    <w:uiPriority w:val="0"/>
    <w:pPr>
      <w:wordWrap w:val="0"/>
      <w:ind w:left="2550"/>
      <w:jc w:val="both"/>
    </w:pPr>
    <w:rPr>
      <w:rFonts w:ascii="Times New Roman" w:hAnsi="Times New Roman" w:eastAsia="宋体" w:cs="Times New Roman"/>
      <w:sz w:val="21"/>
      <w:szCs w:val="22"/>
      <w:lang w:val="en-US" w:eastAsia="zh-CN" w:bidi="ar-SA"/>
    </w:rPr>
  </w:style>
  <w:style w:type="paragraph" w:styleId="14">
    <w:name w:val="toc 1"/>
    <w:basedOn w:val="1"/>
    <w:next w:val="1"/>
    <w:qFormat/>
    <w:uiPriority w:val="0"/>
    <w:pPr>
      <w:tabs>
        <w:tab w:val="right" w:leader="dot" w:pos="8812"/>
      </w:tabs>
      <w:spacing w:line="360" w:lineRule="auto"/>
      <w:jc w:val="left"/>
    </w:pPr>
    <w:rPr>
      <w:bCs/>
      <w:caps/>
      <w:szCs w:val="20"/>
    </w:rPr>
  </w:style>
  <w:style w:type="paragraph" w:styleId="15">
    <w:name w:val="toc 2"/>
    <w:basedOn w:val="1"/>
    <w:next w:val="1"/>
    <w:qFormat/>
    <w:uiPriority w:val="0"/>
    <w:pPr>
      <w:ind w:left="210"/>
      <w:jc w:val="left"/>
    </w:pPr>
    <w:rPr>
      <w:smallCaps/>
      <w:sz w:val="20"/>
      <w:szCs w:val="20"/>
    </w:rPr>
  </w:style>
  <w:style w:type="paragraph" w:styleId="16">
    <w:name w:val="Normal (Web)"/>
    <w:basedOn w:val="1"/>
    <w:uiPriority w:val="0"/>
    <w:pPr>
      <w:spacing w:before="100" w:beforeAutospacing="1" w:after="100" w:afterAutospacing="1"/>
      <w:jc w:val="left"/>
    </w:pPr>
    <w:rPr>
      <w:sz w:val="24"/>
    </w:rPr>
  </w:style>
  <w:style w:type="paragraph" w:styleId="17">
    <w:name w:val="index 1"/>
    <w:basedOn w:val="1"/>
    <w:next w:val="1"/>
    <w:uiPriority w:val="0"/>
    <w:pPr>
      <w:tabs>
        <w:tab w:val="left" w:pos="567"/>
      </w:tabs>
      <w:snapToGrid w:val="0"/>
      <w:spacing w:line="360" w:lineRule="auto"/>
      <w:jc w:val="center"/>
    </w:pPr>
    <w:rPr>
      <w:rFonts w:hint="eastAsia" w:hAnsi="宋体"/>
      <w:sz w:val="24"/>
    </w:rPr>
  </w:style>
  <w:style w:type="paragraph" w:customStyle="1" w:styleId="19">
    <w:name w:val=" Char Char Char Char"/>
    <w:basedOn w:val="1"/>
    <w:link w:val="18"/>
    <w:qFormat/>
    <w:uiPriority w:val="0"/>
    <w:pPr>
      <w:spacing w:line="360" w:lineRule="auto"/>
      <w:ind w:firstLine="200" w:firstLineChars="200"/>
    </w:pPr>
    <w:rPr>
      <w:rFonts w:hAnsi="宋体" w:cs="宋体"/>
    </w:rPr>
  </w:style>
  <w:style w:type="character" w:styleId="20">
    <w:name w:val="page number"/>
    <w:uiPriority w:val="0"/>
  </w:style>
  <w:style w:type="table" w:styleId="22">
    <w:name w:val="Table Grid"/>
    <w:basedOn w:val="2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23">
    <w:name w:val="font01"/>
    <w:basedOn w:val="18"/>
    <w:uiPriority w:val="0"/>
    <w:rPr>
      <w:rFonts w:hint="eastAsia" w:ascii="宋体" w:hAnsi="宋体" w:eastAsia="宋体" w:cs="宋体"/>
      <w:color w:val="000000"/>
      <w:sz w:val="20"/>
      <w:szCs w:val="20"/>
      <w:u w:val="none"/>
    </w:rPr>
  </w:style>
  <w:style w:type="character" w:customStyle="1" w:styleId="24">
    <w:name w:val="wang正文 Char"/>
    <w:link w:val="25"/>
    <w:qFormat/>
    <w:uiPriority w:val="0"/>
    <w:rPr>
      <w:kern w:val="0"/>
    </w:rPr>
  </w:style>
  <w:style w:type="paragraph" w:customStyle="1" w:styleId="25">
    <w:name w:val="wang正文"/>
    <w:basedOn w:val="1"/>
    <w:link w:val="24"/>
    <w:qFormat/>
    <w:uiPriority w:val="0"/>
    <w:pPr>
      <w:tabs>
        <w:tab w:val="left" w:pos="6840"/>
      </w:tabs>
      <w:ind w:firstLine="420"/>
    </w:pPr>
  </w:style>
  <w:style w:type="character" w:customStyle="1" w:styleId="26">
    <w:name w:val="Teks Balon KAR"/>
    <w:link w:val="10"/>
    <w:uiPriority w:val="0"/>
    <w:rPr>
      <w:rFonts w:ascii="宋体" w:hAnsi="宋体" w:cs="宋体"/>
      <w:position w:val="-6"/>
      <w:sz w:val="18"/>
      <w:szCs w:val="18"/>
    </w:rPr>
  </w:style>
  <w:style w:type="character" w:customStyle="1" w:styleId="27">
    <w:name w:val="font51"/>
    <w:basedOn w:val="18"/>
    <w:uiPriority w:val="0"/>
    <w:rPr>
      <w:rFonts w:hint="default" w:ascii="Times New Roman" w:hAnsi="Times New Roman" w:cs="Times New Roman"/>
      <w:color w:val="000000"/>
      <w:sz w:val="20"/>
      <w:szCs w:val="20"/>
      <w:u w:val="none"/>
    </w:rPr>
  </w:style>
  <w:style w:type="character" w:customStyle="1" w:styleId="28">
    <w:name w:val="font41"/>
    <w:basedOn w:val="18"/>
    <w:uiPriority w:val="0"/>
    <w:rPr>
      <w:rFonts w:hint="default" w:ascii="Times New Roman" w:hAnsi="Times New Roman" w:cs="Times New Roman"/>
      <w:color w:val="000000"/>
      <w:sz w:val="20"/>
      <w:szCs w:val="20"/>
      <w:u w:val="none"/>
    </w:rPr>
  </w:style>
  <w:style w:type="character" w:customStyle="1" w:styleId="29">
    <w:name w:val="font11"/>
    <w:basedOn w:val="18"/>
    <w:uiPriority w:val="0"/>
    <w:rPr>
      <w:rFonts w:hint="eastAsia" w:ascii="宋体" w:hAnsi="宋体" w:eastAsia="宋体" w:cs="宋体"/>
      <w:color w:val="000000"/>
      <w:sz w:val="20"/>
      <w:szCs w:val="20"/>
      <w:u w:val="none"/>
    </w:rPr>
  </w:style>
  <w:style w:type="paragraph" w:customStyle="1" w:styleId="30">
    <w:name w:val="Normal1"/>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szCs w:val="22"/>
      <w:lang w:val="en-US" w:eastAsia="zh-CN" w:bidi="ar-SA"/>
    </w:rPr>
  </w:style>
  <w:style w:type="paragraph" w:customStyle="1" w:styleId="31">
    <w:name w:val="列出段落1"/>
    <w:basedOn w:val="1"/>
    <w:qFormat/>
    <w:uiPriority w:val="34"/>
    <w:pPr>
      <w:ind w:firstLine="420" w:firstLineChars="200"/>
    </w:pPr>
    <w:rPr>
      <w:rFonts w:ascii="Calibri" w:hAnsi="Calibri" w:cs="黑体"/>
    </w:rPr>
  </w:style>
  <w:style w:type="paragraph" w:customStyle="1" w:styleId="32">
    <w:name w:val="标题2"/>
    <w:basedOn w:val="5"/>
    <w:qFormat/>
    <w:uiPriority w:val="0"/>
    <w:pPr>
      <w:keepLines w:val="0"/>
      <w:numPr>
        <w:ilvl w:val="1"/>
        <w:numId w:val="1"/>
      </w:numPr>
      <w:tabs>
        <w:tab w:val="left" w:pos="425"/>
        <w:tab w:val="left" w:pos="635"/>
      </w:tabs>
      <w:spacing w:before="0" w:after="0" w:line="360" w:lineRule="auto"/>
      <w:jc w:val="both"/>
    </w:pPr>
    <w:rPr>
      <w:rFonts w:ascii="Times New Roman" w:hAnsi="Times New Roman" w:eastAsia="宋体"/>
      <w:b w:val="0"/>
      <w:sz w:val="24"/>
    </w:rPr>
  </w:style>
  <w:style w:type="paragraph" w:customStyle="1" w:styleId="33">
    <w:name w:val="标题 11"/>
    <w:basedOn w:val="1"/>
    <w:next w:val="1"/>
    <w:qFormat/>
    <w:uiPriority w:val="0"/>
    <w:pPr>
      <w:keepNext/>
      <w:keepLines/>
      <w:tabs>
        <w:tab w:val="left" w:pos="480"/>
        <w:tab w:val="left" w:pos="850"/>
      </w:tabs>
      <w:autoSpaceDE w:val="0"/>
      <w:autoSpaceDN w:val="0"/>
      <w:spacing w:before="240" w:after="240" w:line="240" w:lineRule="atLeast"/>
      <w:ind w:left="850" w:hanging="425"/>
      <w:jc w:val="left"/>
      <w:textAlignment w:val="baseline"/>
      <w:outlineLvl w:val="0"/>
    </w:pPr>
    <w:rPr>
      <w:rFonts w:ascii="Arial" w:hAnsi="Arial"/>
      <w:b/>
      <w:kern w:val="44"/>
      <w:sz w:val="28"/>
    </w:rPr>
  </w:style>
  <w:style w:type="paragraph" w:customStyle="1" w:styleId="34">
    <w:name w:val="正文1"/>
    <w:basedOn w:val="1"/>
    <w:uiPriority w:val="0"/>
    <w:pPr>
      <w:spacing w:line="50" w:lineRule="atLeast"/>
      <w:jc w:val="left"/>
      <w:textAlignment w:val="baseline"/>
    </w:pPr>
    <w:rPr>
      <w:rFonts w:hint="eastAsia"/>
      <w:sz w:val="24"/>
    </w:rPr>
  </w:style>
  <w:style w:type="paragraph" w:customStyle="1" w:styleId="35">
    <w:name w:val="Char"/>
    <w:basedOn w:val="1"/>
    <w:qFormat/>
    <w:uiPriority w:val="0"/>
  </w:style>
  <w:style w:type="paragraph" w:customStyle="1" w:styleId="36">
    <w:name w:val="CENTER 1"/>
    <w:basedOn w:val="1"/>
    <w:qFormat/>
    <w:uiPriority w:val="0"/>
    <w:pPr>
      <w:keepNext/>
      <w:widowControl/>
      <w:overflowPunct w:val="0"/>
      <w:autoSpaceDE w:val="0"/>
      <w:autoSpaceDN w:val="0"/>
      <w:spacing w:after="240"/>
      <w:jc w:val="center"/>
    </w:pPr>
    <w:rPr>
      <w:caps/>
    </w:rPr>
  </w:style>
  <w:style w:type="paragraph" w:customStyle="1" w:styleId="37">
    <w:name w:val="List Paragraph"/>
    <w:basedOn w:val="1"/>
    <w:qFormat/>
    <w:uiPriority w:val="34"/>
    <w:pPr>
      <w:ind w:firstLine="420" w:firstLineChars="200"/>
    </w:pPr>
  </w:style>
  <w:style w:type="paragraph" w:customStyle="1" w:styleId="38">
    <w:name w:val="样式1"/>
    <w:basedOn w:val="1"/>
    <w:qFormat/>
    <w:uiPriority w:val="0"/>
    <w:pPr>
      <w:adjustRightInd w:val="0"/>
      <w:spacing w:line="420" w:lineRule="auto"/>
      <w:jc w:val="center"/>
      <w:textAlignment w:val="baseline"/>
    </w:pPr>
    <w:rPr>
      <w:sz w:val="24"/>
      <w:szCs w:val="20"/>
    </w:rPr>
  </w:style>
  <w:style w:type="paragraph" w:customStyle="1" w:styleId="39">
    <w:name w:val="Table Paragraph"/>
    <w:basedOn w:val="1"/>
    <w:unhideWhenUsed/>
    <w:qFormat/>
    <w:uiPriority w:val="1"/>
    <w:rPr>
      <w:sz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1037</Words>
  <Characters>2756</Characters>
  <Lines>22</Lines>
  <Paragraphs>7</Paragraphs>
  <ScaleCrop>false</ScaleCrop>
  <LinksUpToDate>false</LinksUpToDate>
  <CharactersWithSpaces>3786</CharactersWithSpaces>
  <Application>WPS Office_10.8.0.5800_F1E327BC-269C-435d-A152-05C5408002CA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2025-07-18T09:38:00Z</dcterms:created>
  <dc:creator>linli</dc:creator>
  <cp:lastModifiedBy>yzj</cp:lastModifiedBy>
  <dcterms:modified xsi:type="dcterms:W3CDTF">2025-07-19T00:50:59Z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2052-10.8.0.5800</vt:lpwstr>
  </property>
  <property fmtid="{D5CDD505-2E9C-101B-9397-08002B2CF9AE}" pid="3" name="ICV">
    <vt:lpwstr>75A00B49967F4BD29B242B096526C05D_13</vt:lpwstr>
  </property>
</Properties>
</file>