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imes New Roman" w:hAnsi="Times New Roman" w:cs="Times New Roman" w:eastAsiaTheme="minorEastAsia"/>
          <w:b/>
          <w:bCs/>
          <w:sz w:val="32"/>
          <w:szCs w:val="32"/>
          <w:highlight w:val="none"/>
          <w:lang w:val="en-US" w:eastAsia="zh-CN"/>
        </w:rPr>
      </w:pPr>
      <w:bookmarkStart w:id="0" w:name="OLE_LINK1"/>
      <w:r>
        <w:rPr>
          <w:rFonts w:hint="default" w:ascii="Times New Roman" w:hAnsi="Times New Roman" w:cs="Times New Roman"/>
          <w:b/>
          <w:bCs/>
          <w:sz w:val="32"/>
          <w:szCs w:val="32"/>
          <w:highlight w:val="none"/>
        </w:rPr>
        <w:t>#2锅炉高温再热器管道235吊点加固</w:t>
      </w:r>
      <w:r>
        <w:rPr>
          <w:rFonts w:hint="eastAsia" w:ascii="Times New Roman" w:hAnsi="Times New Roman" w:cs="Times New Roman"/>
          <w:b/>
          <w:bCs/>
          <w:sz w:val="32"/>
          <w:szCs w:val="32"/>
          <w:highlight w:val="none"/>
          <w:lang w:val="en-US" w:eastAsia="zh-CN"/>
        </w:rPr>
        <w:t>服务</w:t>
      </w:r>
    </w:p>
    <w:p>
      <w:pPr>
        <w:jc w:val="center"/>
        <w:rPr>
          <w:rFonts w:ascii="Times New Roman" w:hAnsi="Times New Roman" w:cs="Times New Roman"/>
          <w:b/>
          <w:bCs/>
          <w:sz w:val="32"/>
          <w:szCs w:val="32"/>
        </w:rPr>
      </w:pPr>
      <w:r>
        <w:rPr>
          <w:rFonts w:hint="default" w:ascii="Times New Roman" w:hAnsi="Times New Roman" w:cs="Times New Roman"/>
          <w:b/>
          <w:bCs/>
          <w:sz w:val="32"/>
          <w:szCs w:val="32"/>
          <w:highlight w:val="none"/>
        </w:rPr>
        <w:t>采购</w:t>
      </w:r>
      <w:r>
        <w:rPr>
          <w:rFonts w:ascii="Times New Roman" w:hAnsi="Times New Roman" w:cs="Times New Roman"/>
          <w:b/>
          <w:bCs/>
          <w:sz w:val="32"/>
          <w:szCs w:val="32"/>
          <w:highlight w:val="none"/>
        </w:rPr>
        <w:t>文件</w:t>
      </w:r>
      <w:bookmarkEnd w:id="0"/>
    </w:p>
    <w:p>
      <w:pPr>
        <w:adjustRightInd w:val="0"/>
        <w:snapToGrid w:val="0"/>
        <w:spacing w:line="360" w:lineRule="auto"/>
        <w:jc w:val="both"/>
        <w:rPr>
          <w:rFonts w:hint="eastAsia" w:ascii="Times New Roman" w:hAnsi="Times New Roman" w:cs="Times New Roman"/>
          <w:b/>
          <w:bCs/>
          <w:sz w:val="32"/>
          <w:szCs w:val="32"/>
        </w:rPr>
      </w:pPr>
      <w:r>
        <w:rPr>
          <w:rFonts w:hint="eastAsia" w:ascii="Times New Roman" w:hAnsi="Times New Roman" w:cs="Times New Roman"/>
          <w:b/>
          <w:bCs/>
          <w:sz w:val="32"/>
          <w:szCs w:val="32"/>
        </w:rPr>
        <w:t>#2 Boiler High-Temperature Reheater Piping 235 Lifting Point Reinforcement Service Procurement Documents</w:t>
      </w:r>
    </w:p>
    <w:p>
      <w:pPr>
        <w:adjustRightInd w:val="0"/>
        <w:snapToGrid w:val="0"/>
        <w:spacing w:line="360" w:lineRule="auto"/>
        <w:jc w:val="both"/>
        <w:rPr>
          <w:rFonts w:ascii="Times New Roman" w:hAnsi="Times New Roman" w:cs="Times New Roman"/>
          <w:sz w:val="28"/>
          <w:szCs w:val="28"/>
        </w:rPr>
      </w:pPr>
      <w:r>
        <w:rPr>
          <w:rFonts w:ascii="Times New Roman" w:hAnsi="Times New Roman" w:cs="Times New Roman"/>
          <w:sz w:val="28"/>
          <w:szCs w:val="28"/>
        </w:rPr>
        <w:t>一、</w:t>
      </w:r>
      <w:r>
        <w:rPr>
          <w:rFonts w:ascii="Times New Roman" w:hAnsi="Times New Roman" w:cs="Times New Roman"/>
          <w:sz w:val="24"/>
        </w:rPr>
        <w:t>资格条件</w:t>
      </w:r>
      <w:r>
        <w:rPr>
          <w:rFonts w:ascii="Times New Roman" w:hAnsi="Times New Roman" w:cs="Times New Roman"/>
          <w:sz w:val="28"/>
          <w:szCs w:val="28"/>
        </w:rPr>
        <w:t>Kualifikasi：</w:t>
      </w:r>
    </w:p>
    <w:p>
      <w:pPr>
        <w:adjustRightInd w:val="0"/>
        <w:snapToGrid w:val="0"/>
        <w:spacing w:line="360" w:lineRule="auto"/>
        <w:ind w:firstLine="480" w:firstLineChars="200"/>
        <w:jc w:val="both"/>
        <w:rPr>
          <w:rFonts w:ascii="Times New Roman" w:hAnsi="Times New Roman" w:cs="Times New Roman"/>
          <w:sz w:val="24"/>
        </w:rPr>
      </w:pPr>
      <w:r>
        <w:rPr>
          <w:rFonts w:hint="default" w:ascii="Times New Roman" w:hAnsi="Times New Roman" w:cs="Times New Roman"/>
          <w:sz w:val="24"/>
        </w:rPr>
        <w:t>1.</w:t>
      </w:r>
      <w:r>
        <w:rPr>
          <w:rFonts w:ascii="Times New Roman" w:hAnsi="Times New Roman" w:cs="Times New Roman"/>
          <w:sz w:val="24"/>
        </w:rPr>
        <w:t>报价人为印度尼西亚注册公司, 具有独立的法人资格，持有有效营业执照，能够独立承担民事责任，具有独立订立合同的权利。</w:t>
      </w:r>
    </w:p>
    <w:p>
      <w:pPr>
        <w:pStyle w:val="3"/>
        <w:ind w:firstLine="480"/>
        <w:rPr>
          <w:rFonts w:ascii="Times New Roman" w:hAnsi="Times New Roman" w:cs="Times New Roman"/>
          <w:sz w:val="24"/>
        </w:rPr>
      </w:pPr>
      <w:r>
        <w:rPr>
          <w:rFonts w:ascii="Times New Roman" w:hAnsi="Times New Roman" w:cs="Times New Roman"/>
          <w:sz w:val="24"/>
        </w:rPr>
        <w:t>Penawar adalah perusahaan terdaftar di Indonesia, memiliki badan hukum independen, memiliki izin usaha yang sah, dapat menanggung tanggung jawab perdata secara mandiri, dan dapat menandatangani kontrak secara mandiri</w:t>
      </w:r>
    </w:p>
    <w:p>
      <w:pPr>
        <w:pStyle w:val="3"/>
        <w:numPr>
          <w:ilvl w:val="0"/>
          <w:numId w:val="3"/>
        </w:numPr>
        <w:ind w:firstLine="48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具有机电安装工程专业承包资质。</w:t>
      </w:r>
    </w:p>
    <w:p>
      <w:pPr>
        <w:pStyle w:val="3"/>
        <w:numPr>
          <w:numId w:val="0"/>
        </w:numPr>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Memiliki kualifikasi kontrak profesional untuk teknik instalasi elektromekanis.</w:t>
      </w:r>
    </w:p>
    <w:p>
      <w:pPr>
        <w:numPr>
          <w:ilvl w:val="0"/>
          <w:numId w:val="4"/>
        </w:numPr>
        <w:adjustRightInd w:val="0"/>
        <w:snapToGrid w:val="0"/>
        <w:spacing w:line="360" w:lineRule="auto"/>
        <w:jc w:val="both"/>
        <w:rPr>
          <w:rFonts w:ascii="Times New Roman" w:hAnsi="Times New Roman" w:cs="Times New Roman"/>
          <w:sz w:val="24"/>
        </w:rPr>
      </w:pPr>
      <w:r>
        <w:rPr>
          <w:rFonts w:ascii="Times New Roman" w:hAnsi="Times New Roman" w:cs="Times New Roman"/>
          <w:sz w:val="24"/>
        </w:rPr>
        <w:t>服务范围及</w:t>
      </w:r>
      <w:r>
        <w:rPr>
          <w:rFonts w:hint="default" w:ascii="Times New Roman" w:hAnsi="Times New Roman" w:cs="Times New Roman"/>
          <w:sz w:val="24"/>
        </w:rPr>
        <w:t>工作</w:t>
      </w:r>
      <w:r>
        <w:rPr>
          <w:rFonts w:ascii="Times New Roman" w:hAnsi="Times New Roman" w:cs="Times New Roman"/>
          <w:sz w:val="24"/>
        </w:rPr>
        <w:t>要求Cakupan layanan dan persyaratan</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1.服务范围 Ruang Lingkup</w:t>
      </w:r>
    </w:p>
    <w:p>
      <w:pPr>
        <w:adjustRightInd w:val="0"/>
        <w:snapToGrid w:val="0"/>
        <w:spacing w:line="360" w:lineRule="auto"/>
        <w:jc w:val="both"/>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详见技术规范书</w:t>
      </w:r>
      <w:bookmarkStart w:id="12" w:name="_GoBack"/>
      <w:bookmarkEnd w:id="12"/>
    </w:p>
    <w:p>
      <w:pPr>
        <w:adjustRightInd w:val="0"/>
        <w:snapToGrid w:val="0"/>
        <w:spacing w:line="360" w:lineRule="auto"/>
        <w:jc w:val="both"/>
        <w:rPr>
          <w:rFonts w:hint="eastAsia" w:ascii="Times New Roman" w:hAnsi="Times New Roman" w:cs="Times New Roman"/>
          <w:sz w:val="24"/>
        </w:rPr>
      </w:pPr>
      <w:r>
        <w:rPr>
          <w:rFonts w:hint="eastAsia" w:ascii="Times New Roman" w:hAnsi="Times New Roman" w:cs="Times New Roman"/>
          <w:sz w:val="24"/>
        </w:rPr>
        <w:t>Lihat spesifikasi teknis untuk rinciannya.</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2.服务地点 Lokasi</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印度尼西亚南苏门答腊省穆印县华电（印尼）玻雅发电公司。</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PT Huadian Bukit Asam Power,Muara Enim Sumatera Selatan Indonesia .</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3.服务期限 Periode</w:t>
      </w:r>
      <w:r>
        <w:rPr>
          <w:rFonts w:hint="default" w:ascii="Times New Roman" w:hAnsi="Times New Roman" w:cs="Times New Roman"/>
          <w:sz w:val="24"/>
        </w:rPr>
        <w:tab/>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具体起始日期以采购方通知的日期为准。</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highlight w:val="none"/>
        </w:rPr>
        <w:t>服务时间：自开工之日起</w:t>
      </w:r>
      <w:r>
        <w:rPr>
          <w:rFonts w:hint="eastAsia" w:ascii="Times New Roman" w:hAnsi="Times New Roman" w:cs="Times New Roman"/>
          <w:sz w:val="24"/>
          <w:highlight w:val="none"/>
          <w:lang w:val="en-US" w:eastAsia="zh-CN"/>
        </w:rPr>
        <w:t>40</w:t>
      </w:r>
      <w:r>
        <w:rPr>
          <w:rFonts w:hint="default" w:ascii="Times New Roman" w:hAnsi="Times New Roman" w:cs="Times New Roman"/>
          <w:sz w:val="24"/>
          <w:highlight w:val="none"/>
        </w:rPr>
        <w:t>天内完成各项工作并通过质量验收。</w:t>
      </w:r>
    </w:p>
    <w:p>
      <w:pPr>
        <w:adjustRightInd w:val="0"/>
        <w:snapToGrid w:val="0"/>
        <w:spacing w:line="360" w:lineRule="auto"/>
        <w:jc w:val="both"/>
        <w:rPr>
          <w:rFonts w:ascii="Times New Roman" w:hAnsi="Times New Roman" w:cs="Times New Roman"/>
          <w:sz w:val="24"/>
        </w:rPr>
      </w:pPr>
      <w:r>
        <w:rPr>
          <w:rFonts w:ascii="Times New Roman" w:hAnsi="Times New Roman" w:cs="Times New Roman"/>
          <w:sz w:val="24"/>
        </w:rPr>
        <w:t xml:space="preserve">Masa pelaksanaan: Seluruh pekerjaan harus diselesaikan dan lulus pemeriksaan kualitas dalam waktu </w:t>
      </w:r>
      <w:r>
        <w:rPr>
          <w:rFonts w:hint="eastAsia" w:ascii="Times New Roman" w:hAnsi="Times New Roman" w:cs="Times New Roman"/>
          <w:sz w:val="24"/>
          <w:lang w:val="en-US" w:eastAsia="zh-CN"/>
        </w:rPr>
        <w:t>40</w:t>
      </w:r>
      <w:r>
        <w:rPr>
          <w:rFonts w:ascii="Times New Roman" w:hAnsi="Times New Roman" w:cs="Times New Roman"/>
          <w:sz w:val="24"/>
        </w:rPr>
        <w:t xml:space="preserve"> hari sejak tanggal dimulainya pekerjaan.</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具体工作内容及要求</w:t>
      </w:r>
      <w:r>
        <w:rPr>
          <w:rFonts w:ascii="Times New Roman" w:hAnsi="Times New Roman" w:cs="Times New Roman"/>
          <w:sz w:val="24"/>
        </w:rPr>
        <w:t xml:space="preserve">详见技术规范书 </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Silakan merujuk ke spesifikasi teknis untuk persyaratan spesifik.</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三、其他要求Persyaratan Lain：</w:t>
      </w:r>
    </w:p>
    <w:p>
      <w:pPr>
        <w:numPr>
          <w:ilvl w:val="255"/>
          <w:numId w:val="0"/>
        </w:numPr>
        <w:adjustRightInd w:val="0"/>
        <w:snapToGrid w:val="0"/>
        <w:spacing w:line="360" w:lineRule="auto"/>
        <w:ind w:left="284" w:hanging="284" w:firstLineChars="0"/>
        <w:jc w:val="both"/>
        <w:rPr>
          <w:rFonts w:hint="default" w:ascii="Times New Roman" w:hAnsi="Times New Roman" w:cs="Times New Roman" w:eastAsiaTheme="minorEastAsia"/>
          <w:sz w:val="24"/>
          <w:highlight w:val="yellow"/>
          <w:lang w:val="en-US" w:eastAsia="zh-CN"/>
        </w:rPr>
      </w:pPr>
      <w:r>
        <w:rPr>
          <w:rFonts w:hint="default" w:ascii="Times New Roman" w:hAnsi="Times New Roman" w:cs="Times New Roman"/>
          <w:sz w:val="24"/>
          <w:highlight w:val="none"/>
        </w:rPr>
        <w:t>1、报价要求：报价要求：分别报出单价，以及总价格， 总价包括但不限于与执行本合同有关的所有费用，如人工费，材料费，其他费用，管理费、利润、税金及其它可能发生的各种风险费用。</w:t>
      </w:r>
      <w:r>
        <w:rPr>
          <w:rFonts w:hint="eastAsia" w:ascii="Times New Roman" w:hAnsi="Times New Roman" w:cs="Times New Roman"/>
          <w:sz w:val="24"/>
          <w:highlight w:val="none"/>
          <w:lang w:val="en-US" w:eastAsia="zh-CN"/>
        </w:rPr>
        <w:t>代扣代缴谁由采购方负责缴纳。</w:t>
      </w:r>
    </w:p>
    <w:p>
      <w:pPr>
        <w:numPr>
          <w:ilvl w:val="255"/>
          <w:numId w:val="0"/>
        </w:numPr>
        <w:adjustRightInd w:val="0"/>
        <w:snapToGrid w:val="0"/>
        <w:spacing w:line="360" w:lineRule="auto"/>
        <w:ind w:left="284" w:hanging="284"/>
        <w:jc w:val="both"/>
        <w:rPr>
          <w:rFonts w:ascii="Times New Roman" w:hAnsi="Times New Roman" w:cs="Times New Roman"/>
          <w:sz w:val="24"/>
        </w:rPr>
      </w:pPr>
      <w:r>
        <w:rPr>
          <w:rFonts w:hint="default" w:ascii="Times New Roman" w:hAnsi="Times New Roman" w:cs="Times New Roman"/>
          <w:sz w:val="24"/>
        </w:rPr>
        <w:t xml:space="preserve">1、Persyaratan Penawaran: </w:t>
      </w:r>
      <w:r>
        <w:rPr>
          <w:rFonts w:ascii="Times New Roman" w:hAnsi="Times New Roman" w:cs="Times New Roman"/>
          <w:sz w:val="24"/>
        </w:rPr>
        <w:t>Penawaran harus disediakan secara terpisah untuk harga satuan dan harga total. Harga total harus mencakup, namun tidak terbatas pada, semua biaya yang terkait dengan pelaksanaan Kontrak ini, seperti biaya tenaga kerja, biaya bahan, biaya lain-lain, biaya manajemen, keuntungan, pajak), dan biaya risiko lainnya yang mungkin timbul.</w:t>
      </w:r>
      <w:r>
        <w:rPr>
          <w:rFonts w:hint="eastAsia" w:ascii="Times New Roman" w:hAnsi="Times New Roman" w:cs="Times New Roman"/>
          <w:sz w:val="24"/>
        </w:rPr>
        <w:t>Pihak pembeli bertanggung jawab untuk memotong dan membayar pajak atas nama pembeli.</w:t>
      </w:r>
    </w:p>
    <w:p>
      <w:pPr>
        <w:numPr>
          <w:ilvl w:val="255"/>
          <w:numId w:val="0"/>
        </w:numPr>
        <w:adjustRightInd w:val="0"/>
        <w:snapToGrid w:val="0"/>
        <w:spacing w:line="360" w:lineRule="auto"/>
        <w:ind w:left="284" w:hanging="284"/>
        <w:jc w:val="both"/>
        <w:rPr>
          <w:rFonts w:hint="default" w:ascii="Times New Roman" w:hAnsi="Times New Roman" w:cs="Times New Roman"/>
          <w:sz w:val="24"/>
          <w:highlight w:val="none"/>
        </w:rPr>
      </w:pPr>
      <w:r>
        <w:rPr>
          <w:rFonts w:hint="default" w:ascii="Times New Roman" w:hAnsi="Times New Roman" w:cs="Times New Roman"/>
          <w:sz w:val="24"/>
          <w:highlight w:val="none"/>
        </w:rPr>
        <w:t>2、本合同为固定总价合同，服务方</w:t>
      </w:r>
      <w:r>
        <w:rPr>
          <w:rFonts w:hint="eastAsia" w:ascii="Times New Roman" w:hAnsi="Times New Roman" w:cs="Times New Roman"/>
          <w:sz w:val="24"/>
          <w:highlight w:val="none"/>
          <w:lang w:val="en-US" w:eastAsia="zh-CN"/>
        </w:rPr>
        <w:t>分别报出单价及总价</w:t>
      </w:r>
      <w:r>
        <w:rPr>
          <w:rFonts w:hint="default" w:ascii="Times New Roman" w:hAnsi="Times New Roman" w:cs="Times New Roman"/>
          <w:sz w:val="24"/>
          <w:highlight w:val="none"/>
        </w:rPr>
        <w:t>，如有遗漏则视为在投标人所报的总价中已经包含。如遇国家税率调整，不含税总价保持不变，所有税项及印花税票在本合同按照适用税率的规定执行。</w:t>
      </w:r>
    </w:p>
    <w:p>
      <w:pPr>
        <w:numPr>
          <w:ilvl w:val="255"/>
          <w:numId w:val="0"/>
        </w:numPr>
        <w:adjustRightInd w:val="0"/>
        <w:snapToGrid w:val="0"/>
        <w:spacing w:line="360" w:lineRule="auto"/>
        <w:ind w:left="284" w:hanging="284"/>
        <w:jc w:val="both"/>
        <w:rPr>
          <w:rFonts w:ascii="Times New Roman" w:hAnsi="Times New Roman" w:cs="Times New Roman"/>
          <w:sz w:val="24"/>
        </w:rPr>
      </w:pPr>
      <w:r>
        <w:rPr>
          <w:rFonts w:ascii="Times New Roman" w:hAnsi="Times New Roman" w:cs="Times New Roman"/>
          <w:sz w:val="24"/>
        </w:rPr>
        <w:t>2、</w:t>
      </w:r>
      <w:r>
        <w:rPr>
          <w:rFonts w:hint="eastAsia" w:ascii="Times New Roman" w:hAnsi="Times New Roman" w:cs="Times New Roman"/>
          <w:sz w:val="24"/>
        </w:rPr>
        <w:t>Kontrak ini adalah kontrak harga tetap.</w:t>
      </w:r>
      <w:r>
        <w:rPr>
          <w:rFonts w:ascii="Times New Roman" w:hAnsi="Times New Roman" w:cs="Times New Roman"/>
          <w:sz w:val="24"/>
        </w:rPr>
        <w:t xml:space="preserve">. Penyedia Jasa wajib menyerahkan penawaran terperinci sesuai dengan jadwal layanan; setiap kelalaian akan dianggap termasuk dalam harga total yang ditawarkan oleh penawar. Jika tarif pajak nasional diubah, harga total tanpa pajak tetap tidak berubah. Semua pajak dan bea materai akan dilaksanakan sesuai dengan tarif yang berlaku sebagaimana diatur dalam Perjanjian ini. </w:t>
      </w:r>
    </w:p>
    <w:p>
      <w:pPr>
        <w:adjustRightInd w:val="0"/>
        <w:snapToGrid w:val="0"/>
        <w:spacing w:line="360" w:lineRule="auto"/>
        <w:ind w:left="284" w:hanging="284"/>
        <w:jc w:val="both"/>
        <w:rPr>
          <w:rFonts w:hint="default" w:ascii="Times New Roman" w:hAnsi="Times New Roman" w:cs="Times New Roman" w:eastAsiaTheme="minorEastAsia"/>
          <w:sz w:val="24"/>
          <w:lang w:val="en-US" w:eastAsia="zh-CN"/>
        </w:rPr>
      </w:pPr>
      <w:r>
        <w:rPr>
          <w:rFonts w:hint="default" w:ascii="Times New Roman" w:hAnsi="Times New Roman" w:cs="Times New Roman"/>
          <w:sz w:val="24"/>
        </w:rPr>
        <w:t>3. 付款方式：甲、乙双方验收签字确认后，甲方在收到乙方正确、合法合规发票等资料后30天内支付全额货款的</w:t>
      </w:r>
      <w:r>
        <w:rPr>
          <w:rFonts w:hint="eastAsia" w:ascii="Times New Roman" w:hAnsi="Times New Roman" w:cs="Times New Roman"/>
          <w:sz w:val="24"/>
          <w:lang w:val="en-US" w:eastAsia="zh-CN"/>
        </w:rPr>
        <w:t>97</w:t>
      </w:r>
      <w:r>
        <w:rPr>
          <w:rFonts w:hint="default" w:ascii="Times New Roman" w:hAnsi="Times New Roman" w:cs="Times New Roman"/>
          <w:sz w:val="24"/>
        </w:rPr>
        <w:t>%。</w:t>
      </w:r>
      <w:r>
        <w:rPr>
          <w:rFonts w:hint="eastAsia" w:ascii="Times New Roman" w:hAnsi="Times New Roman" w:cs="Times New Roman"/>
          <w:sz w:val="24"/>
          <w:lang w:val="en-US" w:eastAsia="zh-CN"/>
        </w:rPr>
        <w:t>剩余3%为质保金，质保期一年。</w:t>
      </w:r>
    </w:p>
    <w:p>
      <w:pPr>
        <w:adjustRightInd w:val="0"/>
        <w:snapToGrid w:val="0"/>
        <w:spacing w:line="360" w:lineRule="auto"/>
        <w:ind w:left="426" w:hanging="426"/>
        <w:jc w:val="both"/>
        <w:rPr>
          <w:rFonts w:ascii="Times New Roman" w:hAnsi="Times New Roman" w:cs="Times New Roman"/>
          <w:sz w:val="24"/>
        </w:rPr>
      </w:pPr>
      <w:r>
        <w:rPr>
          <w:rFonts w:hint="default" w:ascii="Times New Roman" w:hAnsi="Times New Roman" w:cs="Times New Roman"/>
          <w:sz w:val="24"/>
        </w:rPr>
        <w:t xml:space="preserve"> 3、Metode pembayaran: Setelah kedua belah pihak menandatangani dan mengonfirmasi penerimaan, Pihak A harus membayar 97% dari jumlah penuh dalam waktu 30 hari sejak menerima faktur dan dokumen lain yang benar, sah, dan sesuai dari Pihak B. Sisanya sebesar 3% akan menjadi deposit garansi, dengan masa garansi satu tahun</w:t>
      </w:r>
      <w:r>
        <w:rPr>
          <w:rFonts w:ascii="Times New Roman" w:hAnsi="Times New Roman" w:cs="Times New Roman"/>
          <w:sz w:val="24"/>
        </w:rPr>
        <w:t>.</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 xml:space="preserve"> 4.评审方式：经评审的最低价法。</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 xml:space="preserve"> 4、Metode evaluasi: metode harga terendah setelah evaluasi.</w:t>
      </w:r>
    </w:p>
    <w:p>
      <w:pPr>
        <w:adjustRightInd w:val="0"/>
        <w:snapToGrid w:val="0"/>
        <w:spacing w:line="360" w:lineRule="auto"/>
        <w:jc w:val="both"/>
        <w:rPr>
          <w:rFonts w:ascii="Times New Roman" w:hAnsi="Times New Roman" w:cs="Times New Roman"/>
          <w:sz w:val="24"/>
          <w:highlight w:val="none"/>
        </w:rPr>
      </w:pPr>
      <w:r>
        <w:rPr>
          <w:rFonts w:hint="default" w:ascii="Times New Roman" w:hAnsi="Times New Roman" w:cs="Times New Roman"/>
          <w:sz w:val="24"/>
          <w:highlight w:val="none"/>
        </w:rPr>
        <w:t xml:space="preserve"> 5. 报价截止时间2025年1</w:t>
      </w:r>
      <w:r>
        <w:rPr>
          <w:rFonts w:hint="eastAsia" w:ascii="Times New Roman" w:hAnsi="Times New Roman" w:cs="Times New Roman"/>
          <w:sz w:val="24"/>
          <w:highlight w:val="none"/>
          <w:lang w:val="en-US" w:eastAsia="zh-CN"/>
        </w:rPr>
        <w:t>1</w:t>
      </w:r>
      <w:r>
        <w:rPr>
          <w:rFonts w:hint="default" w:ascii="Times New Roman" w:hAnsi="Times New Roman" w:cs="Times New Roman"/>
          <w:sz w:val="24"/>
          <w:highlight w:val="none"/>
        </w:rPr>
        <w:t>月</w:t>
      </w:r>
      <w:r>
        <w:rPr>
          <w:rFonts w:hint="eastAsia" w:ascii="Times New Roman" w:hAnsi="Times New Roman" w:cs="Times New Roman"/>
          <w:sz w:val="24"/>
          <w:highlight w:val="none"/>
          <w:lang w:val="en-US" w:eastAsia="zh-CN"/>
        </w:rPr>
        <w:t>15</w:t>
      </w:r>
      <w:r>
        <w:rPr>
          <w:rFonts w:hint="default" w:ascii="Times New Roman" w:hAnsi="Times New Roman" w:cs="Times New Roman"/>
          <w:sz w:val="24"/>
          <w:highlight w:val="none"/>
        </w:rPr>
        <w:t>日雅加达时间1</w:t>
      </w:r>
      <w:r>
        <w:rPr>
          <w:rFonts w:hint="eastAsia" w:ascii="Times New Roman" w:hAnsi="Times New Roman" w:cs="Times New Roman"/>
          <w:sz w:val="24"/>
          <w:highlight w:val="none"/>
          <w:lang w:val="en-US" w:eastAsia="zh-CN"/>
        </w:rPr>
        <w:t>7</w:t>
      </w:r>
      <w:r>
        <w:rPr>
          <w:rFonts w:hint="default" w:ascii="Times New Roman" w:hAnsi="Times New Roman" w:cs="Times New Roman"/>
          <w:sz w:val="24"/>
          <w:highlight w:val="none"/>
        </w:rPr>
        <w:t>:00前。</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 xml:space="preserve"> 5、Penawaran jatuh tempo pada tanggal </w:t>
      </w:r>
      <w:r>
        <w:rPr>
          <w:rFonts w:hint="eastAsia" w:ascii="Times New Roman" w:hAnsi="Times New Roman" w:cs="Times New Roman"/>
          <w:sz w:val="24"/>
          <w:lang w:val="en-US" w:eastAsia="zh-CN"/>
        </w:rPr>
        <w:t>15</w:t>
      </w:r>
      <w:r>
        <w:rPr>
          <w:rFonts w:ascii="Times New Roman" w:hAnsi="Times New Roman" w:cs="Times New Roman"/>
          <w:sz w:val="24"/>
        </w:rPr>
        <w:t xml:space="preserve"> </w:t>
      </w:r>
      <w:r>
        <w:rPr>
          <w:rFonts w:hint="eastAsia" w:ascii="Times New Roman" w:hAnsi="Times New Roman" w:cs="Times New Roman"/>
          <w:sz w:val="24"/>
        </w:rPr>
        <w:t>November</w:t>
      </w:r>
      <w:r>
        <w:rPr>
          <w:rFonts w:hint="default" w:ascii="Times New Roman" w:hAnsi="Times New Roman" w:cs="Times New Roman"/>
          <w:sz w:val="24"/>
        </w:rPr>
        <w:t xml:space="preserve"> 2025 </w:t>
      </w:r>
      <w:r>
        <w:rPr>
          <w:rFonts w:ascii="Times New Roman" w:hAnsi="Times New Roman" w:cs="Times New Roman"/>
          <w:sz w:val="24"/>
        </w:rPr>
        <w:t xml:space="preserve">sebelum </w:t>
      </w:r>
      <w:r>
        <w:rPr>
          <w:rFonts w:hint="default" w:ascii="Times New Roman" w:hAnsi="Times New Roman" w:cs="Times New Roman"/>
          <w:sz w:val="24"/>
        </w:rPr>
        <w:t>pukul 1</w:t>
      </w:r>
      <w:r>
        <w:rPr>
          <w:rFonts w:hint="eastAsia" w:ascii="Times New Roman" w:hAnsi="Times New Roman" w:cs="Times New Roman"/>
          <w:sz w:val="24"/>
          <w:lang w:val="en-US" w:eastAsia="zh-CN"/>
        </w:rPr>
        <w:t>7</w:t>
      </w:r>
      <w:r>
        <w:rPr>
          <w:rFonts w:hint="default" w:ascii="Times New Roman" w:hAnsi="Times New Roman" w:cs="Times New Roman"/>
          <w:sz w:val="24"/>
        </w:rPr>
        <w:t>:00 waktu Jakarta.</w:t>
      </w:r>
    </w:p>
    <w:p>
      <w:pPr>
        <w:numPr>
          <w:ilvl w:val="255"/>
          <w:numId w:val="0"/>
        </w:numPr>
        <w:adjustRightInd w:val="0"/>
        <w:snapToGrid w:val="0"/>
        <w:spacing w:line="360" w:lineRule="auto"/>
        <w:rPr>
          <w:rFonts w:ascii="Times New Roman" w:hAnsi="Times New Roman" w:cs="Times New Roman"/>
          <w:sz w:val="24"/>
        </w:rPr>
      </w:pPr>
      <w:r>
        <w:rPr>
          <w:rFonts w:hint="default" w:ascii="Times New Roman" w:hAnsi="Times New Roman" w:cs="Times New Roman"/>
          <w:sz w:val="24"/>
        </w:rPr>
        <w:t xml:space="preserve">四、联系人 Narahubung ： Yu Zai Jun </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 xml:space="preserve">五、联系电话 Nomor Telepon： 082177928042  </w:t>
      </w:r>
    </w:p>
    <w:p>
      <w:pPr>
        <w:pStyle w:val="2"/>
        <w:ind w:firstLine="240" w:firstLineChars="100"/>
        <w:jc w:val="center"/>
        <w:rPr>
          <w:rFonts w:ascii="Times New Roman" w:hAnsi="Times New Roman" w:cs="Times New Roman"/>
        </w:rPr>
      </w:pPr>
      <w:r>
        <w:rPr>
          <w:rFonts w:hint="default" w:ascii="Times New Roman" w:hAnsi="Times New Roman" w:cs="Times New Roman"/>
          <w:sz w:val="24"/>
        </w:rPr>
        <w:t>报价表</w:t>
      </w:r>
      <w:r>
        <w:rPr>
          <w:rFonts w:ascii="Times New Roman" w:hAnsi="Times New Roman" w:cs="Times New Roman"/>
          <w:sz w:val="21"/>
          <w:szCs w:val="21"/>
        </w:rPr>
        <w:t>Formulir kutipan</w:t>
      </w:r>
    </w:p>
    <w:tbl>
      <w:tblPr>
        <w:tblStyle w:val="17"/>
        <w:tblW w:w="8493"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0"/>
        <w:gridCol w:w="1975"/>
        <w:gridCol w:w="734"/>
        <w:gridCol w:w="641"/>
        <w:gridCol w:w="1"/>
        <w:gridCol w:w="1554"/>
        <w:gridCol w:w="2023"/>
        <w:gridCol w:w="1084"/>
        <w:gridCol w:w="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 w:type="dxa"/>
          <w:trHeight w:val="1385" w:hRule="atLeast"/>
          <w:jc w:val="center"/>
        </w:trPr>
        <w:tc>
          <w:tcPr>
            <w:tcW w:w="480" w:type="dxa"/>
            <w:vAlign w:val="center"/>
          </w:tcPr>
          <w:p>
            <w:pPr>
              <w:spacing w:line="240" w:lineRule="auto"/>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序  号 No</w:t>
            </w:r>
          </w:p>
        </w:tc>
        <w:tc>
          <w:tcPr>
            <w:tcW w:w="1975"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项目</w:t>
            </w:r>
            <w:r>
              <w:rPr>
                <w:rFonts w:ascii="Times New Roman" w:hAnsi="Times New Roman" w:eastAsia="黑体" w:cs="Times New Roman"/>
                <w:color w:val="000000"/>
                <w:sz w:val="20"/>
                <w:szCs w:val="20"/>
              </w:rPr>
              <w:t>名称Nama sub-item</w:t>
            </w:r>
          </w:p>
        </w:tc>
        <w:tc>
          <w:tcPr>
            <w:tcW w:w="734"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单位 Unit Price</w:t>
            </w:r>
          </w:p>
        </w:tc>
        <w:tc>
          <w:tcPr>
            <w:tcW w:w="641"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数量 Qty</w:t>
            </w:r>
          </w:p>
        </w:tc>
        <w:tc>
          <w:tcPr>
            <w:tcW w:w="1555" w:type="dxa"/>
            <w:gridSpan w:val="2"/>
            <w:vAlign w:val="center"/>
          </w:tcPr>
          <w:p>
            <w:pPr>
              <w:spacing w:line="240" w:lineRule="auto"/>
              <w:jc w:val="center"/>
              <w:rPr>
                <w:rFonts w:hint="default" w:ascii="Times New Roman" w:hAnsi="Times New Roman" w:eastAsia="黑体" w:cs="Times New Roman"/>
                <w:color w:val="000000"/>
                <w:sz w:val="20"/>
                <w:szCs w:val="20"/>
                <w:lang w:val="en-US" w:eastAsia="zh-CN"/>
              </w:rPr>
            </w:pPr>
            <w:r>
              <w:rPr>
                <w:rFonts w:hint="eastAsia" w:ascii="Times New Roman" w:hAnsi="Times New Roman" w:eastAsia="黑体" w:cs="Times New Roman"/>
                <w:color w:val="000000"/>
                <w:sz w:val="20"/>
                <w:szCs w:val="20"/>
                <w:lang w:val="en-US" w:eastAsia="zh-CN"/>
              </w:rPr>
              <w:t>单价harga satuan（Rp)</w:t>
            </w:r>
          </w:p>
        </w:tc>
        <w:tc>
          <w:tcPr>
            <w:tcW w:w="2023"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费用总价</w:t>
            </w:r>
            <w:r>
              <w:rPr>
                <w:rFonts w:ascii="Times New Roman" w:hAnsi="Times New Roman" w:eastAsia="黑体" w:cs="Times New Roman"/>
                <w:color w:val="000000"/>
                <w:sz w:val="20"/>
                <w:szCs w:val="20"/>
              </w:rPr>
              <w:t>（Rp）</w:t>
            </w:r>
          </w:p>
          <w:p>
            <w:pPr>
              <w:spacing w:line="240" w:lineRule="auto"/>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Harga keseluruhan (Rp)</w:t>
            </w:r>
          </w:p>
        </w:tc>
        <w:tc>
          <w:tcPr>
            <w:tcW w:w="1084" w:type="dxa"/>
            <w:vAlign w:val="center"/>
          </w:tcPr>
          <w:p>
            <w:pPr>
              <w:spacing w:line="240" w:lineRule="auto"/>
              <w:jc w:val="center"/>
              <w:rPr>
                <w:rFonts w:hint="eastAsia" w:ascii="Times New Roman" w:hAnsi="Times New Roman" w:eastAsia="黑体" w:cs="Times New Roman"/>
                <w:color w:val="000000"/>
                <w:sz w:val="20"/>
                <w:szCs w:val="20"/>
                <w:lang w:val="en-US" w:eastAsia="zh-CN"/>
              </w:rPr>
            </w:pPr>
            <w:r>
              <w:rPr>
                <w:rFonts w:hint="eastAsia" w:ascii="Times New Roman" w:hAnsi="Times New Roman" w:eastAsia="黑体" w:cs="Times New Roman"/>
                <w:color w:val="000000"/>
                <w:sz w:val="20"/>
                <w:szCs w:val="20"/>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 w:type="dxa"/>
          <w:trHeight w:val="567" w:hRule="atLeast"/>
          <w:jc w:val="center"/>
        </w:trPr>
        <w:tc>
          <w:tcPr>
            <w:tcW w:w="480" w:type="dxa"/>
            <w:vAlign w:val="center"/>
          </w:tcPr>
          <w:p>
            <w:pPr>
              <w:spacing w:line="240" w:lineRule="auto"/>
              <w:jc w:val="center"/>
              <w:rPr>
                <w:rFonts w:ascii="Times New Roman" w:hAnsi="Times New Roman" w:cs="Times New Roman"/>
                <w:color w:val="000000"/>
                <w:sz w:val="20"/>
                <w:szCs w:val="20"/>
              </w:rPr>
            </w:pPr>
            <w:r>
              <w:rPr>
                <w:rFonts w:hint="default" w:ascii="Times New Roman" w:hAnsi="Times New Roman" w:cs="Times New Roman"/>
                <w:color w:val="000000"/>
                <w:sz w:val="20"/>
                <w:szCs w:val="20"/>
              </w:rPr>
              <w:t>1</w:t>
            </w:r>
          </w:p>
        </w:tc>
        <w:tc>
          <w:tcPr>
            <w:tcW w:w="1975" w:type="dxa"/>
            <w:vAlign w:val="center"/>
          </w:tcPr>
          <w:p>
            <w:pPr>
              <w:pStyle w:val="12"/>
              <w:pBdr>
                <w:bottom w:val="none" w:color="auto" w:sz="0" w:space="0"/>
              </w:pBdr>
              <w:rPr>
                <w:rFonts w:ascii="Times New Roman" w:hAnsi="Times New Roman" w:cs="Times New Roman"/>
                <w:color w:val="000000"/>
                <w:sz w:val="20"/>
                <w:szCs w:val="20"/>
              </w:rPr>
            </w:pPr>
            <w:r>
              <w:rPr>
                <w:rFonts w:hint="eastAsia" w:ascii="Times New Roman" w:hAnsi="Times New Roman" w:cs="Times New Roman"/>
                <w:color w:val="000000"/>
                <w:sz w:val="20"/>
                <w:szCs w:val="20"/>
              </w:rPr>
              <w:t>#2锅炉省煤器旁路烟道封堵</w:t>
            </w:r>
          </w:p>
        </w:tc>
        <w:tc>
          <w:tcPr>
            <w:tcW w:w="734" w:type="dxa"/>
            <w:vAlign w:val="center"/>
          </w:tcPr>
          <w:p>
            <w:pPr>
              <w:pStyle w:val="12"/>
              <w:pBdr>
                <w:bottom w:val="none" w:color="auto" w:sz="0" w:space="0"/>
              </w:pBd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项</w:t>
            </w:r>
          </w:p>
        </w:tc>
        <w:tc>
          <w:tcPr>
            <w:tcW w:w="641" w:type="dxa"/>
            <w:vAlign w:val="center"/>
          </w:tcPr>
          <w:p>
            <w:pPr>
              <w:pStyle w:val="12"/>
              <w:pBdr>
                <w:bottom w:val="none" w:color="auto" w:sz="0" w:space="0"/>
              </w:pBd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w:t>
            </w:r>
          </w:p>
        </w:tc>
        <w:tc>
          <w:tcPr>
            <w:tcW w:w="1555" w:type="dxa"/>
            <w:gridSpan w:val="2"/>
            <w:vAlign w:val="center"/>
          </w:tcPr>
          <w:p>
            <w:pPr>
              <w:spacing w:line="240" w:lineRule="auto"/>
              <w:jc w:val="center"/>
              <w:rPr>
                <w:rFonts w:ascii="Times New Roman" w:hAnsi="Times New Roman" w:cs="Times New Roman"/>
                <w:color w:val="000000"/>
                <w:sz w:val="20"/>
                <w:szCs w:val="20"/>
              </w:rPr>
            </w:pPr>
          </w:p>
        </w:tc>
        <w:tc>
          <w:tcPr>
            <w:tcW w:w="2023" w:type="dxa"/>
            <w:vAlign w:val="center"/>
          </w:tcPr>
          <w:p>
            <w:pPr>
              <w:spacing w:line="240" w:lineRule="auto"/>
              <w:jc w:val="center"/>
              <w:rPr>
                <w:rFonts w:ascii="Times New Roman" w:hAnsi="Times New Roman" w:cs="Times New Roman"/>
                <w:color w:val="000000"/>
                <w:sz w:val="20"/>
                <w:szCs w:val="20"/>
              </w:rPr>
            </w:pPr>
          </w:p>
        </w:tc>
        <w:tc>
          <w:tcPr>
            <w:tcW w:w="1084" w:type="dxa"/>
            <w:vAlign w:val="center"/>
          </w:tcPr>
          <w:p>
            <w:pPr>
              <w:spacing w:line="240" w:lineRule="auto"/>
              <w:jc w:val="center"/>
              <w:rPr>
                <w:rFonts w:hint="default" w:ascii="Times New Roman" w:hAnsi="Times New Roman" w:cs="Times New Roman" w:eastAsiaTheme="minorEastAsia"/>
                <w:color w:val="000000"/>
                <w:sz w:val="20"/>
                <w:szCs w:val="20"/>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 w:type="dxa"/>
          <w:trHeight w:val="567" w:hRule="atLeast"/>
          <w:jc w:val="center"/>
        </w:trPr>
        <w:tc>
          <w:tcPr>
            <w:tcW w:w="480" w:type="dxa"/>
            <w:vAlign w:val="center"/>
          </w:tcPr>
          <w:p>
            <w:pPr>
              <w:spacing w:line="240" w:lineRule="auto"/>
              <w:jc w:val="center"/>
              <w:rPr>
                <w:rFonts w:hint="eastAsia"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2</w:t>
            </w:r>
          </w:p>
        </w:tc>
        <w:tc>
          <w:tcPr>
            <w:tcW w:w="1975" w:type="dxa"/>
            <w:vAlign w:val="center"/>
          </w:tcPr>
          <w:p>
            <w:pPr>
              <w:pStyle w:val="12"/>
              <w:pBdr>
                <w:bottom w:val="none" w:color="auto" w:sz="0" w:space="0"/>
              </w:pBdr>
              <w:rPr>
                <w:rFonts w:ascii="Times New Roman" w:hAnsi="Times New Roman" w:cs="Times New Roman"/>
                <w:color w:val="000000"/>
                <w:sz w:val="20"/>
                <w:szCs w:val="20"/>
              </w:rPr>
            </w:pPr>
          </w:p>
        </w:tc>
        <w:tc>
          <w:tcPr>
            <w:tcW w:w="734" w:type="dxa"/>
            <w:vAlign w:val="center"/>
          </w:tcPr>
          <w:p>
            <w:pPr>
              <w:pStyle w:val="12"/>
              <w:pBdr>
                <w:bottom w:val="none" w:color="auto" w:sz="0" w:space="0"/>
              </w:pBdr>
              <w:rPr>
                <w:rFonts w:hint="eastAsia" w:ascii="Times New Roman" w:hAnsi="Times New Roman" w:eastAsia="宋体" w:cs="Times New Roman"/>
                <w:kern w:val="0"/>
                <w:sz w:val="20"/>
                <w:szCs w:val="20"/>
                <w:lang w:eastAsia="zh-CN"/>
              </w:rPr>
            </w:pPr>
          </w:p>
        </w:tc>
        <w:tc>
          <w:tcPr>
            <w:tcW w:w="641" w:type="dxa"/>
            <w:vAlign w:val="center"/>
          </w:tcPr>
          <w:p>
            <w:pPr>
              <w:pStyle w:val="12"/>
              <w:pBdr>
                <w:bottom w:val="none" w:color="auto" w:sz="0" w:space="0"/>
              </w:pBdr>
              <w:rPr>
                <w:rFonts w:hint="default" w:ascii="Times New Roman" w:hAnsi="Times New Roman" w:eastAsia="宋体" w:cs="Times New Roman"/>
                <w:kern w:val="0"/>
                <w:sz w:val="20"/>
                <w:szCs w:val="20"/>
                <w:lang w:val="en-US" w:eastAsia="zh-CN"/>
              </w:rPr>
            </w:pPr>
          </w:p>
        </w:tc>
        <w:tc>
          <w:tcPr>
            <w:tcW w:w="1555" w:type="dxa"/>
            <w:gridSpan w:val="2"/>
            <w:vAlign w:val="center"/>
          </w:tcPr>
          <w:p>
            <w:pPr>
              <w:spacing w:line="240" w:lineRule="auto"/>
              <w:jc w:val="center"/>
              <w:rPr>
                <w:rFonts w:ascii="Times New Roman" w:hAnsi="Times New Roman" w:cs="Times New Roman"/>
                <w:color w:val="000000"/>
                <w:sz w:val="20"/>
                <w:szCs w:val="20"/>
              </w:rPr>
            </w:pPr>
          </w:p>
        </w:tc>
        <w:tc>
          <w:tcPr>
            <w:tcW w:w="2023" w:type="dxa"/>
            <w:vAlign w:val="center"/>
          </w:tcPr>
          <w:p>
            <w:pPr>
              <w:spacing w:line="240" w:lineRule="auto"/>
              <w:jc w:val="center"/>
              <w:rPr>
                <w:rFonts w:ascii="Times New Roman" w:hAnsi="Times New Roman" w:cs="Times New Roman"/>
                <w:color w:val="000000"/>
                <w:sz w:val="20"/>
                <w:szCs w:val="20"/>
              </w:rPr>
            </w:pPr>
          </w:p>
        </w:tc>
        <w:tc>
          <w:tcPr>
            <w:tcW w:w="1084" w:type="dxa"/>
            <w:vAlign w:val="center"/>
          </w:tcPr>
          <w:p>
            <w:pPr>
              <w:spacing w:line="240" w:lineRule="auto"/>
              <w:jc w:val="center"/>
              <w:rPr>
                <w:rFonts w:hint="default" w:ascii="Times New Roman" w:hAnsi="Times New Roman" w:cs="Times New Roman" w:eastAsiaTheme="minorEastAsia"/>
                <w:color w:val="000000"/>
                <w:sz w:val="20"/>
                <w:szCs w:val="20"/>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480" w:type="dxa"/>
            <w:vAlign w:val="center"/>
          </w:tcPr>
          <w:p>
            <w:pPr>
              <w:spacing w:line="240" w:lineRule="auto"/>
              <w:jc w:val="center"/>
              <w:rPr>
                <w:rFonts w:ascii="Times New Roman" w:hAnsi="Times New Roman" w:cs="Times New Roman"/>
                <w:color w:val="000000"/>
                <w:sz w:val="20"/>
                <w:szCs w:val="20"/>
              </w:rPr>
            </w:pPr>
          </w:p>
        </w:tc>
        <w:tc>
          <w:tcPr>
            <w:tcW w:w="3351" w:type="dxa"/>
            <w:gridSpan w:val="4"/>
            <w:vAlign w:val="center"/>
          </w:tcPr>
          <w:p>
            <w:pPr>
              <w:pStyle w:val="12"/>
              <w:pBdr>
                <w:bottom w:val="none" w:color="auto" w:sz="0" w:space="0"/>
              </w:pBd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小计</w:t>
            </w:r>
          </w:p>
        </w:tc>
        <w:tc>
          <w:tcPr>
            <w:tcW w:w="4662" w:type="dxa"/>
            <w:gridSpan w:val="4"/>
            <w:vAlign w:val="center"/>
          </w:tcPr>
          <w:p>
            <w:pPr>
              <w:spacing w:line="240" w:lineRule="auto"/>
              <w:jc w:val="center"/>
              <w:rPr>
                <w:rFonts w:ascii="Times New Roman" w:hAnsi="Times New Roman" w:cs="Times New Roman"/>
                <w:color w:val="000000"/>
                <w:sz w:val="20"/>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480" w:type="dxa"/>
            <w:vAlign w:val="center"/>
          </w:tcPr>
          <w:p>
            <w:pPr>
              <w:spacing w:line="240" w:lineRule="auto"/>
              <w:jc w:val="center"/>
              <w:rPr>
                <w:rFonts w:ascii="Times New Roman" w:hAnsi="Times New Roman" w:cs="Times New Roman"/>
                <w:color w:val="000000"/>
                <w:sz w:val="20"/>
                <w:szCs w:val="20"/>
              </w:rPr>
            </w:pPr>
          </w:p>
        </w:tc>
        <w:tc>
          <w:tcPr>
            <w:tcW w:w="3351" w:type="dxa"/>
            <w:gridSpan w:val="4"/>
            <w:vAlign w:val="center"/>
          </w:tcPr>
          <w:p>
            <w:pPr>
              <w:pStyle w:val="12"/>
              <w:pBdr>
                <w:bottom w:val="none" w:color="auto" w:sz="0" w:space="0"/>
              </w:pBdr>
              <w:rPr>
                <w:rFonts w:hint="default" w:ascii="Times New Roman" w:hAnsi="Times New Roman" w:eastAsia="宋体" w:cs="Times New Roman"/>
                <w:kern w:val="0"/>
                <w:sz w:val="20"/>
                <w:szCs w:val="20"/>
                <w:lang w:val="en-US" w:eastAsia="zh-CN"/>
              </w:rPr>
            </w:pPr>
            <w:r>
              <w:rPr>
                <w:rFonts w:hint="default" w:ascii="Times New Roman" w:hAnsi="Times New Roman" w:eastAsia="宋体" w:cs="Times New Roman"/>
                <w:kern w:val="0"/>
                <w:sz w:val="20"/>
                <w:szCs w:val="20"/>
              </w:rPr>
              <w:t>PPN</w:t>
            </w:r>
            <w:r>
              <w:rPr>
                <w:rFonts w:hint="eastAsia" w:ascii="Times New Roman" w:hAnsi="Times New Roman" w:eastAsia="宋体" w:cs="Times New Roman"/>
                <w:kern w:val="0"/>
                <w:sz w:val="20"/>
                <w:szCs w:val="20"/>
                <w:lang w:val="en-US" w:eastAsia="zh-CN"/>
              </w:rPr>
              <w:t>11%</w:t>
            </w:r>
          </w:p>
        </w:tc>
        <w:tc>
          <w:tcPr>
            <w:tcW w:w="4662" w:type="dxa"/>
            <w:gridSpan w:val="4"/>
            <w:vAlign w:val="center"/>
          </w:tcPr>
          <w:p>
            <w:pPr>
              <w:spacing w:line="240" w:lineRule="auto"/>
              <w:jc w:val="center"/>
              <w:rPr>
                <w:rFonts w:ascii="Times New Roman" w:hAnsi="Times New Roman" w:cs="Times New Roman"/>
                <w:color w:val="000000"/>
                <w:sz w:val="20"/>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480" w:type="dxa"/>
            <w:vAlign w:val="center"/>
          </w:tcPr>
          <w:p>
            <w:pPr>
              <w:spacing w:line="240" w:lineRule="auto"/>
              <w:jc w:val="center"/>
              <w:rPr>
                <w:rFonts w:ascii="Times New Roman" w:hAnsi="Times New Roman" w:cs="Times New Roman"/>
                <w:color w:val="000000"/>
                <w:sz w:val="20"/>
                <w:szCs w:val="20"/>
              </w:rPr>
            </w:pPr>
          </w:p>
        </w:tc>
        <w:tc>
          <w:tcPr>
            <w:tcW w:w="3351" w:type="dxa"/>
            <w:gridSpan w:val="4"/>
            <w:vAlign w:val="center"/>
          </w:tcPr>
          <w:p>
            <w:pPr>
              <w:pStyle w:val="12"/>
              <w:pBdr>
                <w:bottom w:val="none" w:color="auto" w:sz="0" w:space="0"/>
              </w:pBd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PPH</w:t>
            </w:r>
          </w:p>
        </w:tc>
        <w:tc>
          <w:tcPr>
            <w:tcW w:w="4662" w:type="dxa"/>
            <w:gridSpan w:val="4"/>
            <w:vAlign w:val="center"/>
          </w:tcPr>
          <w:p>
            <w:pPr>
              <w:spacing w:line="240" w:lineRule="auto"/>
              <w:jc w:val="center"/>
              <w:rPr>
                <w:rFonts w:ascii="Times New Roman" w:hAnsi="Times New Roman" w:cs="Times New Roman"/>
                <w:color w:val="000000"/>
                <w:sz w:val="20"/>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480" w:type="dxa"/>
            <w:vAlign w:val="center"/>
          </w:tcPr>
          <w:p>
            <w:pPr>
              <w:spacing w:line="240" w:lineRule="auto"/>
              <w:jc w:val="center"/>
              <w:rPr>
                <w:rFonts w:ascii="Times New Roman" w:hAnsi="Times New Roman" w:cs="Times New Roman"/>
                <w:color w:val="000000"/>
                <w:sz w:val="20"/>
                <w:szCs w:val="20"/>
              </w:rPr>
            </w:pPr>
          </w:p>
        </w:tc>
        <w:tc>
          <w:tcPr>
            <w:tcW w:w="3351" w:type="dxa"/>
            <w:gridSpan w:val="4"/>
            <w:vAlign w:val="center"/>
          </w:tcPr>
          <w:p>
            <w:pPr>
              <w:pStyle w:val="12"/>
              <w:pBdr>
                <w:bottom w:val="none" w:color="auto" w:sz="0" w:space="0"/>
              </w:pBdr>
              <w:rPr>
                <w:rFonts w:ascii="Times New Roman" w:hAnsi="Times New Roman" w:eastAsia="宋体" w:cs="Times New Roman"/>
                <w:kern w:val="0"/>
                <w:sz w:val="20"/>
                <w:szCs w:val="20"/>
              </w:rPr>
            </w:pPr>
            <w:r>
              <w:rPr>
                <w:rFonts w:hint="default" w:ascii="Times New Roman" w:hAnsi="Times New Roman" w:eastAsia="宋体" w:cs="Times New Roman"/>
                <w:kern w:val="0"/>
                <w:sz w:val="20"/>
                <w:szCs w:val="20"/>
              </w:rPr>
              <w:t>总计</w:t>
            </w:r>
          </w:p>
        </w:tc>
        <w:tc>
          <w:tcPr>
            <w:tcW w:w="4662" w:type="dxa"/>
            <w:gridSpan w:val="4"/>
            <w:vAlign w:val="center"/>
          </w:tcPr>
          <w:p>
            <w:pPr>
              <w:spacing w:line="240" w:lineRule="auto"/>
              <w:jc w:val="center"/>
              <w:rPr>
                <w:rFonts w:ascii="Times New Roman" w:hAnsi="Times New Roman" w:cs="Times New Roman"/>
                <w:color w:val="000000"/>
                <w:sz w:val="20"/>
                <w:szCs w:val="20"/>
              </w:rPr>
            </w:pPr>
          </w:p>
        </w:tc>
      </w:tr>
    </w:tbl>
    <w:p>
      <w:pPr>
        <w:pStyle w:val="3"/>
        <w:ind w:firstLine="0" w:firstLineChars="0"/>
        <w:rPr>
          <w:rFonts w:ascii="Times New Roman" w:hAnsi="Times New Roman" w:cs="Times New Roman"/>
        </w:rPr>
      </w:pPr>
    </w:p>
    <w:p>
      <w:pPr>
        <w:pStyle w:val="8"/>
        <w:snapToGrid w:val="0"/>
        <w:spacing w:after="0" w:line="240" w:lineRule="auto"/>
        <w:jc w:val="both"/>
        <w:rPr>
          <w:rFonts w:eastAsia="FangSong_GB2312" w:cs="Times New Roman"/>
          <w:b/>
          <w:spacing w:val="40"/>
          <w:sz w:val="44"/>
          <w:szCs w:val="44"/>
        </w:rPr>
      </w:pPr>
    </w:p>
    <w:p>
      <w:pPr>
        <w:pStyle w:val="8"/>
        <w:snapToGrid w:val="0"/>
        <w:spacing w:after="0" w:line="240" w:lineRule="auto"/>
        <w:jc w:val="center"/>
        <w:rPr>
          <w:rFonts w:eastAsia="FangSong_GB2312" w:cs="Times New Roman"/>
          <w:b/>
          <w:spacing w:val="40"/>
          <w:sz w:val="44"/>
          <w:szCs w:val="44"/>
        </w:rPr>
      </w:pPr>
    </w:p>
    <w:p>
      <w:pPr>
        <w:pStyle w:val="8"/>
        <w:snapToGrid w:val="0"/>
        <w:spacing w:after="0" w:line="240" w:lineRule="auto"/>
        <w:jc w:val="center"/>
        <w:rPr>
          <w:rFonts w:eastAsia="FangSong_GB2312" w:cs="Times New Roman"/>
          <w:b/>
          <w:spacing w:val="40"/>
          <w:sz w:val="44"/>
          <w:szCs w:val="44"/>
        </w:rPr>
      </w:pPr>
    </w:p>
    <w:p>
      <w:pPr>
        <w:pStyle w:val="8"/>
        <w:snapToGrid w:val="0"/>
        <w:spacing w:after="0" w:line="240" w:lineRule="auto"/>
        <w:jc w:val="center"/>
        <w:rPr>
          <w:rFonts w:eastAsia="FangSong_GB2312" w:cs="Times New Roman"/>
          <w:b/>
          <w:spacing w:val="40"/>
          <w:sz w:val="44"/>
          <w:szCs w:val="44"/>
        </w:rPr>
      </w:pPr>
    </w:p>
    <w:p>
      <w:pPr>
        <w:pStyle w:val="8"/>
        <w:snapToGrid w:val="0"/>
        <w:spacing w:after="0" w:line="240" w:lineRule="auto"/>
        <w:jc w:val="center"/>
        <w:rPr>
          <w:rFonts w:eastAsia="FangSong_GB2312" w:cs="Times New Roman"/>
          <w:b/>
          <w:spacing w:val="40"/>
          <w:sz w:val="44"/>
          <w:szCs w:val="44"/>
        </w:rPr>
      </w:pPr>
    </w:p>
    <w:p>
      <w:pPr>
        <w:pStyle w:val="8"/>
        <w:snapToGrid w:val="0"/>
        <w:spacing w:after="0" w:line="240" w:lineRule="auto"/>
        <w:jc w:val="center"/>
        <w:rPr>
          <w:rFonts w:eastAsia="FangSong_GB2312" w:cs="Times New Roman"/>
          <w:b/>
          <w:spacing w:val="40"/>
          <w:sz w:val="44"/>
          <w:szCs w:val="44"/>
        </w:rPr>
      </w:pPr>
    </w:p>
    <w:p>
      <w:pPr>
        <w:pStyle w:val="8"/>
        <w:snapToGrid w:val="0"/>
        <w:spacing w:after="0" w:line="240" w:lineRule="auto"/>
        <w:jc w:val="center"/>
        <w:rPr>
          <w:rFonts w:eastAsia="FangSong_GB2312" w:cs="Times New Roman"/>
          <w:b/>
          <w:spacing w:val="40"/>
          <w:sz w:val="44"/>
          <w:szCs w:val="44"/>
        </w:rPr>
      </w:pPr>
    </w:p>
    <w:p>
      <w:pPr>
        <w:pStyle w:val="8"/>
        <w:snapToGrid w:val="0"/>
        <w:spacing w:after="0" w:line="240" w:lineRule="auto"/>
        <w:jc w:val="center"/>
        <w:rPr>
          <w:rFonts w:eastAsia="FangSong_GB2312" w:cs="Times New Roman"/>
          <w:b/>
          <w:spacing w:val="40"/>
          <w:sz w:val="44"/>
          <w:szCs w:val="44"/>
        </w:rPr>
      </w:pPr>
    </w:p>
    <w:p>
      <w:pPr>
        <w:pStyle w:val="8"/>
        <w:snapToGrid w:val="0"/>
        <w:spacing w:after="0" w:line="240" w:lineRule="auto"/>
        <w:jc w:val="center"/>
        <w:rPr>
          <w:rFonts w:eastAsia="FangSong_GB2312" w:cs="Times New Roman"/>
          <w:b/>
          <w:spacing w:val="40"/>
          <w:sz w:val="44"/>
          <w:szCs w:val="44"/>
        </w:rPr>
      </w:pPr>
    </w:p>
    <w:p>
      <w:pPr>
        <w:pStyle w:val="8"/>
        <w:snapToGrid w:val="0"/>
        <w:spacing w:after="0" w:line="240" w:lineRule="auto"/>
        <w:jc w:val="center"/>
        <w:rPr>
          <w:rFonts w:eastAsia="FangSong_GB2312" w:cs="Times New Roman"/>
          <w:b/>
          <w:spacing w:val="40"/>
          <w:sz w:val="44"/>
          <w:szCs w:val="44"/>
        </w:rPr>
      </w:pPr>
    </w:p>
    <w:p>
      <w:pPr>
        <w:snapToGrid/>
        <w:spacing w:line="240" w:lineRule="auto"/>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#2锅炉省煤器旁路烟道封堵</w:t>
      </w:r>
    </w:p>
    <w:p>
      <w:pPr>
        <w:pStyle w:val="2"/>
        <w:jc w:val="cente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#2 Boiler economizer bypass flue blockage</w:t>
      </w:r>
    </w:p>
    <w:p>
      <w:pPr>
        <w:spacing w:after="0" w:line="240" w:lineRule="auto"/>
        <w:jc w:val="center"/>
        <w:rPr>
          <w:rFonts w:hint="eastAsia" w:ascii="宋体" w:hAnsi="宋体" w:eastAsia="宋体" w:cs="宋体"/>
          <w:b/>
          <w:bCs w:val="0"/>
          <w:color w:val="auto"/>
          <w:spacing w:val="0"/>
          <w:sz w:val="36"/>
          <w:szCs w:val="36"/>
          <w:highlight w:val="none"/>
        </w:rPr>
      </w:pPr>
      <w:r>
        <w:rPr>
          <w:rFonts w:hint="eastAsia" w:ascii="宋体" w:hAnsi="宋体" w:eastAsia="宋体" w:cs="宋体"/>
          <w:b/>
          <w:bCs w:val="0"/>
          <w:color w:val="auto"/>
          <w:spacing w:val="0"/>
          <w:sz w:val="36"/>
          <w:szCs w:val="36"/>
          <w:highlight w:val="none"/>
        </w:rPr>
        <w:t>技术规范书</w:t>
      </w:r>
    </w:p>
    <w:p>
      <w:pPr>
        <w:spacing w:after="0" w:line="240" w:lineRule="auto"/>
        <w:jc w:val="center"/>
        <w:rPr>
          <w:rFonts w:hint="eastAsia" w:ascii="宋体" w:hAnsi="宋体" w:eastAsia="宋体" w:cs="宋体"/>
          <w:sz w:val="36"/>
          <w:szCs w:val="36"/>
          <w:highlight w:val="none"/>
        </w:rPr>
      </w:pPr>
      <w:r>
        <w:rPr>
          <w:rFonts w:hint="eastAsia" w:ascii="宋体" w:hAnsi="宋体" w:eastAsia="宋体" w:cs="宋体"/>
          <w:sz w:val="36"/>
          <w:szCs w:val="36"/>
          <w:highlight w:val="none"/>
        </w:rPr>
        <w:t>Technical specifications</w:t>
      </w:r>
    </w:p>
    <w:p>
      <w:pPr>
        <w:pStyle w:val="15"/>
        <w:widowControl/>
        <w:spacing w:after="0" w:line="240" w:lineRule="auto"/>
        <w:ind w:left="2520" w:firstLine="420"/>
        <w:jc w:val="both"/>
        <w:rPr>
          <w:b/>
          <w:outline/>
          <w:color w:val="FFFFFF"/>
          <w:sz w:val="24"/>
          <w:szCs w:val="24"/>
          <w:highlight w:val="none"/>
          <w14:textOutline w14:w="9525" w14:cap="flat" w14:cmpd="sng" w14:algn="ctr">
            <w14:solidFill>
              <w14:srgbClr w14:val="FFFFFF"/>
            </w14:solidFill>
            <w14:prstDash w14:val="solid"/>
            <w14:round/>
          </w14:textOutline>
          <w14:textFill>
            <w14:noFill/>
          </w14:textFill>
        </w:rPr>
      </w:pPr>
      <w:r>
        <w:rPr>
          <w:rFonts w:hint="eastAsia"/>
          <w:lang w:val="en-US" w:eastAsia="zh-CN"/>
        </w:rPr>
        <w:t xml:space="preserve">               </w:t>
      </w:r>
    </w:p>
    <w:p>
      <w:pPr>
        <w:spacing w:after="0" w:line="240" w:lineRule="auto"/>
        <w:rPr>
          <w:b/>
          <w:outline/>
          <w:color w:val="FFFFFF"/>
          <w:sz w:val="28"/>
          <w:szCs w:val="28"/>
          <w:highlight w:val="none"/>
          <w14:textOutline w14:w="9525" w14:cap="flat" w14:cmpd="sng" w14:algn="ctr">
            <w14:solidFill>
              <w14:srgbClr w14:val="FFFFFF"/>
            </w14:solidFill>
            <w14:prstDash w14:val="solid"/>
            <w14:round/>
          </w14:textOutline>
          <w14:textFill>
            <w14:noFill/>
          </w14:textFill>
        </w:rPr>
      </w:pPr>
    </w:p>
    <w:p>
      <w:pPr>
        <w:spacing w:after="0" w:line="240" w:lineRule="auto"/>
        <w:ind w:firstLine="2891" w:firstLineChars="900"/>
        <w:jc w:val="both"/>
        <w:rPr>
          <w:rFonts w:hint="default" w:eastAsia="FangSong_GB2312"/>
          <w:b/>
          <w:sz w:val="32"/>
          <w:szCs w:val="32"/>
          <w:highlight w:val="none"/>
        </w:rPr>
      </w:pPr>
    </w:p>
    <w:p>
      <w:pPr>
        <w:pStyle w:val="2"/>
        <w:rPr>
          <w:rFonts w:hint="default" w:eastAsia="FangSong_GB2312"/>
          <w:b/>
          <w:sz w:val="32"/>
          <w:szCs w:val="32"/>
          <w:highlight w:val="none"/>
        </w:rPr>
      </w:pPr>
    </w:p>
    <w:p>
      <w:pPr>
        <w:pStyle w:val="3"/>
        <w:rPr>
          <w:rFonts w:hint="default" w:eastAsia="FangSong_GB2312"/>
          <w:b/>
          <w:sz w:val="32"/>
          <w:szCs w:val="32"/>
          <w:highlight w:val="none"/>
        </w:rPr>
      </w:pPr>
    </w:p>
    <w:p>
      <w:pPr>
        <w:pStyle w:val="3"/>
        <w:rPr>
          <w:rFonts w:hint="default" w:eastAsia="FangSong_GB2312"/>
          <w:b/>
          <w:sz w:val="32"/>
          <w:szCs w:val="32"/>
          <w:highlight w:val="none"/>
        </w:rPr>
      </w:pPr>
    </w:p>
    <w:p>
      <w:pPr>
        <w:pStyle w:val="3"/>
        <w:rPr>
          <w:rFonts w:hint="default" w:eastAsia="FangSong_GB2312"/>
          <w:b/>
          <w:sz w:val="32"/>
          <w:szCs w:val="32"/>
          <w:highlight w:val="none"/>
        </w:rPr>
      </w:pPr>
    </w:p>
    <w:p>
      <w:pPr>
        <w:pStyle w:val="3"/>
        <w:rPr>
          <w:rFonts w:hint="default" w:eastAsia="FangSong_GB2312"/>
          <w:b/>
          <w:sz w:val="32"/>
          <w:szCs w:val="32"/>
          <w:highlight w:val="none"/>
        </w:rPr>
      </w:pPr>
    </w:p>
    <w:p>
      <w:pPr>
        <w:pStyle w:val="3"/>
        <w:rPr>
          <w:rFonts w:hint="default" w:eastAsia="FangSong_GB2312"/>
          <w:b/>
          <w:sz w:val="32"/>
          <w:szCs w:val="32"/>
          <w:highlight w:val="none"/>
        </w:rPr>
      </w:pPr>
    </w:p>
    <w:p>
      <w:pPr>
        <w:ind w:firstLine="2891" w:firstLineChars="900"/>
        <w:jc w:val="both"/>
        <w:rPr>
          <w:rFonts w:hint="eastAsia" w:ascii="Times New Roman" w:hAnsi="Times New Roman" w:eastAsia="宋体" w:cs="Times New Roman"/>
          <w:b/>
          <w:bCs/>
          <w:color w:val="auto"/>
          <w:sz w:val="32"/>
          <w:szCs w:val="32"/>
          <w:highlight w:val="none"/>
        </w:rPr>
        <w:sectPr>
          <w:headerReference r:id="rId4" w:type="first"/>
          <w:head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titlePg/>
          <w:docGrid w:type="lines" w:linePitch="312" w:charSpace="0"/>
        </w:sectPr>
      </w:pPr>
      <w:r>
        <w:rPr>
          <w:rFonts w:hint="default" w:eastAsia="FangSong_GB2312"/>
          <w:b/>
          <w:sz w:val="32"/>
          <w:szCs w:val="32"/>
          <w:highlight w:val="none"/>
        </w:rPr>
        <w:t>202</w:t>
      </w:r>
      <w:r>
        <w:rPr>
          <w:rFonts w:hint="eastAsia" w:eastAsia="FangSong_GB2312"/>
          <w:b/>
          <w:sz w:val="32"/>
          <w:szCs w:val="32"/>
          <w:highlight w:val="none"/>
          <w:lang w:val="en-US" w:eastAsia="zh-CN"/>
        </w:rPr>
        <w:t>5-10</w:t>
      </w:r>
    </w:p>
    <w:p>
      <w:pPr>
        <w:jc w:val="center"/>
        <w:rPr>
          <w:rFonts w:hint="eastAsia" w:ascii="Times New Roman" w:hAnsi="Times New Roman" w:eastAsia="宋体" w:cs="Times New Roman"/>
          <w:b/>
          <w:bCs/>
          <w:color w:val="auto"/>
          <w:sz w:val="32"/>
          <w:szCs w:val="32"/>
          <w:highlight w:val="none"/>
        </w:rPr>
      </w:pPr>
      <w:r>
        <w:rPr>
          <w:rFonts w:hint="eastAsia" w:ascii="Times New Roman" w:hAnsi="Times New Roman" w:eastAsia="宋体" w:cs="Times New Roman"/>
          <w:b/>
          <w:bCs/>
          <w:color w:val="auto"/>
          <w:sz w:val="32"/>
          <w:szCs w:val="32"/>
          <w:highlight w:val="none"/>
        </w:rPr>
        <w:t>目</w:t>
      </w:r>
      <w:r>
        <w:rPr>
          <w:rFonts w:hint="eastAsia" w:ascii="Times New Roman" w:hAnsi="Times New Roman" w:eastAsia="宋体" w:cs="Times New Roman"/>
          <w:b/>
          <w:bCs/>
          <w:color w:val="auto"/>
          <w:sz w:val="32"/>
          <w:szCs w:val="32"/>
          <w:highlight w:val="none"/>
          <w:lang w:val="en-US" w:eastAsia="zh-CN"/>
        </w:rPr>
        <w:t xml:space="preserve">  </w:t>
      </w:r>
      <w:r>
        <w:rPr>
          <w:rFonts w:hint="eastAsia" w:ascii="Times New Roman" w:hAnsi="Times New Roman" w:eastAsia="宋体" w:cs="Times New Roman"/>
          <w:b/>
          <w:bCs/>
          <w:color w:val="auto"/>
          <w:sz w:val="32"/>
          <w:szCs w:val="32"/>
          <w:highlight w:val="none"/>
        </w:rPr>
        <w:t>录</w:t>
      </w:r>
    </w:p>
    <w:p>
      <w:pPr>
        <w:jc w:val="center"/>
        <w:rPr>
          <w:rFonts w:hint="eastAsia" w:ascii="Times New Roman" w:hAnsi="Times New Roman" w:eastAsia="宋体" w:cs="Times New Roman"/>
          <w:b/>
          <w:bCs/>
          <w:color w:val="auto"/>
          <w:sz w:val="28"/>
          <w:szCs w:val="28"/>
          <w:highlight w:val="none"/>
        </w:rPr>
      </w:pPr>
      <w:r>
        <w:rPr>
          <w:rFonts w:hint="eastAsia" w:ascii="Times New Roman" w:hAnsi="Times New Roman" w:eastAsia="宋体" w:cs="Times New Roman"/>
          <w:b/>
          <w:bCs/>
          <w:color w:val="auto"/>
          <w:sz w:val="28"/>
          <w:szCs w:val="28"/>
          <w:highlight w:val="none"/>
        </w:rPr>
        <w:t>CONTENTS</w:t>
      </w:r>
    </w:p>
    <w:p>
      <w:pPr>
        <w:jc w:val="center"/>
        <w:rPr>
          <w:rFonts w:hint="default" w:ascii="Times New Roman" w:hAnsi="Times New Roman" w:cs="Times New Roman"/>
          <w:b/>
          <w:bCs/>
          <w:color w:val="auto"/>
          <w:sz w:val="32"/>
          <w:szCs w:val="32"/>
          <w:highlight w:val="none"/>
          <w:lang w:val="en-US"/>
        </w:rPr>
      </w:pPr>
      <w:r>
        <w:rPr>
          <w:rFonts w:hint="default" w:ascii="Times New Roman" w:hAnsi="Times New Roman" w:cs="Times New Roman"/>
          <w:b/>
          <w:bCs/>
          <w:color w:val="auto"/>
          <w:sz w:val="32"/>
          <w:szCs w:val="32"/>
          <w:highlight w:val="none"/>
          <w:lang w:val="en-US"/>
        </w:rPr>
        <w:t xml:space="preserve"> </w:t>
      </w:r>
    </w:p>
    <w:p>
      <w:pPr>
        <w:pStyle w:val="13"/>
        <w:tabs>
          <w:tab w:val="right" w:leader="dot" w:pos="8306"/>
        </w:tabs>
        <w:rPr>
          <w:highlight w:val="none"/>
        </w:rPr>
      </w:pPr>
      <w:r>
        <w:rPr>
          <w:rFonts w:hint="eastAsia" w:ascii="Times New Roman" w:hAnsi="Times New Roman" w:eastAsia="宋体" w:cs="Times New Roman"/>
          <w:b/>
          <w:bCs/>
          <w:color w:val="auto"/>
          <w:sz w:val="20"/>
          <w:szCs w:val="20"/>
          <w:highlight w:val="none"/>
        </w:rPr>
        <w:fldChar w:fldCharType="begin"/>
      </w:r>
      <w:r>
        <w:rPr>
          <w:rFonts w:hint="eastAsia" w:ascii="Times New Roman" w:hAnsi="Times New Roman" w:eastAsia="宋体" w:cs="Times New Roman"/>
          <w:b/>
          <w:bCs/>
          <w:color w:val="auto"/>
          <w:sz w:val="20"/>
          <w:szCs w:val="20"/>
          <w:highlight w:val="none"/>
        </w:rPr>
        <w:instrText xml:space="preserve">TOC \o "1-1" \h \u </w:instrText>
      </w:r>
      <w:r>
        <w:rPr>
          <w:rFonts w:hint="eastAsia" w:ascii="Times New Roman" w:hAnsi="Times New Roman" w:eastAsia="宋体" w:cs="Times New Roman"/>
          <w:b/>
          <w:bCs/>
          <w:color w:val="auto"/>
          <w:sz w:val="20"/>
          <w:szCs w:val="20"/>
          <w:highlight w:val="none"/>
        </w:rPr>
        <w:fldChar w:fldCharType="separate"/>
      </w:r>
      <w:r>
        <w:rPr>
          <w:rFonts w:hint="eastAsia" w:ascii="Times New Roman" w:hAnsi="Times New Roman" w:eastAsia="宋体" w:cs="Times New Roman"/>
          <w:bCs/>
          <w:color w:val="auto"/>
          <w:szCs w:val="20"/>
          <w:highlight w:val="none"/>
        </w:rPr>
        <w:fldChar w:fldCharType="begin"/>
      </w:r>
      <w:r>
        <w:rPr>
          <w:rFonts w:hint="eastAsia" w:ascii="Times New Roman" w:hAnsi="Times New Roman" w:eastAsia="宋体" w:cs="Times New Roman"/>
          <w:bCs/>
          <w:szCs w:val="20"/>
          <w:highlight w:val="none"/>
        </w:rPr>
        <w:instrText xml:space="preserve"> HYPERLINK \l _Toc11493 </w:instrText>
      </w:r>
      <w:r>
        <w:rPr>
          <w:rFonts w:hint="eastAsia" w:ascii="Times New Roman" w:hAnsi="Times New Roman" w:eastAsia="宋体" w:cs="Times New Roman"/>
          <w:bCs/>
          <w:szCs w:val="20"/>
          <w:highlight w:val="none"/>
        </w:rPr>
        <w:fldChar w:fldCharType="separate"/>
      </w:r>
      <w:r>
        <w:rPr>
          <w:rFonts w:hint="eastAsia" w:ascii="宋体" w:hAnsi="宋体" w:eastAsia="宋体" w:cs="宋体"/>
          <w:bCs/>
          <w:szCs w:val="28"/>
          <w:highlight w:val="none"/>
        </w:rPr>
        <w:t>1</w:t>
      </w:r>
      <w:r>
        <w:rPr>
          <w:rFonts w:hint="eastAsia" w:ascii="宋体" w:hAnsi="宋体" w:eastAsia="宋体" w:cs="宋体"/>
          <w:bCs/>
          <w:szCs w:val="28"/>
          <w:highlight w:val="none"/>
          <w:lang w:eastAsia="zh-CN"/>
        </w:rPr>
        <w:t>.</w:t>
      </w:r>
      <w:r>
        <w:rPr>
          <w:rFonts w:hint="eastAsia" w:ascii="宋体" w:hAnsi="宋体" w:eastAsia="宋体" w:cs="宋体"/>
          <w:bCs/>
          <w:szCs w:val="28"/>
          <w:highlight w:val="none"/>
        </w:rPr>
        <w:t>总则</w:t>
      </w:r>
      <w:r>
        <w:rPr>
          <w:highlight w:val="none"/>
        </w:rPr>
        <w:tab/>
      </w:r>
      <w:r>
        <w:rPr>
          <w:highlight w:val="none"/>
        </w:rPr>
        <w:fldChar w:fldCharType="begin"/>
      </w:r>
      <w:r>
        <w:rPr>
          <w:highlight w:val="none"/>
        </w:rPr>
        <w:instrText xml:space="preserve"> PAGEREF _Toc11493 \h </w:instrText>
      </w:r>
      <w:r>
        <w:rPr>
          <w:highlight w:val="none"/>
        </w:rPr>
        <w:fldChar w:fldCharType="separate"/>
      </w:r>
      <w:r>
        <w:rPr>
          <w:highlight w:val="none"/>
        </w:rPr>
        <w:t>1</w:t>
      </w:r>
      <w:r>
        <w:rPr>
          <w:highlight w:val="none"/>
        </w:rPr>
        <w:fldChar w:fldCharType="end"/>
      </w:r>
      <w:r>
        <w:rPr>
          <w:rFonts w:hint="eastAsia" w:ascii="Times New Roman" w:hAnsi="Times New Roman" w:eastAsia="宋体" w:cs="Times New Roman"/>
          <w:bCs/>
          <w:color w:val="auto"/>
          <w:szCs w:val="20"/>
          <w:highlight w:val="none"/>
        </w:rPr>
        <w:fldChar w:fldCharType="end"/>
      </w:r>
    </w:p>
    <w:p>
      <w:pPr>
        <w:pStyle w:val="13"/>
        <w:tabs>
          <w:tab w:val="right" w:leader="dot" w:pos="8306"/>
        </w:tabs>
        <w:rPr>
          <w:rFonts w:hint="eastAsia" w:ascii="Times New Roman" w:hAnsi="Times New Roman" w:eastAsia="宋体" w:cs="Times New Roman"/>
          <w:bCs/>
          <w:color w:val="auto"/>
          <w:szCs w:val="20"/>
          <w:highlight w:val="none"/>
        </w:rPr>
      </w:pPr>
      <w:r>
        <w:rPr>
          <w:rFonts w:hint="eastAsia" w:cs="Times New Roman"/>
          <w:bCs/>
          <w:color w:val="auto"/>
          <w:szCs w:val="20"/>
          <w:highlight w:val="none"/>
          <w:lang w:val="en-US" w:eastAsia="zh-CN"/>
        </w:rPr>
        <w:t>1.</w:t>
      </w:r>
      <w:r>
        <w:rPr>
          <w:rFonts w:hint="eastAsia" w:ascii="Times New Roman" w:hAnsi="Times New Roman" w:eastAsia="宋体" w:cs="Times New Roman"/>
          <w:bCs/>
          <w:color w:val="auto"/>
          <w:szCs w:val="20"/>
          <w:highlight w:val="none"/>
        </w:rPr>
        <w:t>general rules</w:t>
      </w:r>
    </w:p>
    <w:p>
      <w:pPr>
        <w:pStyle w:val="13"/>
        <w:tabs>
          <w:tab w:val="right" w:leader="dot" w:pos="8306"/>
        </w:tabs>
        <w:rPr>
          <w:highlight w:val="none"/>
        </w:rPr>
      </w:pPr>
      <w:r>
        <w:rPr>
          <w:rFonts w:hint="eastAsia" w:ascii="Times New Roman" w:hAnsi="Times New Roman" w:eastAsia="宋体" w:cs="Times New Roman"/>
          <w:bCs/>
          <w:color w:val="auto"/>
          <w:szCs w:val="20"/>
          <w:highlight w:val="none"/>
        </w:rPr>
        <w:fldChar w:fldCharType="begin"/>
      </w:r>
      <w:r>
        <w:rPr>
          <w:rFonts w:hint="eastAsia" w:ascii="Times New Roman" w:hAnsi="Times New Roman" w:eastAsia="宋体" w:cs="Times New Roman"/>
          <w:bCs/>
          <w:szCs w:val="20"/>
          <w:highlight w:val="none"/>
        </w:rPr>
        <w:instrText xml:space="preserve"> HYPERLINK \l _Toc18818 </w:instrText>
      </w:r>
      <w:r>
        <w:rPr>
          <w:rFonts w:hint="eastAsia" w:ascii="Times New Roman" w:hAnsi="Times New Roman" w:eastAsia="宋体" w:cs="Times New Roman"/>
          <w:bCs/>
          <w:szCs w:val="20"/>
          <w:highlight w:val="none"/>
        </w:rPr>
        <w:fldChar w:fldCharType="separate"/>
      </w:r>
      <w:r>
        <w:rPr>
          <w:rFonts w:hint="eastAsia" w:ascii="宋体" w:hAnsi="宋体" w:eastAsia="宋体" w:cs="宋体"/>
          <w:bCs/>
          <w:szCs w:val="28"/>
          <w:highlight w:val="none"/>
          <w:lang w:val="en-US" w:eastAsia="zh-CN"/>
        </w:rPr>
        <w:t>2.电厂概况</w:t>
      </w:r>
      <w:r>
        <w:rPr>
          <w:highlight w:val="none"/>
        </w:rPr>
        <w:tab/>
      </w:r>
      <w:r>
        <w:rPr>
          <w:highlight w:val="none"/>
        </w:rPr>
        <w:fldChar w:fldCharType="begin"/>
      </w:r>
      <w:r>
        <w:rPr>
          <w:highlight w:val="none"/>
        </w:rPr>
        <w:instrText xml:space="preserve"> PAGEREF _Toc18818 \h </w:instrText>
      </w:r>
      <w:r>
        <w:rPr>
          <w:highlight w:val="none"/>
        </w:rPr>
        <w:fldChar w:fldCharType="separate"/>
      </w:r>
      <w:r>
        <w:rPr>
          <w:highlight w:val="none"/>
        </w:rPr>
        <w:t>1</w:t>
      </w:r>
      <w:r>
        <w:rPr>
          <w:highlight w:val="none"/>
        </w:rPr>
        <w:fldChar w:fldCharType="end"/>
      </w:r>
      <w:r>
        <w:rPr>
          <w:rFonts w:hint="eastAsia" w:ascii="Times New Roman" w:hAnsi="Times New Roman" w:eastAsia="宋体" w:cs="Times New Roman"/>
          <w:bCs/>
          <w:color w:val="auto"/>
          <w:szCs w:val="20"/>
          <w:highlight w:val="none"/>
        </w:rPr>
        <w:fldChar w:fldCharType="end"/>
      </w:r>
    </w:p>
    <w:p>
      <w:pPr>
        <w:pStyle w:val="13"/>
        <w:tabs>
          <w:tab w:val="right" w:leader="dot" w:pos="8306"/>
        </w:tabs>
        <w:rPr>
          <w:rFonts w:hint="eastAsia" w:ascii="Times New Roman" w:hAnsi="Times New Roman" w:eastAsia="宋体" w:cs="Times New Roman"/>
          <w:bCs/>
          <w:color w:val="auto"/>
          <w:szCs w:val="20"/>
          <w:highlight w:val="none"/>
        </w:rPr>
      </w:pPr>
      <w:r>
        <w:rPr>
          <w:rFonts w:hint="eastAsia" w:cs="Times New Roman"/>
          <w:bCs/>
          <w:color w:val="auto"/>
          <w:szCs w:val="20"/>
          <w:highlight w:val="none"/>
          <w:lang w:val="en-US" w:eastAsia="zh-CN"/>
        </w:rPr>
        <w:t>2.</w:t>
      </w:r>
      <w:r>
        <w:rPr>
          <w:rFonts w:hint="eastAsia" w:ascii="Times New Roman" w:hAnsi="Times New Roman" w:eastAsia="宋体" w:cs="Times New Roman"/>
          <w:bCs/>
          <w:color w:val="auto"/>
          <w:szCs w:val="20"/>
          <w:highlight w:val="none"/>
        </w:rPr>
        <w:t>Plant Overview</w:t>
      </w:r>
    </w:p>
    <w:p>
      <w:pPr>
        <w:pStyle w:val="13"/>
        <w:tabs>
          <w:tab w:val="right" w:leader="dot" w:pos="8306"/>
        </w:tabs>
        <w:rPr>
          <w:highlight w:val="none"/>
        </w:rPr>
      </w:pPr>
      <w:r>
        <w:rPr>
          <w:rFonts w:hint="eastAsia" w:ascii="Times New Roman" w:hAnsi="Times New Roman" w:eastAsia="宋体" w:cs="Times New Roman"/>
          <w:bCs/>
          <w:color w:val="auto"/>
          <w:szCs w:val="20"/>
          <w:highlight w:val="none"/>
        </w:rPr>
        <w:fldChar w:fldCharType="begin"/>
      </w:r>
      <w:r>
        <w:rPr>
          <w:rFonts w:hint="eastAsia" w:ascii="Times New Roman" w:hAnsi="Times New Roman" w:eastAsia="宋体" w:cs="Times New Roman"/>
          <w:bCs/>
          <w:szCs w:val="20"/>
          <w:highlight w:val="none"/>
        </w:rPr>
        <w:instrText xml:space="preserve"> HYPERLINK \l _Toc2484 </w:instrText>
      </w:r>
      <w:r>
        <w:rPr>
          <w:rFonts w:hint="eastAsia" w:ascii="Times New Roman" w:hAnsi="Times New Roman" w:eastAsia="宋体" w:cs="Times New Roman"/>
          <w:bCs/>
          <w:szCs w:val="20"/>
          <w:highlight w:val="none"/>
        </w:rPr>
        <w:fldChar w:fldCharType="separate"/>
      </w:r>
      <w:r>
        <w:rPr>
          <w:rFonts w:hint="eastAsia" w:ascii="宋体" w:hAnsi="宋体" w:eastAsia="宋体" w:cs="宋体"/>
          <w:bCs/>
          <w:szCs w:val="28"/>
          <w:highlight w:val="none"/>
          <w:lang w:val="en-US" w:eastAsia="zh-CN"/>
        </w:rPr>
        <w:t>3.</w:t>
      </w:r>
      <w:r>
        <w:rPr>
          <w:rFonts w:hint="eastAsia" w:ascii="宋体" w:hAnsi="宋体" w:eastAsia="宋体" w:cs="宋体"/>
          <w:szCs w:val="28"/>
          <w:highlight w:val="none"/>
          <w:lang w:val="en-US" w:eastAsia="zh-CN"/>
        </w:rPr>
        <w:t>工程范围及工作内容</w:t>
      </w:r>
      <w:r>
        <w:rPr>
          <w:highlight w:val="none"/>
        </w:rPr>
        <w:tab/>
      </w:r>
      <w:r>
        <w:rPr>
          <w:highlight w:val="none"/>
        </w:rPr>
        <w:fldChar w:fldCharType="begin"/>
      </w:r>
      <w:r>
        <w:rPr>
          <w:highlight w:val="none"/>
        </w:rPr>
        <w:instrText xml:space="preserve"> PAGEREF _Toc2484 \h </w:instrText>
      </w:r>
      <w:r>
        <w:rPr>
          <w:highlight w:val="none"/>
        </w:rPr>
        <w:fldChar w:fldCharType="separate"/>
      </w:r>
      <w:r>
        <w:rPr>
          <w:highlight w:val="none"/>
        </w:rPr>
        <w:t>1</w:t>
      </w:r>
      <w:r>
        <w:rPr>
          <w:highlight w:val="none"/>
        </w:rPr>
        <w:fldChar w:fldCharType="end"/>
      </w:r>
      <w:r>
        <w:rPr>
          <w:rFonts w:hint="eastAsia" w:ascii="Times New Roman" w:hAnsi="Times New Roman" w:eastAsia="宋体" w:cs="Times New Roman"/>
          <w:bCs/>
          <w:color w:val="auto"/>
          <w:szCs w:val="20"/>
          <w:highlight w:val="none"/>
        </w:rPr>
        <w:fldChar w:fldCharType="end"/>
      </w:r>
    </w:p>
    <w:p>
      <w:pPr>
        <w:pStyle w:val="13"/>
        <w:tabs>
          <w:tab w:val="right" w:leader="dot" w:pos="8306"/>
        </w:tabs>
        <w:rPr>
          <w:rFonts w:hint="eastAsia" w:ascii="Times New Roman" w:hAnsi="Times New Roman" w:eastAsia="宋体" w:cs="Times New Roman"/>
          <w:bCs/>
          <w:color w:val="auto"/>
          <w:szCs w:val="20"/>
          <w:highlight w:val="none"/>
        </w:rPr>
      </w:pPr>
      <w:r>
        <w:rPr>
          <w:rFonts w:hint="eastAsia" w:cs="Times New Roman"/>
          <w:bCs/>
          <w:color w:val="auto"/>
          <w:szCs w:val="20"/>
          <w:highlight w:val="none"/>
          <w:lang w:val="en-US" w:eastAsia="zh-CN"/>
        </w:rPr>
        <w:t>3.</w:t>
      </w:r>
      <w:r>
        <w:rPr>
          <w:rFonts w:hint="eastAsia" w:ascii="Times New Roman" w:hAnsi="Times New Roman" w:eastAsia="宋体" w:cs="Times New Roman"/>
          <w:bCs/>
          <w:color w:val="auto"/>
          <w:szCs w:val="20"/>
          <w:highlight w:val="none"/>
        </w:rPr>
        <w:t>Project scope and work content</w:t>
      </w:r>
    </w:p>
    <w:p>
      <w:pPr>
        <w:pStyle w:val="13"/>
        <w:tabs>
          <w:tab w:val="right" w:leader="dot" w:pos="8306"/>
        </w:tabs>
        <w:rPr>
          <w:highlight w:val="none"/>
        </w:rPr>
      </w:pPr>
      <w:r>
        <w:rPr>
          <w:rFonts w:hint="eastAsia" w:ascii="Times New Roman" w:hAnsi="Times New Roman" w:eastAsia="宋体" w:cs="Times New Roman"/>
          <w:bCs/>
          <w:color w:val="auto"/>
          <w:szCs w:val="20"/>
          <w:highlight w:val="none"/>
        </w:rPr>
        <w:fldChar w:fldCharType="begin"/>
      </w:r>
      <w:r>
        <w:rPr>
          <w:rFonts w:hint="eastAsia" w:ascii="Times New Roman" w:hAnsi="Times New Roman" w:eastAsia="宋体" w:cs="Times New Roman"/>
          <w:bCs/>
          <w:szCs w:val="20"/>
          <w:highlight w:val="none"/>
        </w:rPr>
        <w:instrText xml:space="preserve"> HYPERLINK \l _Toc4658 </w:instrText>
      </w:r>
      <w:r>
        <w:rPr>
          <w:rFonts w:hint="eastAsia" w:ascii="Times New Roman" w:hAnsi="Times New Roman" w:eastAsia="宋体" w:cs="Times New Roman"/>
          <w:bCs/>
          <w:szCs w:val="20"/>
          <w:highlight w:val="none"/>
        </w:rPr>
        <w:fldChar w:fldCharType="separate"/>
      </w:r>
      <w:r>
        <w:rPr>
          <w:rFonts w:hint="eastAsia" w:ascii="宋体" w:hAnsi="宋体" w:cs="Times New Roman"/>
          <w:szCs w:val="28"/>
          <w:highlight w:val="none"/>
          <w:lang w:val="en-US" w:eastAsia="zh-CN"/>
        </w:rPr>
        <w:t>4.服务期限</w:t>
      </w:r>
      <w:r>
        <w:rPr>
          <w:highlight w:val="none"/>
        </w:rPr>
        <w:tab/>
      </w:r>
      <w:r>
        <w:rPr>
          <w:highlight w:val="none"/>
        </w:rPr>
        <w:fldChar w:fldCharType="begin"/>
      </w:r>
      <w:r>
        <w:rPr>
          <w:highlight w:val="none"/>
        </w:rPr>
        <w:instrText xml:space="preserve"> PAGEREF _Toc4658 \h </w:instrText>
      </w:r>
      <w:r>
        <w:rPr>
          <w:highlight w:val="none"/>
        </w:rPr>
        <w:fldChar w:fldCharType="separate"/>
      </w:r>
      <w:r>
        <w:rPr>
          <w:highlight w:val="none"/>
        </w:rPr>
        <w:t>2</w:t>
      </w:r>
      <w:r>
        <w:rPr>
          <w:highlight w:val="none"/>
        </w:rPr>
        <w:fldChar w:fldCharType="end"/>
      </w:r>
      <w:r>
        <w:rPr>
          <w:rFonts w:hint="eastAsia" w:ascii="Times New Roman" w:hAnsi="Times New Roman" w:eastAsia="宋体" w:cs="Times New Roman"/>
          <w:bCs/>
          <w:color w:val="auto"/>
          <w:szCs w:val="20"/>
          <w:highlight w:val="none"/>
        </w:rPr>
        <w:fldChar w:fldCharType="end"/>
      </w:r>
    </w:p>
    <w:p>
      <w:pPr>
        <w:pStyle w:val="13"/>
        <w:tabs>
          <w:tab w:val="right" w:leader="dot" w:pos="8306"/>
        </w:tabs>
        <w:rPr>
          <w:rFonts w:hint="eastAsia" w:ascii="Times New Roman" w:hAnsi="Times New Roman" w:eastAsia="宋体" w:cs="Times New Roman"/>
          <w:bCs/>
          <w:color w:val="auto"/>
          <w:szCs w:val="20"/>
          <w:highlight w:val="none"/>
        </w:rPr>
      </w:pPr>
      <w:r>
        <w:rPr>
          <w:rFonts w:hint="eastAsia" w:cs="Times New Roman"/>
          <w:bCs/>
          <w:color w:val="auto"/>
          <w:szCs w:val="20"/>
          <w:highlight w:val="none"/>
          <w:lang w:val="en-US" w:eastAsia="zh-CN"/>
        </w:rPr>
        <w:t>4.</w:t>
      </w:r>
      <w:r>
        <w:rPr>
          <w:rFonts w:hint="eastAsia" w:ascii="Times New Roman" w:hAnsi="Times New Roman" w:eastAsia="宋体" w:cs="Times New Roman"/>
          <w:bCs/>
          <w:color w:val="auto"/>
          <w:szCs w:val="20"/>
          <w:highlight w:val="none"/>
        </w:rPr>
        <w:t xml:space="preserve">term of service </w:t>
      </w:r>
    </w:p>
    <w:p>
      <w:pPr>
        <w:pStyle w:val="13"/>
        <w:tabs>
          <w:tab w:val="right" w:leader="dot" w:pos="8306"/>
        </w:tabs>
        <w:rPr>
          <w:highlight w:val="none"/>
        </w:rPr>
      </w:pPr>
      <w:r>
        <w:rPr>
          <w:rFonts w:hint="eastAsia" w:ascii="Times New Roman" w:hAnsi="Times New Roman" w:eastAsia="宋体" w:cs="Times New Roman"/>
          <w:bCs/>
          <w:color w:val="auto"/>
          <w:szCs w:val="20"/>
          <w:highlight w:val="none"/>
        </w:rPr>
        <w:fldChar w:fldCharType="begin"/>
      </w:r>
      <w:r>
        <w:rPr>
          <w:rFonts w:hint="eastAsia" w:ascii="Times New Roman" w:hAnsi="Times New Roman" w:eastAsia="宋体" w:cs="Times New Roman"/>
          <w:bCs/>
          <w:szCs w:val="20"/>
          <w:highlight w:val="none"/>
        </w:rPr>
        <w:instrText xml:space="preserve"> HYPERLINK \l _Toc23009 </w:instrText>
      </w:r>
      <w:r>
        <w:rPr>
          <w:rFonts w:hint="eastAsia" w:ascii="Times New Roman" w:hAnsi="Times New Roman" w:eastAsia="宋体" w:cs="Times New Roman"/>
          <w:bCs/>
          <w:szCs w:val="20"/>
          <w:highlight w:val="none"/>
        </w:rPr>
        <w:fldChar w:fldCharType="separate"/>
      </w:r>
      <w:r>
        <w:rPr>
          <w:rFonts w:hint="eastAsia" w:ascii="宋体" w:hAnsi="宋体" w:eastAsia="宋体" w:cs="宋体"/>
          <w:bCs/>
          <w:szCs w:val="28"/>
          <w:highlight w:val="none"/>
          <w:lang w:val="en-US" w:eastAsia="zh-CN"/>
        </w:rPr>
        <w:t>5.资质要求</w:t>
      </w:r>
      <w:r>
        <w:rPr>
          <w:highlight w:val="none"/>
        </w:rPr>
        <w:tab/>
      </w:r>
      <w:r>
        <w:rPr>
          <w:highlight w:val="none"/>
        </w:rPr>
        <w:fldChar w:fldCharType="begin"/>
      </w:r>
      <w:r>
        <w:rPr>
          <w:highlight w:val="none"/>
        </w:rPr>
        <w:instrText xml:space="preserve"> PAGEREF _Toc23009 \h </w:instrText>
      </w:r>
      <w:r>
        <w:rPr>
          <w:highlight w:val="none"/>
        </w:rPr>
        <w:fldChar w:fldCharType="separate"/>
      </w:r>
      <w:r>
        <w:rPr>
          <w:highlight w:val="none"/>
        </w:rPr>
        <w:t>2</w:t>
      </w:r>
      <w:r>
        <w:rPr>
          <w:highlight w:val="none"/>
        </w:rPr>
        <w:fldChar w:fldCharType="end"/>
      </w:r>
      <w:r>
        <w:rPr>
          <w:rFonts w:hint="eastAsia" w:ascii="Times New Roman" w:hAnsi="Times New Roman" w:eastAsia="宋体" w:cs="Times New Roman"/>
          <w:bCs/>
          <w:color w:val="auto"/>
          <w:szCs w:val="20"/>
          <w:highlight w:val="none"/>
        </w:rPr>
        <w:fldChar w:fldCharType="end"/>
      </w:r>
    </w:p>
    <w:p>
      <w:pPr>
        <w:pStyle w:val="13"/>
        <w:tabs>
          <w:tab w:val="right" w:leader="dot" w:pos="8306"/>
        </w:tabs>
        <w:rPr>
          <w:rFonts w:hint="eastAsia" w:ascii="Times New Roman" w:hAnsi="Times New Roman" w:eastAsia="宋体" w:cs="Times New Roman"/>
          <w:bCs/>
          <w:color w:val="auto"/>
          <w:szCs w:val="20"/>
          <w:highlight w:val="none"/>
        </w:rPr>
      </w:pPr>
      <w:r>
        <w:rPr>
          <w:rFonts w:hint="eastAsia" w:cs="Times New Roman"/>
          <w:bCs/>
          <w:color w:val="auto"/>
          <w:szCs w:val="20"/>
          <w:highlight w:val="none"/>
          <w:lang w:val="en-US" w:eastAsia="zh-CN"/>
        </w:rPr>
        <w:t>5.</w:t>
      </w:r>
      <w:r>
        <w:rPr>
          <w:rFonts w:hint="eastAsia" w:ascii="Times New Roman" w:hAnsi="Times New Roman" w:eastAsia="宋体" w:cs="Times New Roman"/>
          <w:bCs/>
          <w:color w:val="auto"/>
          <w:szCs w:val="20"/>
          <w:highlight w:val="none"/>
        </w:rPr>
        <w:t>Qualifications</w:t>
      </w:r>
    </w:p>
    <w:p>
      <w:pPr>
        <w:pStyle w:val="13"/>
        <w:tabs>
          <w:tab w:val="right" w:leader="dot" w:pos="8306"/>
        </w:tabs>
        <w:rPr>
          <w:highlight w:val="none"/>
        </w:rPr>
      </w:pPr>
      <w:r>
        <w:rPr>
          <w:rFonts w:hint="eastAsia" w:ascii="Times New Roman" w:hAnsi="Times New Roman" w:eastAsia="宋体" w:cs="Times New Roman"/>
          <w:bCs/>
          <w:color w:val="auto"/>
          <w:szCs w:val="20"/>
          <w:highlight w:val="none"/>
        </w:rPr>
        <w:fldChar w:fldCharType="begin"/>
      </w:r>
      <w:r>
        <w:rPr>
          <w:rFonts w:hint="eastAsia" w:ascii="Times New Roman" w:hAnsi="Times New Roman" w:eastAsia="宋体" w:cs="Times New Roman"/>
          <w:bCs/>
          <w:szCs w:val="20"/>
          <w:highlight w:val="none"/>
        </w:rPr>
        <w:instrText xml:space="preserve"> HYPERLINK \l _Toc16531 </w:instrText>
      </w:r>
      <w:r>
        <w:rPr>
          <w:rFonts w:hint="eastAsia" w:ascii="Times New Roman" w:hAnsi="Times New Roman" w:eastAsia="宋体" w:cs="Times New Roman"/>
          <w:bCs/>
          <w:szCs w:val="20"/>
          <w:highlight w:val="none"/>
        </w:rPr>
        <w:fldChar w:fldCharType="separate"/>
      </w:r>
      <w:r>
        <w:rPr>
          <w:rFonts w:hint="eastAsia" w:ascii="宋体" w:hAnsi="宋体" w:eastAsia="宋体" w:cs="宋体"/>
          <w:bCs/>
          <w:szCs w:val="28"/>
          <w:highlight w:val="none"/>
          <w:lang w:val="en-US" w:eastAsia="zh-CN"/>
        </w:rPr>
        <w:t>6.</w:t>
      </w:r>
      <w:r>
        <w:rPr>
          <w:rFonts w:hint="eastAsia" w:ascii="宋体" w:hAnsi="宋体" w:eastAsia="宋体" w:cs="宋体"/>
          <w:bCs/>
          <w:szCs w:val="28"/>
          <w:highlight w:val="none"/>
        </w:rPr>
        <w:t>遵循规范及要求</w:t>
      </w:r>
      <w:r>
        <w:rPr>
          <w:highlight w:val="none"/>
        </w:rPr>
        <w:tab/>
      </w:r>
      <w:r>
        <w:rPr>
          <w:highlight w:val="none"/>
        </w:rPr>
        <w:fldChar w:fldCharType="begin"/>
      </w:r>
      <w:r>
        <w:rPr>
          <w:highlight w:val="none"/>
        </w:rPr>
        <w:instrText xml:space="preserve"> PAGEREF _Toc16531 \h </w:instrText>
      </w:r>
      <w:r>
        <w:rPr>
          <w:highlight w:val="none"/>
        </w:rPr>
        <w:fldChar w:fldCharType="separate"/>
      </w:r>
      <w:r>
        <w:rPr>
          <w:highlight w:val="none"/>
        </w:rPr>
        <w:t>2</w:t>
      </w:r>
      <w:r>
        <w:rPr>
          <w:highlight w:val="none"/>
        </w:rPr>
        <w:fldChar w:fldCharType="end"/>
      </w:r>
      <w:r>
        <w:rPr>
          <w:rFonts w:hint="eastAsia" w:ascii="Times New Roman" w:hAnsi="Times New Roman" w:eastAsia="宋体" w:cs="Times New Roman"/>
          <w:bCs/>
          <w:color w:val="auto"/>
          <w:szCs w:val="20"/>
          <w:highlight w:val="none"/>
        </w:rPr>
        <w:fldChar w:fldCharType="end"/>
      </w:r>
    </w:p>
    <w:p>
      <w:pPr>
        <w:pStyle w:val="13"/>
        <w:tabs>
          <w:tab w:val="right" w:leader="dot" w:pos="8306"/>
        </w:tabs>
        <w:rPr>
          <w:rFonts w:hint="eastAsia" w:ascii="Times New Roman" w:hAnsi="Times New Roman" w:eastAsia="宋体" w:cs="Times New Roman"/>
          <w:bCs/>
          <w:color w:val="auto"/>
          <w:szCs w:val="20"/>
          <w:highlight w:val="none"/>
        </w:rPr>
      </w:pPr>
      <w:r>
        <w:rPr>
          <w:rFonts w:hint="eastAsia" w:cs="Times New Roman"/>
          <w:bCs/>
          <w:color w:val="auto"/>
          <w:szCs w:val="20"/>
          <w:highlight w:val="none"/>
          <w:lang w:val="en-US" w:eastAsia="zh-CN"/>
        </w:rPr>
        <w:t>6.</w:t>
      </w:r>
      <w:r>
        <w:rPr>
          <w:rFonts w:hint="eastAsia" w:ascii="Times New Roman" w:hAnsi="Times New Roman" w:eastAsia="宋体" w:cs="Times New Roman"/>
          <w:bCs/>
          <w:color w:val="auto"/>
          <w:szCs w:val="20"/>
          <w:highlight w:val="none"/>
        </w:rPr>
        <w:t>Comply with standards and requirements</w:t>
      </w:r>
    </w:p>
    <w:p>
      <w:pPr>
        <w:pStyle w:val="13"/>
        <w:tabs>
          <w:tab w:val="right" w:leader="dot" w:pos="8306"/>
        </w:tabs>
        <w:rPr>
          <w:highlight w:val="none"/>
        </w:rPr>
      </w:pPr>
      <w:r>
        <w:rPr>
          <w:rFonts w:hint="eastAsia" w:ascii="Times New Roman" w:hAnsi="Times New Roman" w:eastAsia="宋体" w:cs="Times New Roman"/>
          <w:bCs/>
          <w:color w:val="auto"/>
          <w:szCs w:val="20"/>
          <w:highlight w:val="none"/>
        </w:rPr>
        <w:fldChar w:fldCharType="begin"/>
      </w:r>
      <w:r>
        <w:rPr>
          <w:rFonts w:hint="eastAsia" w:ascii="Times New Roman" w:hAnsi="Times New Roman" w:eastAsia="宋体" w:cs="Times New Roman"/>
          <w:bCs/>
          <w:szCs w:val="20"/>
          <w:highlight w:val="none"/>
        </w:rPr>
        <w:instrText xml:space="preserve"> HYPERLINK \l _Toc21720 </w:instrText>
      </w:r>
      <w:r>
        <w:rPr>
          <w:rFonts w:hint="eastAsia" w:ascii="Times New Roman" w:hAnsi="Times New Roman" w:eastAsia="宋体" w:cs="Times New Roman"/>
          <w:bCs/>
          <w:szCs w:val="20"/>
          <w:highlight w:val="none"/>
        </w:rPr>
        <w:fldChar w:fldCharType="separate"/>
      </w:r>
      <w:r>
        <w:rPr>
          <w:rFonts w:hint="eastAsia" w:ascii="宋体" w:hAnsi="宋体" w:eastAsia="宋体" w:cs="宋体"/>
          <w:bCs/>
          <w:szCs w:val="28"/>
          <w:highlight w:val="none"/>
          <w:lang w:val="en-US" w:eastAsia="zh-CN"/>
        </w:rPr>
        <w:t>7.技术要求</w:t>
      </w:r>
      <w:r>
        <w:rPr>
          <w:highlight w:val="none"/>
        </w:rPr>
        <w:tab/>
      </w:r>
      <w:r>
        <w:rPr>
          <w:highlight w:val="none"/>
        </w:rPr>
        <w:fldChar w:fldCharType="begin"/>
      </w:r>
      <w:r>
        <w:rPr>
          <w:highlight w:val="none"/>
        </w:rPr>
        <w:instrText xml:space="preserve"> PAGEREF _Toc21720 \h </w:instrText>
      </w:r>
      <w:r>
        <w:rPr>
          <w:highlight w:val="none"/>
        </w:rPr>
        <w:fldChar w:fldCharType="separate"/>
      </w:r>
      <w:r>
        <w:rPr>
          <w:highlight w:val="none"/>
        </w:rPr>
        <w:t>3</w:t>
      </w:r>
      <w:r>
        <w:rPr>
          <w:highlight w:val="none"/>
        </w:rPr>
        <w:fldChar w:fldCharType="end"/>
      </w:r>
      <w:r>
        <w:rPr>
          <w:rFonts w:hint="eastAsia" w:ascii="Times New Roman" w:hAnsi="Times New Roman" w:eastAsia="宋体" w:cs="Times New Roman"/>
          <w:bCs/>
          <w:color w:val="auto"/>
          <w:szCs w:val="20"/>
          <w:highlight w:val="none"/>
        </w:rPr>
        <w:fldChar w:fldCharType="end"/>
      </w:r>
    </w:p>
    <w:p>
      <w:pPr>
        <w:pStyle w:val="13"/>
        <w:tabs>
          <w:tab w:val="right" w:leader="dot" w:pos="8306"/>
        </w:tabs>
        <w:rPr>
          <w:rFonts w:hint="eastAsia" w:ascii="Times New Roman" w:hAnsi="Times New Roman" w:eastAsia="宋体" w:cs="Times New Roman"/>
          <w:bCs/>
          <w:color w:val="auto"/>
          <w:szCs w:val="20"/>
          <w:highlight w:val="none"/>
        </w:rPr>
      </w:pPr>
      <w:r>
        <w:rPr>
          <w:rFonts w:hint="eastAsia" w:cs="Times New Roman"/>
          <w:bCs/>
          <w:color w:val="auto"/>
          <w:szCs w:val="20"/>
          <w:highlight w:val="none"/>
          <w:lang w:val="en-US" w:eastAsia="zh-CN"/>
        </w:rPr>
        <w:t>7.</w:t>
      </w:r>
      <w:r>
        <w:rPr>
          <w:rFonts w:hint="eastAsia" w:ascii="Times New Roman" w:hAnsi="Times New Roman" w:eastAsia="宋体" w:cs="Times New Roman"/>
          <w:bCs/>
          <w:color w:val="auto"/>
          <w:szCs w:val="20"/>
          <w:highlight w:val="none"/>
        </w:rPr>
        <w:t>technical requirement</w:t>
      </w:r>
    </w:p>
    <w:p>
      <w:pPr>
        <w:pStyle w:val="13"/>
        <w:tabs>
          <w:tab w:val="right" w:leader="dot" w:pos="8306"/>
        </w:tabs>
        <w:rPr>
          <w:rFonts w:hint="eastAsia" w:ascii="Times New Roman" w:hAnsi="Times New Roman" w:eastAsia="宋体" w:cs="Times New Roman"/>
          <w:bCs/>
          <w:color w:val="auto"/>
          <w:szCs w:val="20"/>
          <w:highlight w:val="none"/>
        </w:rPr>
      </w:pPr>
      <w:r>
        <w:rPr>
          <w:rFonts w:hint="eastAsia" w:ascii="Times New Roman" w:hAnsi="Times New Roman" w:eastAsia="宋体" w:cs="Times New Roman"/>
          <w:bCs/>
          <w:color w:val="auto"/>
          <w:szCs w:val="20"/>
          <w:highlight w:val="none"/>
        </w:rPr>
        <w:fldChar w:fldCharType="begin"/>
      </w:r>
      <w:r>
        <w:rPr>
          <w:rFonts w:hint="eastAsia" w:ascii="Times New Roman" w:hAnsi="Times New Roman" w:eastAsia="宋体" w:cs="Times New Roman"/>
          <w:bCs/>
          <w:szCs w:val="20"/>
          <w:highlight w:val="none"/>
        </w:rPr>
        <w:instrText xml:space="preserve"> HYPERLINK \l _Toc16435 </w:instrText>
      </w:r>
      <w:r>
        <w:rPr>
          <w:rFonts w:hint="eastAsia" w:ascii="Times New Roman" w:hAnsi="Times New Roman" w:eastAsia="宋体" w:cs="Times New Roman"/>
          <w:bCs/>
          <w:szCs w:val="20"/>
          <w:highlight w:val="none"/>
        </w:rPr>
        <w:fldChar w:fldCharType="separate"/>
      </w:r>
      <w:r>
        <w:rPr>
          <w:rFonts w:hint="eastAsia" w:ascii="宋体" w:hAnsi="宋体" w:eastAsia="宋体" w:cs="宋体"/>
          <w:bCs/>
          <w:szCs w:val="28"/>
          <w:highlight w:val="none"/>
          <w:lang w:val="en-US" w:eastAsia="zh-CN"/>
        </w:rPr>
        <w:t>8.</w:t>
      </w:r>
      <w:r>
        <w:rPr>
          <w:rFonts w:hint="eastAsia" w:ascii="宋体" w:hAnsi="宋体" w:eastAsia="宋体" w:cs="宋体"/>
          <w:bCs/>
          <w:szCs w:val="28"/>
          <w:highlight w:val="none"/>
          <w:lang w:val="zh-CN" w:eastAsia="zh-CN"/>
        </w:rPr>
        <w:t>管理及考核</w:t>
      </w:r>
      <w:r>
        <w:rPr>
          <w:highlight w:val="none"/>
        </w:rPr>
        <w:tab/>
      </w:r>
      <w:r>
        <w:rPr>
          <w:highlight w:val="none"/>
        </w:rPr>
        <w:fldChar w:fldCharType="begin"/>
      </w:r>
      <w:r>
        <w:rPr>
          <w:highlight w:val="none"/>
        </w:rPr>
        <w:instrText xml:space="preserve"> PAGEREF _Toc16435 \h </w:instrText>
      </w:r>
      <w:r>
        <w:rPr>
          <w:highlight w:val="none"/>
        </w:rPr>
        <w:fldChar w:fldCharType="separate"/>
      </w:r>
      <w:r>
        <w:rPr>
          <w:highlight w:val="none"/>
        </w:rPr>
        <w:t>3</w:t>
      </w:r>
      <w:r>
        <w:rPr>
          <w:highlight w:val="none"/>
        </w:rPr>
        <w:fldChar w:fldCharType="end"/>
      </w:r>
      <w:r>
        <w:rPr>
          <w:rFonts w:hint="eastAsia" w:ascii="Times New Roman" w:hAnsi="Times New Roman" w:eastAsia="宋体" w:cs="Times New Roman"/>
          <w:bCs/>
          <w:color w:val="auto"/>
          <w:szCs w:val="20"/>
          <w:highlight w:val="none"/>
        </w:rPr>
        <w:fldChar w:fldCharType="end"/>
      </w:r>
    </w:p>
    <w:p>
      <w:pPr>
        <w:pStyle w:val="13"/>
        <w:tabs>
          <w:tab w:val="right" w:leader="dot" w:pos="8306"/>
        </w:tabs>
        <w:rPr>
          <w:rFonts w:hint="default" w:ascii="Times New Roman" w:hAnsi="Times New Roman" w:eastAsia="宋体" w:cs="Times New Roman"/>
          <w:bCs/>
          <w:color w:val="auto"/>
          <w:szCs w:val="20"/>
          <w:highlight w:val="none"/>
          <w:lang w:val="en-US" w:eastAsia="zh-CN"/>
        </w:rPr>
      </w:pPr>
      <w:r>
        <w:rPr>
          <w:rFonts w:hint="eastAsia" w:cs="Times New Roman"/>
          <w:bCs/>
          <w:color w:val="auto"/>
          <w:szCs w:val="20"/>
          <w:highlight w:val="none"/>
          <w:lang w:val="en-US" w:eastAsia="zh-CN"/>
        </w:rPr>
        <w:t>8.Management and assessment</w:t>
      </w:r>
    </w:p>
    <w:p/>
    <w:p>
      <w:pPr>
        <w:rPr>
          <w:rFonts w:hint="eastAsia" w:ascii="Times New Roman" w:hAnsi="Times New Roman" w:eastAsia="宋体" w:cs="Times New Roman"/>
          <w:b/>
          <w:bCs/>
          <w:color w:val="auto"/>
          <w:sz w:val="20"/>
          <w:szCs w:val="20"/>
          <w:highlight w:val="none"/>
        </w:rPr>
        <w:sectPr>
          <w:footerReference r:id="rId5" w:type="default"/>
          <w:pgSz w:w="11906" w:h="16838"/>
          <w:pgMar w:top="1440" w:right="1800" w:bottom="1440" w:left="1800" w:header="1077" w:footer="992" w:gutter="0"/>
          <w:pgNumType w:fmt="decimal" w:start="1"/>
          <w:cols w:space="425" w:num="1"/>
          <w:docGrid w:type="lines" w:linePitch="312" w:charSpace="0"/>
        </w:sectPr>
      </w:pPr>
      <w:r>
        <w:rPr>
          <w:rFonts w:hint="eastAsia" w:ascii="Times New Roman" w:hAnsi="Times New Roman" w:eastAsia="宋体" w:cs="Times New Roman"/>
          <w:bCs/>
          <w:color w:val="auto"/>
          <w:szCs w:val="20"/>
          <w:highlight w:val="none"/>
        </w:rPr>
        <w:fldChar w:fldCharType="end"/>
      </w:r>
      <w:bookmarkStart w:id="1" w:name="_Toc11493"/>
    </w:p>
    <w:p>
      <w:pPr>
        <w:numPr>
          <w:ilvl w:val="0"/>
          <w:numId w:val="5"/>
        </w:numPr>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rPr>
        <w:t>总则</w:t>
      </w:r>
      <w:bookmarkEnd w:id="1"/>
      <w:r>
        <w:rPr>
          <w:rFonts w:hint="eastAsia" w:ascii="宋体" w:hAnsi="宋体" w:eastAsia="宋体" w:cs="宋体"/>
          <w:b/>
          <w:bCs/>
          <w:color w:val="auto"/>
          <w:sz w:val="28"/>
          <w:szCs w:val="28"/>
          <w:highlight w:val="none"/>
          <w:lang w:val="en-US"/>
        </w:rPr>
        <w:t xml:space="preserve"> </w:t>
      </w:r>
    </w:p>
    <w:p>
      <w:pPr>
        <w:numPr>
          <w:ilvl w:val="-1"/>
          <w:numId w:val="0"/>
        </w:numPr>
        <w:rPr>
          <w:rFonts w:hint="eastAsia" w:ascii="宋体" w:hAnsi="宋体" w:eastAsia="宋体" w:cs="宋体"/>
          <w:b/>
          <w:bCs/>
          <w:color w:val="auto"/>
          <w:sz w:val="28"/>
          <w:szCs w:val="28"/>
          <w:highlight w:val="none"/>
          <w:lang w:val="en-US"/>
        </w:rPr>
      </w:pPr>
      <w:r>
        <w:rPr>
          <w:rFonts w:hint="eastAsia" w:ascii="宋体" w:hAnsi="宋体" w:cs="宋体"/>
          <w:b/>
          <w:bCs/>
          <w:color w:val="auto"/>
          <w:sz w:val="28"/>
          <w:szCs w:val="28"/>
          <w:highlight w:val="none"/>
          <w:lang w:val="en-US" w:eastAsia="zh-CN"/>
        </w:rPr>
        <w:t>1.</w:t>
      </w:r>
      <w:r>
        <w:rPr>
          <w:rFonts w:hint="eastAsia" w:ascii="宋体" w:hAnsi="宋体" w:eastAsia="宋体" w:cs="宋体"/>
          <w:b/>
          <w:bCs/>
          <w:color w:val="auto"/>
          <w:sz w:val="28"/>
          <w:szCs w:val="28"/>
          <w:highlight w:val="none"/>
          <w:lang w:val="en-US" w:eastAsia="zh-CN"/>
        </w:rPr>
        <w:t>General Rules</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1.1.</w:t>
      </w:r>
      <w:r>
        <w:rPr>
          <w:rFonts w:hint="eastAsia" w:ascii="宋体" w:hAnsi="宋体" w:eastAsia="宋体" w:cs="宋体"/>
          <w:sz w:val="24"/>
          <w:szCs w:val="24"/>
          <w:highlight w:val="none"/>
          <w:lang w:eastAsia="zh-CN"/>
        </w:rPr>
        <w:t>本技术规范书适用于</w:t>
      </w:r>
      <w:r>
        <w:rPr>
          <w:rFonts w:hint="eastAsia" w:ascii="宋体" w:hAnsi="宋体" w:cs="宋体"/>
          <w:sz w:val="24"/>
          <w:szCs w:val="24"/>
          <w:highlight w:val="none"/>
          <w:lang w:val="en-US" w:eastAsia="zh-CN"/>
        </w:rPr>
        <w:t>玻雅分公司</w:t>
      </w:r>
      <w:r>
        <w:rPr>
          <w:rFonts w:hint="eastAsia" w:ascii="宋体" w:hAnsi="宋体" w:eastAsia="宋体" w:cs="宋体"/>
          <w:sz w:val="24"/>
          <w:szCs w:val="24"/>
          <w:highlight w:val="none"/>
          <w:lang w:eastAsia="zh-CN"/>
        </w:rPr>
        <w:t>2×6</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CN"/>
        </w:rPr>
        <w:t>0MW</w:t>
      </w:r>
      <w:r>
        <w:rPr>
          <w:rFonts w:hint="eastAsia" w:ascii="宋体" w:hAnsi="宋体" w:eastAsia="宋体" w:cs="宋体"/>
          <w:sz w:val="24"/>
          <w:szCs w:val="24"/>
          <w:highlight w:val="none"/>
          <w:lang w:val="en-US" w:eastAsia="zh-CN"/>
        </w:rPr>
        <w:t>燃煤</w:t>
      </w:r>
      <w:r>
        <w:rPr>
          <w:rFonts w:hint="eastAsia" w:ascii="宋体" w:hAnsi="宋体" w:eastAsia="宋体" w:cs="宋体"/>
          <w:sz w:val="24"/>
          <w:szCs w:val="24"/>
          <w:highlight w:val="none"/>
          <w:lang w:eastAsia="zh-CN"/>
        </w:rPr>
        <w:t>机组</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#2锅炉省煤器旁路烟道封堵工作，它</w:t>
      </w:r>
      <w:r>
        <w:rPr>
          <w:rFonts w:hint="eastAsia" w:ascii="宋体" w:hAnsi="宋体" w:eastAsia="宋体" w:cs="宋体"/>
          <w:sz w:val="24"/>
          <w:szCs w:val="24"/>
          <w:highlight w:val="none"/>
          <w:lang w:eastAsia="zh-CN"/>
        </w:rPr>
        <w:t>提出了有关工程质量、内容、工期及验收标准等方面的技术要求。</w:t>
      </w:r>
    </w:p>
    <w:p>
      <w:pPr>
        <w:spacing w:line="360" w:lineRule="auto"/>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 xml:space="preserve">1.1 </w:t>
      </w:r>
      <w:r>
        <w:rPr>
          <w:rFonts w:hint="eastAsia" w:ascii="宋体" w:hAnsi="宋体" w:eastAsia="宋体" w:cs="宋体"/>
          <w:sz w:val="24"/>
          <w:szCs w:val="24"/>
          <w:highlight w:val="none"/>
          <w:lang w:eastAsia="zh-CN"/>
        </w:rPr>
        <w:t>This technical specification applies to the flue gas duct closure work for the #2 boiler bypass of the 2×660MW coal-fired units at PT.CHD POWER PLANT OPERATION INDONESLA MUARA ENIM BRANCH, specifying technical requirements for project quality, scope, schedule, and acceptance criteria.</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b w:val="0"/>
          <w:bCs w:val="0"/>
          <w:sz w:val="24"/>
          <w:szCs w:val="24"/>
          <w:highlight w:val="none"/>
          <w:lang w:eastAsia="zh-CN"/>
        </w:rPr>
        <w:t>1</w:t>
      </w:r>
      <w:r>
        <w:rPr>
          <w:rFonts w:hint="eastAsia" w:ascii="宋体" w:hAnsi="宋体" w:eastAsia="宋体" w:cs="宋体"/>
          <w:b w:val="0"/>
          <w:bCs w:val="0"/>
          <w:sz w:val="24"/>
          <w:szCs w:val="24"/>
          <w:highlight w:val="none"/>
          <w:lang w:val="en-US" w:eastAsia="zh-CN"/>
        </w:rPr>
        <w:t>.2</w:t>
      </w:r>
      <w:r>
        <w:rPr>
          <w:rFonts w:hint="eastAsia" w:ascii="宋体" w:hAnsi="宋体" w:eastAsia="宋体" w:cs="宋体"/>
          <w:sz w:val="24"/>
          <w:szCs w:val="24"/>
          <w:highlight w:val="none"/>
          <w:lang w:eastAsia="zh-CN"/>
        </w:rPr>
        <w:t>本技术规范书所提及的要求都是最低限度的要求，并未对一切技术细节作出规定，也未充分地详述有关标准和规范的条文，</w:t>
      </w:r>
      <w:r>
        <w:rPr>
          <w:rFonts w:hint="eastAsia" w:ascii="宋体" w:hAnsi="宋体" w:eastAsia="宋体" w:cs="宋体"/>
          <w:sz w:val="24"/>
          <w:szCs w:val="24"/>
          <w:highlight w:val="none"/>
          <w:lang w:val="en-US" w:eastAsia="zh-CN"/>
        </w:rPr>
        <w:t>服务方</w:t>
      </w:r>
      <w:r>
        <w:rPr>
          <w:rFonts w:hint="eastAsia" w:ascii="宋体" w:hAnsi="宋体" w:eastAsia="宋体" w:cs="宋体"/>
          <w:sz w:val="24"/>
          <w:szCs w:val="24"/>
          <w:highlight w:val="none"/>
          <w:lang w:eastAsia="zh-CN"/>
        </w:rPr>
        <w:t>应保证提供符合本技术规范书文件和工业标准的功能齐全的优质产品及其相应服务。</w:t>
      </w:r>
    </w:p>
    <w:p>
      <w:pPr>
        <w:spacing w:line="360" w:lineRule="auto"/>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 xml:space="preserve">1.2 </w:t>
      </w:r>
      <w:r>
        <w:rPr>
          <w:rFonts w:hint="eastAsia" w:ascii="宋体" w:hAnsi="宋体" w:eastAsia="宋体" w:cs="宋体"/>
          <w:sz w:val="24"/>
          <w:szCs w:val="24"/>
          <w:highlight w:val="none"/>
          <w:lang w:eastAsia="zh-CN"/>
        </w:rPr>
        <w:t>The requirements mentioned in this technical specification are the minimum requirements, and do not provide for all technical details, nor fully elaborate on the provisions of relevant standards and specifications. The Service Party shall guarantee to provide high-quality products with complete functions and corresponding services in accordance with this technical specification and industrial standards.</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eastAsia="zh-CN"/>
        </w:rPr>
        <w:t>3</w:t>
      </w:r>
      <w:r>
        <w:rPr>
          <w:rFonts w:hint="eastAsia" w:ascii="宋体" w:hAnsi="宋体" w:eastAsia="宋体" w:cs="宋体"/>
          <w:b/>
          <w:bCs/>
          <w:color w:val="auto"/>
          <w:sz w:val="24"/>
          <w:szCs w:val="24"/>
          <w:highlight w:val="none"/>
          <w:lang w:eastAsia="zh-CN"/>
        </w:rPr>
        <w:t xml:space="preserve"> </w:t>
      </w:r>
      <w:r>
        <w:rPr>
          <w:rFonts w:hint="eastAsia" w:ascii="宋体" w:hAnsi="宋体" w:eastAsia="宋体" w:cs="宋体"/>
          <w:sz w:val="24"/>
          <w:szCs w:val="24"/>
          <w:highlight w:val="none"/>
          <w:lang w:eastAsia="zh-CN"/>
        </w:rPr>
        <w:t>从签订合同之后至服务方开始</w:t>
      </w:r>
      <w:r>
        <w:rPr>
          <w:rFonts w:hint="eastAsia" w:ascii="宋体" w:hAnsi="宋体" w:eastAsia="宋体" w:cs="宋体"/>
          <w:sz w:val="24"/>
          <w:szCs w:val="24"/>
          <w:highlight w:val="none"/>
          <w:lang w:val="en-US" w:eastAsia="zh-CN"/>
        </w:rPr>
        <w:t>工作</w:t>
      </w:r>
      <w:r>
        <w:rPr>
          <w:rFonts w:hint="eastAsia" w:ascii="宋体" w:hAnsi="宋体" w:eastAsia="宋体" w:cs="宋体"/>
          <w:sz w:val="24"/>
          <w:szCs w:val="24"/>
          <w:highlight w:val="none"/>
          <w:lang w:eastAsia="zh-CN"/>
        </w:rPr>
        <w:t>之日的这段时期内，采购方有权提出因规程、规范和标准发生变化而产生的一些补充修改要求，服务方</w:t>
      </w:r>
      <w:r>
        <w:rPr>
          <w:rFonts w:hint="eastAsia" w:ascii="宋体" w:hAnsi="宋体" w:eastAsia="宋体" w:cs="宋体"/>
          <w:sz w:val="24"/>
          <w:szCs w:val="24"/>
          <w:highlight w:val="none"/>
          <w:lang w:val="en-US" w:eastAsia="zh-CN"/>
        </w:rPr>
        <w:t>应</w:t>
      </w:r>
      <w:r>
        <w:rPr>
          <w:rFonts w:hint="eastAsia" w:ascii="宋体" w:hAnsi="宋体" w:eastAsia="宋体" w:cs="宋体"/>
          <w:sz w:val="24"/>
          <w:szCs w:val="24"/>
          <w:highlight w:val="none"/>
          <w:lang w:eastAsia="zh-CN"/>
        </w:rPr>
        <w:t>遵守这些要求。</w:t>
      </w:r>
      <w:r>
        <w:rPr>
          <w:rFonts w:hint="eastAsia" w:ascii="宋体" w:hAnsi="宋体" w:cs="宋体"/>
          <w:sz w:val="24"/>
          <w:szCs w:val="24"/>
          <w:highlight w:val="none"/>
          <w:lang w:val="en-US" w:eastAsia="zh-CN"/>
        </w:rPr>
        <w:t xml:space="preserve">1.3 </w:t>
      </w:r>
      <w:r>
        <w:rPr>
          <w:rFonts w:hint="eastAsia" w:ascii="宋体" w:hAnsi="宋体" w:eastAsia="宋体" w:cs="宋体"/>
          <w:sz w:val="24"/>
          <w:szCs w:val="24"/>
          <w:highlight w:val="none"/>
          <w:lang w:eastAsia="zh-CN"/>
        </w:rPr>
        <w:t>During the period between the execution of the contract and the commencement of work by the Service Provider, the Purchaser shall have the right to make supplemental modification requirements arising from changes in regulations, specifications and standards, which shall be complied with by the Service Provider.</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4 服务方须执行本规范所列标准。有矛盾时，按较高标准执行。本技术规范书中未提及的内容均应满足或优于本规范所列的国家标准、电力行业标准和有关国际标准。</w:t>
      </w:r>
    </w:p>
    <w:p>
      <w:pPr>
        <w:spacing w:line="360" w:lineRule="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 xml:space="preserve">1.4 </w:t>
      </w:r>
      <w:r>
        <w:rPr>
          <w:rFonts w:hint="eastAsia" w:ascii="宋体" w:hAnsi="宋体" w:eastAsia="宋体" w:cs="宋体"/>
          <w:sz w:val="24"/>
          <w:szCs w:val="24"/>
          <w:highlight w:val="none"/>
          <w:lang w:eastAsia="zh-CN"/>
        </w:rPr>
        <w:t>The service provider shall comply with the standards specified in this specification. In case of conflict, the higher standard shall prevail. All content not mentioned in this technical specification shall meet or exceed the national standards, power industry standards, and relevant international standards specified herein.</w:t>
      </w:r>
    </w:p>
    <w:p>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 xml:space="preserve">5 </w:t>
      </w:r>
      <w:r>
        <w:rPr>
          <w:rFonts w:hint="eastAsia" w:ascii="宋体" w:hAnsi="宋体" w:eastAsia="宋体" w:cs="宋体"/>
          <w:color w:val="auto"/>
          <w:sz w:val="24"/>
          <w:szCs w:val="24"/>
          <w:highlight w:val="none"/>
          <w:lang w:eastAsia="zh-CN"/>
        </w:rPr>
        <w:t>服务方</w:t>
      </w:r>
      <w:r>
        <w:rPr>
          <w:rFonts w:hint="eastAsia" w:ascii="宋体" w:hAnsi="宋体" w:cs="宋体"/>
          <w:color w:val="auto"/>
          <w:sz w:val="24"/>
          <w:szCs w:val="24"/>
          <w:highlight w:val="none"/>
          <w:lang w:val="en-US" w:eastAsia="zh-CN"/>
        </w:rPr>
        <w:t>对玻雅分公司</w:t>
      </w:r>
      <w:r>
        <w:rPr>
          <w:rFonts w:hint="eastAsia" w:ascii="宋体" w:hAnsi="宋体" w:eastAsia="宋体" w:cs="宋体"/>
          <w:sz w:val="24"/>
          <w:szCs w:val="24"/>
          <w:highlight w:val="none"/>
          <w:lang w:eastAsia="zh-CN"/>
        </w:rPr>
        <w:t>2×6</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CN"/>
        </w:rPr>
        <w:t>0MW</w:t>
      </w:r>
      <w:r>
        <w:rPr>
          <w:rFonts w:hint="eastAsia" w:ascii="宋体" w:hAnsi="宋体" w:eastAsia="宋体" w:cs="宋体"/>
          <w:sz w:val="24"/>
          <w:szCs w:val="24"/>
          <w:highlight w:val="none"/>
          <w:lang w:val="en-US" w:eastAsia="zh-CN"/>
        </w:rPr>
        <w:t>燃煤</w:t>
      </w:r>
      <w:r>
        <w:rPr>
          <w:rFonts w:hint="eastAsia" w:ascii="宋体" w:hAnsi="宋体" w:eastAsia="宋体" w:cs="宋体"/>
          <w:sz w:val="24"/>
          <w:szCs w:val="24"/>
          <w:highlight w:val="none"/>
          <w:lang w:eastAsia="zh-CN"/>
        </w:rPr>
        <w:t>机组</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#2锅炉省煤器旁路烟道封堵</w:t>
      </w:r>
      <w:r>
        <w:rPr>
          <w:rFonts w:hint="eastAsia" w:ascii="宋体" w:hAnsi="宋体" w:eastAsia="宋体" w:cs="宋体"/>
          <w:sz w:val="24"/>
          <w:szCs w:val="24"/>
          <w:highlight w:val="none"/>
          <w:lang w:val="en-US" w:eastAsia="zh-CN"/>
        </w:rPr>
        <w:t>工作</w:t>
      </w:r>
      <w:r>
        <w:rPr>
          <w:rFonts w:hint="eastAsia" w:ascii="宋体" w:hAnsi="宋体" w:eastAsia="宋体" w:cs="宋体"/>
          <w:color w:val="auto"/>
          <w:sz w:val="24"/>
          <w:szCs w:val="24"/>
          <w:highlight w:val="none"/>
          <w:lang w:eastAsia="zh-CN"/>
        </w:rPr>
        <w:t>质量负有全责。</w:t>
      </w:r>
    </w:p>
    <w:p>
      <w:pPr>
        <w:spacing w:line="360"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1.5 </w:t>
      </w:r>
      <w:r>
        <w:rPr>
          <w:rFonts w:hint="eastAsia" w:ascii="宋体" w:hAnsi="宋体" w:eastAsia="宋体" w:cs="宋体"/>
          <w:color w:val="auto"/>
          <w:sz w:val="24"/>
          <w:szCs w:val="24"/>
          <w:highlight w:val="none"/>
          <w:lang w:eastAsia="zh-CN"/>
        </w:rPr>
        <w:t>The service provider is fully responsible for the quality of the flue gas duct sealing work at the #2 boiler bypass of the 2×660MW coal-fired units operated by PT.CHD POWER PLANT OPERATION INDONESLA MUARA ENIM BRANCH.</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6</w:t>
      </w:r>
      <w:r>
        <w:rPr>
          <w:rFonts w:hint="eastAsia" w:ascii="宋体" w:hAnsi="宋体" w:eastAsia="宋体" w:cs="宋体"/>
          <w:color w:val="auto"/>
          <w:sz w:val="24"/>
          <w:szCs w:val="24"/>
          <w:highlight w:val="none"/>
        </w:rPr>
        <w:t xml:space="preserve"> 在签订合同之后，</w:t>
      </w:r>
      <w:r>
        <w:rPr>
          <w:rFonts w:hint="eastAsia" w:ascii="宋体" w:hAnsi="宋体" w:eastAsia="宋体" w:cs="宋体"/>
          <w:color w:val="auto"/>
          <w:sz w:val="24"/>
          <w:szCs w:val="24"/>
          <w:highlight w:val="none"/>
          <w:lang w:eastAsia="zh-CN"/>
        </w:rPr>
        <w:t>服务方</w:t>
      </w:r>
      <w:r>
        <w:rPr>
          <w:rFonts w:hint="eastAsia" w:ascii="宋体" w:hAnsi="宋体" w:eastAsia="宋体" w:cs="宋体"/>
          <w:color w:val="auto"/>
          <w:sz w:val="24"/>
          <w:szCs w:val="24"/>
          <w:highlight w:val="none"/>
        </w:rPr>
        <w:t>因规范标准和规程发生变化而产生的一些补充要求，具体项目由</w:t>
      </w:r>
      <w:r>
        <w:rPr>
          <w:rFonts w:hint="eastAsia" w:ascii="宋体" w:hAnsi="宋体" w:eastAsia="宋体" w:cs="宋体"/>
          <w:color w:val="auto"/>
          <w:sz w:val="24"/>
          <w:szCs w:val="24"/>
          <w:highlight w:val="none"/>
          <w:lang w:eastAsia="zh-CN"/>
        </w:rPr>
        <w:t>甲乙</w:t>
      </w:r>
      <w:r>
        <w:rPr>
          <w:rFonts w:hint="eastAsia" w:ascii="宋体" w:hAnsi="宋体" w:eastAsia="宋体" w:cs="宋体"/>
          <w:color w:val="auto"/>
          <w:sz w:val="24"/>
          <w:szCs w:val="24"/>
          <w:highlight w:val="none"/>
        </w:rPr>
        <w:t>双方共同商定。但合同价格不会因这些补充要求而有任何增加。</w:t>
      </w:r>
      <w:r>
        <w:rPr>
          <w:rFonts w:hint="eastAsia" w:ascii="宋体" w:hAnsi="宋体" w:cs="宋体"/>
          <w:color w:val="auto"/>
          <w:sz w:val="24"/>
          <w:szCs w:val="24"/>
          <w:highlight w:val="none"/>
          <w:lang w:val="en-US" w:eastAsia="zh-CN"/>
        </w:rPr>
        <w:t xml:space="preserve">1.6 </w:t>
      </w:r>
      <w:r>
        <w:rPr>
          <w:rFonts w:hint="eastAsia" w:ascii="宋体" w:hAnsi="宋体" w:eastAsia="宋体" w:cs="宋体"/>
          <w:color w:val="auto"/>
          <w:sz w:val="24"/>
          <w:szCs w:val="24"/>
          <w:highlight w:val="none"/>
        </w:rPr>
        <w:t>After the signing of the contract, some supplementary requirements arising from changes in norms, standards and procedures of the service party shall be agreed by both parties. However, the contract price shall not increase due to these supplementary requirements.</w:t>
      </w:r>
    </w:p>
    <w:p>
      <w:pPr>
        <w:spacing w:line="360" w:lineRule="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w:t>
      </w:r>
      <w:r>
        <w:rPr>
          <w:rFonts w:hint="eastAsia" w:ascii="宋体" w:hAnsi="宋体" w:cs="宋体"/>
          <w:b w:val="0"/>
          <w:bCs w:val="0"/>
          <w:sz w:val="24"/>
          <w:szCs w:val="24"/>
          <w:highlight w:val="none"/>
          <w:lang w:val="en-US" w:eastAsia="zh-CN"/>
        </w:rPr>
        <w:t xml:space="preserve">7 </w:t>
      </w:r>
      <w:r>
        <w:rPr>
          <w:rFonts w:hint="eastAsia" w:ascii="宋体" w:hAnsi="宋体" w:eastAsia="宋体" w:cs="宋体"/>
          <w:b w:val="0"/>
          <w:bCs w:val="0"/>
          <w:sz w:val="24"/>
          <w:szCs w:val="24"/>
          <w:highlight w:val="none"/>
          <w:lang w:val="en-US" w:eastAsia="zh-CN"/>
        </w:rPr>
        <w:t>#</w:t>
      </w:r>
      <w:r>
        <w:rPr>
          <w:rFonts w:hint="eastAsia" w:ascii="宋体" w:hAnsi="宋体" w:cs="宋体"/>
          <w:b w:val="0"/>
          <w:bCs w:val="0"/>
          <w:sz w:val="24"/>
          <w:szCs w:val="24"/>
          <w:highlight w:val="none"/>
          <w:lang w:val="en-US" w:eastAsia="zh-CN"/>
        </w:rPr>
        <w:t>2锅炉</w:t>
      </w:r>
      <w:r>
        <w:rPr>
          <w:rFonts w:hint="eastAsia" w:ascii="宋体" w:hAnsi="宋体" w:eastAsia="宋体" w:cs="宋体"/>
          <w:b w:val="0"/>
          <w:bCs w:val="0"/>
          <w:sz w:val="24"/>
          <w:szCs w:val="24"/>
          <w:highlight w:val="none"/>
          <w:lang w:val="en-US" w:eastAsia="zh-CN"/>
        </w:rPr>
        <w:t>已经于2023年</w:t>
      </w:r>
      <w:r>
        <w:rPr>
          <w:rFonts w:hint="eastAsia" w:ascii="宋体" w:hAnsi="宋体" w:cs="宋体"/>
          <w:b w:val="0"/>
          <w:bCs w:val="0"/>
          <w:sz w:val="24"/>
          <w:szCs w:val="24"/>
          <w:highlight w:val="none"/>
          <w:lang w:val="en-US" w:eastAsia="zh-CN"/>
        </w:rPr>
        <w:t>10</w:t>
      </w:r>
      <w:r>
        <w:rPr>
          <w:rFonts w:hint="eastAsia" w:ascii="宋体" w:hAnsi="宋体" w:eastAsia="宋体" w:cs="宋体"/>
          <w:b w:val="0"/>
          <w:bCs w:val="0"/>
          <w:sz w:val="24"/>
          <w:szCs w:val="24"/>
          <w:highlight w:val="none"/>
          <w:lang w:val="en-US" w:eastAsia="zh-CN"/>
        </w:rPr>
        <w:t>月投入商业运行，</w:t>
      </w:r>
      <w:r>
        <w:rPr>
          <w:rFonts w:hint="eastAsia" w:ascii="宋体" w:hAnsi="宋体" w:cs="宋体"/>
          <w:b w:val="0"/>
          <w:bCs w:val="0"/>
          <w:sz w:val="24"/>
          <w:szCs w:val="24"/>
          <w:highlight w:val="none"/>
          <w:lang w:val="en-US" w:eastAsia="zh-CN"/>
        </w:rPr>
        <w:t>服务方</w:t>
      </w:r>
      <w:r>
        <w:rPr>
          <w:rFonts w:hint="eastAsia" w:ascii="宋体" w:hAnsi="宋体" w:eastAsia="宋体" w:cs="宋体"/>
          <w:b w:val="0"/>
          <w:bCs w:val="0"/>
          <w:sz w:val="24"/>
          <w:szCs w:val="24"/>
          <w:highlight w:val="none"/>
          <w:lang w:val="en-US" w:eastAsia="zh-CN"/>
        </w:rPr>
        <w:t>应该充分考虑现场施工条件。</w:t>
      </w:r>
    </w:p>
    <w:p>
      <w:pPr>
        <w:spacing w:line="360" w:lineRule="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1.7 </w:t>
      </w:r>
      <w:r>
        <w:rPr>
          <w:rFonts w:hint="eastAsia" w:ascii="宋体" w:hAnsi="宋体" w:eastAsia="宋体" w:cs="宋体"/>
          <w:b w:val="0"/>
          <w:bCs w:val="0"/>
          <w:sz w:val="24"/>
          <w:szCs w:val="24"/>
          <w:highlight w:val="none"/>
          <w:lang w:val="en-US" w:eastAsia="zh-CN"/>
        </w:rPr>
        <w:t>Boiler #2 has been put into commercial operation in October 2023, and the service party should fully consider the on-site construction conditions.</w:t>
      </w:r>
    </w:p>
    <w:p>
      <w:pPr>
        <w:spacing w:line="360" w:lineRule="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w:t>
      </w:r>
      <w:r>
        <w:rPr>
          <w:rFonts w:hint="eastAsia" w:ascii="宋体" w:hAnsi="宋体" w:cs="宋体"/>
          <w:b w:val="0"/>
          <w:bCs w:val="0"/>
          <w:sz w:val="24"/>
          <w:szCs w:val="24"/>
          <w:highlight w:val="none"/>
          <w:lang w:val="en-US" w:eastAsia="zh-CN"/>
        </w:rPr>
        <w:t>8采购</w:t>
      </w:r>
      <w:r>
        <w:rPr>
          <w:rFonts w:hint="eastAsia" w:ascii="宋体" w:hAnsi="宋体" w:eastAsia="宋体" w:cs="宋体"/>
          <w:b w:val="0"/>
          <w:bCs w:val="0"/>
          <w:sz w:val="24"/>
          <w:szCs w:val="24"/>
          <w:highlight w:val="none"/>
          <w:lang w:val="en-US" w:eastAsia="zh-CN"/>
        </w:rPr>
        <w:t>方不组织现场踏勘，需要现场踏勘</w:t>
      </w:r>
      <w:r>
        <w:rPr>
          <w:rFonts w:hint="eastAsia" w:ascii="宋体" w:hAnsi="宋体" w:cs="宋体"/>
          <w:b w:val="0"/>
          <w:bCs w:val="0"/>
          <w:sz w:val="24"/>
          <w:szCs w:val="24"/>
          <w:highlight w:val="none"/>
          <w:lang w:val="en-US" w:eastAsia="zh-CN"/>
        </w:rPr>
        <w:t>服务</w:t>
      </w:r>
      <w:r>
        <w:rPr>
          <w:rFonts w:hint="eastAsia" w:ascii="宋体" w:hAnsi="宋体" w:eastAsia="宋体" w:cs="宋体"/>
          <w:b w:val="0"/>
          <w:bCs w:val="0"/>
          <w:sz w:val="24"/>
          <w:szCs w:val="24"/>
          <w:highlight w:val="none"/>
          <w:lang w:val="en-US" w:eastAsia="zh-CN"/>
        </w:rPr>
        <w:t>方自行负责。</w:t>
      </w:r>
    </w:p>
    <w:p>
      <w:pPr>
        <w:spacing w:line="360" w:lineRule="auto"/>
        <w:rPr>
          <w:rFonts w:hint="eastAsia" w:ascii="宋体" w:hAnsi="宋体" w:cs="宋体"/>
          <w:color w:val="auto"/>
          <w:sz w:val="24"/>
          <w:szCs w:val="24"/>
          <w:highlight w:val="none"/>
          <w:lang w:val="en-US" w:eastAsia="zh-CN"/>
        </w:rPr>
      </w:pPr>
      <w:r>
        <w:rPr>
          <w:rFonts w:hint="eastAsia" w:ascii="宋体" w:hAnsi="宋体" w:cs="宋体"/>
          <w:b w:val="0"/>
          <w:bCs w:val="0"/>
          <w:sz w:val="24"/>
          <w:szCs w:val="24"/>
          <w:highlight w:val="none"/>
          <w:lang w:val="en-US" w:eastAsia="zh-CN"/>
        </w:rPr>
        <w:t xml:space="preserve">1.8 </w:t>
      </w:r>
      <w:r>
        <w:rPr>
          <w:rFonts w:hint="eastAsia" w:ascii="宋体" w:hAnsi="宋体" w:eastAsia="宋体" w:cs="宋体"/>
          <w:b w:val="0"/>
          <w:bCs w:val="0"/>
          <w:sz w:val="24"/>
          <w:szCs w:val="24"/>
          <w:highlight w:val="none"/>
          <w:lang w:val="en-US" w:eastAsia="zh-CN"/>
        </w:rPr>
        <w:t>The purchaser shall not organize the site survey, and the service party shall be responsible for the site survey.</w:t>
      </w:r>
    </w:p>
    <w:p>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1.9</w:t>
      </w:r>
      <w:r>
        <w:rPr>
          <w:rFonts w:hint="eastAsia" w:ascii="宋体" w:hAnsi="宋体" w:eastAsia="宋体" w:cs="宋体"/>
          <w:color w:val="auto"/>
          <w:sz w:val="24"/>
          <w:szCs w:val="24"/>
          <w:highlight w:val="none"/>
          <w:lang w:eastAsia="zh-CN"/>
        </w:rPr>
        <w:t>本技术规范</w:t>
      </w:r>
      <w:r>
        <w:rPr>
          <w:rFonts w:hint="eastAsia" w:ascii="宋体" w:hAnsi="宋体" w:eastAsia="宋体" w:cs="宋体"/>
          <w:color w:val="auto"/>
          <w:sz w:val="24"/>
          <w:szCs w:val="24"/>
          <w:highlight w:val="none"/>
        </w:rPr>
        <w:t>为合同的附件，与合同正文具有同等效力。</w:t>
      </w:r>
    </w:p>
    <w:p>
      <w:pPr>
        <w:spacing w:line="360" w:lineRule="auto"/>
        <w:rPr>
          <w:rFonts w:hint="eastAsia" w:ascii="宋体" w:hAnsi="宋体" w:eastAsia="宋体" w:cs="宋体"/>
          <w:color w:val="auto"/>
          <w:sz w:val="28"/>
          <w:szCs w:val="28"/>
          <w:highlight w:val="none"/>
        </w:rPr>
      </w:pPr>
      <w:r>
        <w:rPr>
          <w:rFonts w:hint="eastAsia" w:ascii="宋体" w:hAnsi="宋体" w:cs="宋体"/>
          <w:color w:val="auto"/>
          <w:sz w:val="24"/>
          <w:szCs w:val="24"/>
          <w:highlight w:val="none"/>
          <w:lang w:val="en-US" w:eastAsia="zh-CN"/>
        </w:rPr>
        <w:t xml:space="preserve">1.9 </w:t>
      </w:r>
      <w:r>
        <w:rPr>
          <w:rFonts w:hint="eastAsia" w:ascii="宋体" w:hAnsi="宋体" w:eastAsia="宋体" w:cs="宋体"/>
          <w:color w:val="auto"/>
          <w:sz w:val="24"/>
          <w:szCs w:val="24"/>
          <w:highlight w:val="none"/>
        </w:rPr>
        <w:t>This technical specification is an appendix to the contract and has the same effect as the text of the contract.</w:t>
      </w:r>
    </w:p>
    <w:p>
      <w:pPr>
        <w:spacing w:line="360" w:lineRule="auto"/>
        <w:outlineLvl w:val="0"/>
        <w:rPr>
          <w:rFonts w:hint="eastAsia" w:ascii="宋体" w:hAnsi="宋体" w:eastAsia="宋体" w:cs="宋体"/>
          <w:b/>
          <w:bCs/>
          <w:color w:val="auto"/>
          <w:sz w:val="28"/>
          <w:szCs w:val="28"/>
          <w:highlight w:val="none"/>
          <w:lang w:val="en-US" w:eastAsia="zh-CN"/>
        </w:rPr>
      </w:pPr>
      <w:bookmarkStart w:id="2" w:name="_Toc18818"/>
      <w:r>
        <w:rPr>
          <w:rFonts w:hint="eastAsia" w:ascii="宋体" w:hAnsi="宋体" w:eastAsia="宋体" w:cs="宋体"/>
          <w:b/>
          <w:bCs/>
          <w:color w:val="auto"/>
          <w:sz w:val="28"/>
          <w:szCs w:val="28"/>
          <w:highlight w:val="none"/>
          <w:lang w:val="en-US" w:eastAsia="zh-CN"/>
        </w:rPr>
        <w:t>2.电厂概况</w:t>
      </w:r>
      <w:bookmarkEnd w:id="2"/>
    </w:p>
    <w:p>
      <w:pPr>
        <w:spacing w:line="360" w:lineRule="auto"/>
        <w:outlineLvl w:val="0"/>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 xml:space="preserve">2. </w:t>
      </w:r>
      <w:r>
        <w:rPr>
          <w:rFonts w:hint="eastAsia" w:ascii="宋体" w:hAnsi="宋体" w:eastAsia="宋体" w:cs="宋体"/>
          <w:b/>
          <w:bCs/>
          <w:color w:val="auto"/>
          <w:sz w:val="28"/>
          <w:szCs w:val="28"/>
          <w:highlight w:val="none"/>
          <w:lang w:val="en-US" w:eastAsia="zh-CN"/>
        </w:rPr>
        <w:t>Power plant profile</w:t>
      </w:r>
    </w:p>
    <w:p>
      <w:pPr>
        <w:spacing w:line="360" w:lineRule="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2.1厂址</w:t>
      </w:r>
      <w:r>
        <w:rPr>
          <w:rFonts w:hint="eastAsia" w:ascii="宋体" w:hAnsi="宋体" w:cs="宋体"/>
          <w:color w:val="auto"/>
          <w:sz w:val="24"/>
          <w:szCs w:val="24"/>
          <w:highlight w:val="none"/>
          <w:lang w:val="en-US" w:eastAsia="zh-CN"/>
        </w:rPr>
        <w:t>：</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2.1 the site [location] of a factory </w:t>
      </w:r>
    </w:p>
    <w:p>
      <w:pPr>
        <w:spacing w:line="360" w:lineRule="auto"/>
        <w:ind w:firstLine="240" w:firstLineChars="100"/>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厂址位于MUARA ENIM县以南Darmo镇东南约3.5km处。</w:t>
      </w:r>
    </w:p>
    <w:p>
      <w:pPr>
        <w:spacing w:line="360" w:lineRule="auto"/>
        <w:ind w:firstLine="240" w:firstLineChars="100"/>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The factory is located approximately 3.5km southeast of Darmo town, in the southern part of MUARA ENIM district.</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2.2</w:t>
      </w:r>
      <w:r>
        <w:rPr>
          <w:rFonts w:hint="eastAsia" w:ascii="宋体" w:hAnsi="宋体" w:cs="宋体"/>
          <w:b w:val="0"/>
          <w:color w:val="auto"/>
          <w:kern w:val="2"/>
          <w:sz w:val="24"/>
          <w:szCs w:val="24"/>
          <w:highlight w:val="none"/>
          <w:lang w:val="en-US" w:eastAsia="zh-CN" w:bidi="ar-SA"/>
        </w:rPr>
        <w:t>设备概况：</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cs="宋体"/>
          <w:b w:val="0"/>
          <w:color w:val="auto"/>
          <w:kern w:val="2"/>
          <w:sz w:val="24"/>
          <w:szCs w:val="24"/>
          <w:highlight w:val="none"/>
          <w:lang w:val="en-US" w:eastAsia="zh-CN" w:bidi="ar-SA"/>
        </w:rPr>
      </w:pPr>
      <w:r>
        <w:rPr>
          <w:rFonts w:hint="eastAsia" w:ascii="宋体" w:hAnsi="宋体" w:cs="宋体"/>
          <w:b w:val="0"/>
          <w:color w:val="auto"/>
          <w:kern w:val="2"/>
          <w:sz w:val="24"/>
          <w:szCs w:val="24"/>
          <w:highlight w:val="none"/>
          <w:lang w:val="en-US" w:eastAsia="zh-CN" w:bidi="ar-SA"/>
        </w:rPr>
        <w:t>2.2 Device Overview</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宋体" w:hAnsi="宋体" w:cs="宋体"/>
          <w:b w:val="0"/>
          <w:color w:val="auto"/>
          <w:kern w:val="2"/>
          <w:sz w:val="24"/>
          <w:szCs w:val="24"/>
          <w:highlight w:val="none"/>
          <w:lang w:val="en-US" w:eastAsia="zh-CN" w:bidi="ar-SA"/>
        </w:rPr>
      </w:pPr>
      <w:r>
        <w:rPr>
          <w:rFonts w:hint="eastAsia" w:ascii="宋体" w:hAnsi="宋体" w:cs="宋体"/>
          <w:b w:val="0"/>
          <w:color w:val="auto"/>
          <w:kern w:val="2"/>
          <w:sz w:val="24"/>
          <w:szCs w:val="24"/>
          <w:highlight w:val="none"/>
          <w:lang w:val="en-US" w:eastAsia="zh-CN" w:bidi="ar-SA"/>
        </w:rPr>
        <w:t>#2锅炉A/B侧省煤器旁路烟道位置，位于锅炉后竖井后包墙过热器处，标高61.5米，单侧尺寸内空1.5m×9.6m；A/B侧旁路烟道入口存在积灰，约100T。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 Boiler A/B Side Bypass Flue Position: Located at the superheater of the rear wall behind the boiler's rear vertical shaft, with a height of 61.5 meters and an internal single-side dimension of 1.5m×9.6m.</w:t>
      </w:r>
    </w:p>
    <w:p>
      <w:pPr>
        <w:numPr>
          <w:ilvl w:val="0"/>
          <w:numId w:val="6"/>
        </w:numPr>
        <w:spacing w:line="360" w:lineRule="auto"/>
        <w:outlineLvl w:val="0"/>
        <w:rPr>
          <w:rFonts w:hint="eastAsia" w:ascii="宋体" w:hAnsi="宋体" w:eastAsia="宋体" w:cs="宋体"/>
          <w:b/>
          <w:color w:val="auto"/>
          <w:sz w:val="28"/>
          <w:szCs w:val="28"/>
          <w:highlight w:val="none"/>
          <w:lang w:val="en-US" w:eastAsia="zh-CN"/>
        </w:rPr>
      </w:pPr>
      <w:bookmarkStart w:id="3" w:name="_Toc2484"/>
      <w:r>
        <w:rPr>
          <w:rFonts w:hint="eastAsia" w:ascii="宋体" w:hAnsi="宋体" w:eastAsia="宋体" w:cs="宋体"/>
          <w:b/>
          <w:color w:val="auto"/>
          <w:sz w:val="28"/>
          <w:szCs w:val="28"/>
          <w:highlight w:val="none"/>
          <w:lang w:val="en-US" w:eastAsia="zh-CN"/>
        </w:rPr>
        <w:t>工程范围及工作内容</w:t>
      </w:r>
      <w:bookmarkEnd w:id="3"/>
    </w:p>
    <w:p>
      <w:pPr>
        <w:numPr>
          <w:ilvl w:val="-1"/>
          <w:numId w:val="0"/>
        </w:numPr>
        <w:spacing w:line="360" w:lineRule="auto"/>
        <w:outlineLvl w:val="0"/>
        <w:rPr>
          <w:rFonts w:hint="eastAsia" w:ascii="宋体" w:hAnsi="宋体" w:eastAsia="宋体" w:cs="宋体"/>
          <w:b/>
          <w:bCs/>
          <w:color w:val="auto"/>
          <w:sz w:val="28"/>
          <w:szCs w:val="28"/>
          <w:highlight w:val="none"/>
          <w:lang w:val="en-US" w:eastAsia="zh-CN"/>
        </w:rPr>
      </w:pPr>
      <w:r>
        <w:rPr>
          <w:rFonts w:hint="eastAsia" w:ascii="宋体" w:hAnsi="宋体" w:cs="宋体"/>
          <w:b/>
          <w:color w:val="auto"/>
          <w:sz w:val="28"/>
          <w:szCs w:val="28"/>
          <w:highlight w:val="none"/>
          <w:lang w:val="en-US" w:eastAsia="zh-CN"/>
        </w:rPr>
        <w:t>3.</w:t>
      </w:r>
      <w:r>
        <w:rPr>
          <w:rFonts w:hint="eastAsia" w:ascii="宋体" w:hAnsi="宋体" w:eastAsia="宋体" w:cs="宋体"/>
          <w:b/>
          <w:color w:val="auto"/>
          <w:sz w:val="28"/>
          <w:szCs w:val="28"/>
          <w:highlight w:val="none"/>
          <w:lang w:val="en-US" w:eastAsia="zh-CN"/>
        </w:rPr>
        <w:t>Project scope and work content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3.1工程范围</w:t>
      </w:r>
      <w:r>
        <w:rPr>
          <w:rFonts w:hint="eastAsia" w:ascii="宋体" w:hAnsi="宋体" w:cs="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3.1 works scope </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玻雅分公司</w:t>
      </w:r>
      <w:r>
        <w:rPr>
          <w:rFonts w:hint="eastAsia" w:ascii="宋体" w:hAnsi="宋体" w:eastAsia="宋体" w:cs="宋体"/>
          <w:sz w:val="24"/>
          <w:szCs w:val="24"/>
          <w:highlight w:val="none"/>
          <w:lang w:eastAsia="zh-CN"/>
        </w:rPr>
        <w:t>2×6</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CN"/>
        </w:rPr>
        <w:t>0MW</w:t>
      </w:r>
      <w:r>
        <w:rPr>
          <w:rFonts w:hint="eastAsia" w:ascii="宋体" w:hAnsi="宋体" w:eastAsia="宋体" w:cs="宋体"/>
          <w:sz w:val="24"/>
          <w:szCs w:val="24"/>
          <w:highlight w:val="none"/>
          <w:lang w:val="en-US" w:eastAsia="zh-CN"/>
        </w:rPr>
        <w:t>燃煤</w:t>
      </w:r>
      <w:r>
        <w:rPr>
          <w:rFonts w:hint="eastAsia" w:ascii="宋体" w:hAnsi="宋体" w:eastAsia="宋体" w:cs="宋体"/>
          <w:sz w:val="24"/>
          <w:szCs w:val="24"/>
          <w:highlight w:val="none"/>
          <w:lang w:eastAsia="zh-CN"/>
        </w:rPr>
        <w:t>机组</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#2锅炉省煤器旁路烟道封堵</w:t>
      </w:r>
      <w:r>
        <w:rPr>
          <w:rFonts w:hint="eastAsia" w:ascii="宋体" w:hAnsi="宋体" w:eastAsia="宋体" w:cs="宋体"/>
          <w:sz w:val="24"/>
          <w:szCs w:val="24"/>
          <w:highlight w:val="none"/>
          <w:lang w:val="en-US" w:eastAsia="zh-CN"/>
        </w:rPr>
        <w:t>工作</w:t>
      </w:r>
      <w:r>
        <w:rPr>
          <w:rFonts w:hint="eastAsia" w:ascii="宋体" w:hAnsi="宋体" w:cs="宋体"/>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PT.CHD POWER PLANT OPERATION INDONESLA MUARA ENIM BRANCH's 2×660MW coal-fired unit: Boiler bypass flue gas duct sealing operation for Unit #2</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3.2主要工作内容</w:t>
      </w:r>
      <w:r>
        <w:rPr>
          <w:rFonts w:hint="eastAsia" w:ascii="宋体" w:hAnsi="宋体" w:cs="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3.2 Main work content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4"/>
          <w:szCs w:val="24"/>
          <w:highlight w:val="none"/>
          <w:lang w:val="en-US" w:eastAsia="zh-CN"/>
        </w:rPr>
      </w:pPr>
      <w:r>
        <w:rPr>
          <w:rFonts w:hint="eastAsia" w:ascii="宋体" w:hAnsi="宋体" w:eastAsia="宋体" w:cs="宋体"/>
          <w:color w:val="auto"/>
          <w:sz w:val="24"/>
          <w:szCs w:val="24"/>
          <w:highlight w:val="none"/>
          <w:lang w:val="en-US" w:eastAsia="zh-CN"/>
        </w:rPr>
        <w:t>3.2.1</w:t>
      </w:r>
      <w:r>
        <w:rPr>
          <w:rFonts w:hint="eastAsia" w:ascii="宋体" w:hAnsi="宋体" w:cs="宋体"/>
          <w:color w:val="auto"/>
          <w:sz w:val="24"/>
          <w:szCs w:val="24"/>
          <w:highlight w:val="none"/>
          <w:lang w:val="en-US" w:eastAsia="zh-CN"/>
        </w:rPr>
        <w:t>玻雅分公司</w:t>
      </w:r>
      <w:r>
        <w:rPr>
          <w:rFonts w:hint="eastAsia" w:ascii="宋体" w:hAnsi="宋体" w:eastAsia="宋体" w:cs="宋体"/>
          <w:sz w:val="24"/>
          <w:szCs w:val="24"/>
          <w:highlight w:val="none"/>
          <w:lang w:eastAsia="zh-CN"/>
        </w:rPr>
        <w:t>2×6</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CN"/>
        </w:rPr>
        <w:t>0MW</w:t>
      </w:r>
      <w:r>
        <w:rPr>
          <w:rFonts w:hint="eastAsia" w:ascii="宋体" w:hAnsi="宋体" w:eastAsia="宋体" w:cs="宋体"/>
          <w:sz w:val="24"/>
          <w:szCs w:val="24"/>
          <w:highlight w:val="none"/>
          <w:lang w:val="en-US" w:eastAsia="zh-CN"/>
        </w:rPr>
        <w:t>燃煤</w:t>
      </w:r>
      <w:r>
        <w:rPr>
          <w:rFonts w:hint="eastAsia" w:ascii="宋体" w:hAnsi="宋体" w:eastAsia="宋体" w:cs="宋体"/>
          <w:sz w:val="24"/>
          <w:szCs w:val="24"/>
          <w:highlight w:val="none"/>
          <w:lang w:eastAsia="zh-CN"/>
        </w:rPr>
        <w:t>机组</w:t>
      </w:r>
      <w:r>
        <w:rPr>
          <w:rFonts w:hint="eastAsia" w:ascii="宋体" w:hAnsi="宋体" w:cs="宋体"/>
          <w:sz w:val="24"/>
          <w:szCs w:val="24"/>
          <w:highlight w:val="none"/>
          <w:lang w:val="en-US" w:eastAsia="zh-CN"/>
        </w:rPr>
        <w:t>#2锅炉省煤器旁路烟道内，用#12槽钢做框架，5mm钢板对A/B侧旁路烟道进行封堵。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At the #2 boiler bypass flue of the 2×660MW coal-fired units at PT.CHD POWER PLANT OPERATION INDONESLA MUARA ENIM BRANCH, a #12 channel steel frame was constructed, with 5mm steel plates sealing the A/B side bypass flue.</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3.2.2凡工作范围不清楚或有遗漏之处，以采购方生产技术部解释为准。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3.2.2 </w:t>
      </w:r>
      <w:r>
        <w:rPr>
          <w:rFonts w:hint="eastAsia" w:ascii="宋体" w:hAnsi="宋体" w:eastAsia="宋体" w:cs="宋体"/>
          <w:color w:val="auto"/>
          <w:sz w:val="24"/>
          <w:szCs w:val="24"/>
          <w:highlight w:val="none"/>
          <w:lang w:val="en-US" w:eastAsia="zh-CN"/>
        </w:rPr>
        <w:t>In case of any unclear or omitted scope of work, the explanation of the production and technology department of the purchaser shall prevail.</w:t>
      </w:r>
    </w:p>
    <w:p>
      <w:pPr>
        <w:spacing w:line="360" w:lineRule="auto"/>
        <w:outlineLvl w:val="0"/>
        <w:rPr>
          <w:rFonts w:hint="eastAsia" w:ascii="宋体" w:hAnsi="宋体" w:cs="宋体"/>
          <w:b/>
          <w:color w:val="auto"/>
          <w:sz w:val="28"/>
          <w:szCs w:val="28"/>
          <w:highlight w:val="none"/>
          <w:lang w:val="en-US" w:eastAsia="zh-CN"/>
        </w:rPr>
      </w:pPr>
      <w:bookmarkStart w:id="4" w:name="_Toc4658"/>
      <w:r>
        <w:rPr>
          <w:rFonts w:hint="eastAsia" w:ascii="宋体" w:hAnsi="宋体" w:eastAsia="宋体" w:cs="宋体"/>
          <w:b/>
          <w:color w:val="auto"/>
          <w:sz w:val="28"/>
          <w:szCs w:val="28"/>
          <w:highlight w:val="none"/>
          <w:lang w:val="en-US" w:eastAsia="zh-CN"/>
        </w:rPr>
        <w:t>4.服务期限</w:t>
      </w:r>
      <w:bookmarkEnd w:id="4"/>
      <w:r>
        <w:rPr>
          <w:rFonts w:hint="eastAsia" w:ascii="宋体" w:hAnsi="宋体" w:cs="宋体"/>
          <w:b/>
          <w:color w:val="auto"/>
          <w:sz w:val="28"/>
          <w:szCs w:val="28"/>
          <w:highlight w:val="none"/>
          <w:lang w:val="en-US" w:eastAsia="zh-CN"/>
        </w:rPr>
        <w:t>及承包形式</w:t>
      </w:r>
    </w:p>
    <w:p>
      <w:pPr>
        <w:spacing w:line="360" w:lineRule="auto"/>
        <w:outlineLvl w:val="0"/>
        <w:rPr>
          <w:rFonts w:hint="default"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4.Service period and contracting form</w:t>
      </w:r>
    </w:p>
    <w:p>
      <w:pPr>
        <w:pageBreakBefore w:val="0"/>
        <w:kinsoku/>
        <w:wordWrap/>
        <w:overflowPunct/>
        <w:topLinePunct w:val="0"/>
        <w:autoSpaceDE/>
        <w:autoSpaceDN/>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4.1</w:t>
      </w:r>
      <w:r>
        <w:rPr>
          <w:rFonts w:hint="eastAsia" w:ascii="宋体" w:hAnsi="宋体" w:eastAsia="宋体" w:cs="宋体"/>
          <w:color w:val="auto"/>
          <w:sz w:val="24"/>
          <w:szCs w:val="24"/>
          <w:highlight w:val="none"/>
          <w:lang w:val="en-US" w:eastAsia="zh-CN"/>
        </w:rPr>
        <w:t>服务时间：</w:t>
      </w:r>
    </w:p>
    <w:p>
      <w:pPr>
        <w:pageBreakBefore w:val="0"/>
        <w:kinsoku/>
        <w:wordWrap/>
        <w:overflowPunct/>
        <w:topLinePunct w:val="0"/>
        <w:autoSpaceDE/>
        <w:autoSpaceDN/>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4.1</w:t>
      </w:r>
      <w:r>
        <w:rPr>
          <w:rFonts w:hint="eastAsia" w:ascii="宋体" w:hAnsi="宋体" w:eastAsia="宋体" w:cs="宋体"/>
          <w:color w:val="auto"/>
          <w:sz w:val="24"/>
          <w:szCs w:val="24"/>
          <w:highlight w:val="none"/>
          <w:lang w:val="en-US" w:eastAsia="zh-CN"/>
        </w:rPr>
        <w:t xml:space="preserve"> service time </w:t>
      </w:r>
    </w:p>
    <w:p>
      <w:pPr>
        <w:spacing w:line="360" w:lineRule="auto"/>
        <w:outlineLvl w:val="9"/>
        <w:rPr>
          <w:rFonts w:hint="eastAsia" w:ascii="宋体" w:hAnsi="宋体" w:cs="宋体"/>
          <w:sz w:val="24"/>
          <w:szCs w:val="24"/>
          <w:highlight w:val="none"/>
          <w:lang w:val="en-US" w:eastAsia="zh-CN"/>
        </w:rPr>
      </w:pPr>
      <w:r>
        <w:rPr>
          <w:rFonts w:hint="eastAsia" w:ascii="宋体" w:hAnsi="宋体" w:cs="宋体"/>
          <w:color w:val="auto"/>
          <w:sz w:val="24"/>
          <w:szCs w:val="24"/>
          <w:highlight w:val="none"/>
          <w:lang w:val="en-US" w:eastAsia="zh-CN"/>
        </w:rPr>
        <w:t>4.1.1合同签订后服务方立即准备所需工器具</w:t>
      </w:r>
      <w:r>
        <w:rPr>
          <w:rFonts w:hint="eastAsia" w:ascii="宋体" w:hAnsi="宋体" w:cs="宋体"/>
          <w:sz w:val="24"/>
          <w:szCs w:val="24"/>
          <w:highlight w:val="none"/>
          <w:lang w:val="en-US" w:eastAsia="zh-CN"/>
        </w:rPr>
        <w:t>，如焊机、手拉葫芦、钢丝绳、角磨机、工作电源、现场照明等。</w:t>
      </w:r>
    </w:p>
    <w:p>
      <w:pPr>
        <w:spacing w:line="360" w:lineRule="auto"/>
        <w:outlineLvl w:val="9"/>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4.1.1 After the contract is signed, the service provider will immediately prepare the required tools and equipment, such as welding machine, hand crane, steel wire rope, angle grinder, working power supply, site lighting, etc.</w:t>
      </w:r>
    </w:p>
    <w:p>
      <w:pPr>
        <w:spacing w:line="360" w:lineRule="auto"/>
        <w:outlineLvl w:val="9"/>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4.1.2 计划2025年12月，#2锅炉检查性大修期间开始旁路烟道封堵工作，工期30天。</w:t>
      </w:r>
    </w:p>
    <w:p>
      <w:pPr>
        <w:spacing w:line="360" w:lineRule="auto"/>
        <w:outlineLvl w:val="9"/>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4.1.2 The bypass flue gas duct sealing work will commence during the inspection overhaul of #2 boiler in December 2025, with a construction period of 30 days.</w:t>
      </w:r>
    </w:p>
    <w:p>
      <w:pPr>
        <w:spacing w:line="360" w:lineRule="auto"/>
        <w:outlineLvl w:val="9"/>
        <w:rPr>
          <w:rFonts w:hint="eastAsia" w:ascii="宋体" w:hAnsi="宋体" w:eastAsia="宋体" w:cs="宋体"/>
          <w:color w:val="auto"/>
          <w:sz w:val="24"/>
          <w:szCs w:val="24"/>
          <w:highlight w:val="none"/>
        </w:rPr>
      </w:pPr>
      <w:r>
        <w:rPr>
          <w:rFonts w:hint="eastAsia" w:ascii="宋体" w:hAnsi="宋体" w:cs="宋体"/>
          <w:sz w:val="24"/>
          <w:szCs w:val="24"/>
          <w:highlight w:val="none"/>
          <w:lang w:val="en-US" w:eastAsia="zh-CN"/>
        </w:rPr>
        <w:t>4.1.3</w:t>
      </w:r>
      <w:r>
        <w:rPr>
          <w:rFonts w:hint="eastAsia" w:ascii="宋体" w:hAnsi="宋体" w:eastAsia="宋体" w:cs="宋体"/>
          <w:color w:val="auto"/>
          <w:sz w:val="24"/>
          <w:szCs w:val="24"/>
          <w:highlight w:val="none"/>
        </w:rPr>
        <w:t>具体起始日期以</w:t>
      </w:r>
      <w:r>
        <w:rPr>
          <w:rFonts w:hint="eastAsia" w:ascii="宋体" w:hAnsi="宋体" w:eastAsia="宋体" w:cs="宋体"/>
          <w:color w:val="auto"/>
          <w:sz w:val="24"/>
          <w:szCs w:val="24"/>
          <w:highlight w:val="none"/>
          <w:lang w:val="en-US" w:eastAsia="zh-CN"/>
        </w:rPr>
        <w:t>采购方</w:t>
      </w:r>
      <w:r>
        <w:rPr>
          <w:rFonts w:hint="eastAsia" w:ascii="宋体" w:hAnsi="宋体" w:eastAsia="宋体" w:cs="宋体"/>
          <w:color w:val="auto"/>
          <w:sz w:val="24"/>
          <w:szCs w:val="24"/>
          <w:highlight w:val="none"/>
        </w:rPr>
        <w:t>通知的日期为准。</w:t>
      </w:r>
    </w:p>
    <w:p>
      <w:pPr>
        <w:spacing w:line="360" w:lineRule="auto"/>
        <w:outlineLvl w:val="9"/>
        <w:rPr>
          <w:rFonts w:hint="default" w:ascii="宋体" w:hAnsi="宋体" w:cs="宋体"/>
          <w:sz w:val="24"/>
          <w:szCs w:val="24"/>
          <w:highlight w:val="none"/>
          <w:lang w:val="en-US" w:eastAsia="zh-CN"/>
        </w:rPr>
      </w:pPr>
      <w:r>
        <w:rPr>
          <w:rFonts w:hint="eastAsia" w:ascii="宋体" w:hAnsi="宋体" w:cs="宋体"/>
          <w:color w:val="auto"/>
          <w:sz w:val="24"/>
          <w:szCs w:val="24"/>
          <w:highlight w:val="none"/>
          <w:lang w:val="en-US" w:eastAsia="zh-CN"/>
        </w:rPr>
        <w:t xml:space="preserve">4.1.3 </w:t>
      </w:r>
      <w:r>
        <w:rPr>
          <w:rFonts w:hint="eastAsia" w:ascii="宋体" w:hAnsi="宋体" w:eastAsia="宋体" w:cs="宋体"/>
          <w:color w:val="auto"/>
          <w:sz w:val="24"/>
          <w:szCs w:val="24"/>
          <w:highlight w:val="none"/>
        </w:rPr>
        <w:t>The specific start date shall be subject to the date notified by the purchaser.</w:t>
      </w:r>
    </w:p>
    <w:p>
      <w:pPr>
        <w:spacing w:line="360" w:lineRule="auto"/>
        <w:outlineLvl w:val="0"/>
        <w:rPr>
          <w:rFonts w:hint="eastAsia" w:ascii="宋体" w:hAnsi="宋体" w:eastAsia="宋体" w:cs="宋体"/>
          <w:color w:val="auto"/>
          <w:sz w:val="24"/>
          <w:szCs w:val="24"/>
          <w:highlight w:val="none"/>
          <w:lang w:val="en-US" w:eastAsia="zh-CN"/>
        </w:rPr>
      </w:pPr>
      <w:r>
        <w:rPr>
          <w:rFonts w:hint="eastAsia" w:ascii="宋体" w:hAnsi="宋体" w:cs="宋体"/>
          <w:b w:val="0"/>
          <w:bCs/>
          <w:color w:val="auto"/>
          <w:sz w:val="24"/>
          <w:szCs w:val="24"/>
          <w:highlight w:val="none"/>
          <w:lang w:val="en-US" w:eastAsia="zh-CN"/>
        </w:rPr>
        <w:t>4.2</w:t>
      </w:r>
      <w:r>
        <w:rPr>
          <w:rFonts w:hint="eastAsia" w:ascii="宋体" w:hAnsi="宋体" w:eastAsia="宋体" w:cs="宋体"/>
          <w:b w:val="0"/>
          <w:bCs/>
          <w:color w:val="auto"/>
          <w:sz w:val="24"/>
          <w:szCs w:val="24"/>
          <w:highlight w:val="none"/>
          <w:lang w:val="en-US" w:eastAsia="zh-CN"/>
        </w:rPr>
        <w:t>承包形式：</w:t>
      </w:r>
      <w:r>
        <w:rPr>
          <w:rFonts w:hint="eastAsia" w:ascii="宋体" w:hAnsi="宋体" w:cs="宋体"/>
          <w:b w:val="0"/>
          <w:bCs/>
          <w:color w:val="auto"/>
          <w:sz w:val="24"/>
          <w:szCs w:val="24"/>
          <w:highlight w:val="none"/>
          <w:lang w:val="en-US" w:eastAsia="zh-CN"/>
        </w:rPr>
        <w:t>施工用</w:t>
      </w:r>
      <w:r>
        <w:rPr>
          <w:rFonts w:hint="eastAsia" w:ascii="宋体" w:hAnsi="宋体" w:cs="宋体"/>
          <w:color w:val="auto"/>
          <w:sz w:val="24"/>
          <w:szCs w:val="24"/>
          <w:highlight w:val="none"/>
          <w:lang w:val="en-US" w:eastAsia="zh-CN"/>
        </w:rPr>
        <w:t>材料#12槽钢、5mm钢板由采购方提供。施工用</w:t>
      </w:r>
      <w:r>
        <w:rPr>
          <w:rFonts w:hint="eastAsia" w:ascii="宋体" w:hAnsi="宋体" w:eastAsia="宋体" w:cs="宋体"/>
          <w:color w:val="auto"/>
          <w:sz w:val="24"/>
          <w:szCs w:val="24"/>
          <w:highlight w:val="none"/>
          <w:lang w:val="en-US" w:eastAsia="zh-CN"/>
        </w:rPr>
        <w:t>工器具</w:t>
      </w:r>
      <w:r>
        <w:rPr>
          <w:rFonts w:hint="eastAsia" w:ascii="宋体" w:hAnsi="宋体" w:cs="宋体"/>
          <w:color w:val="auto"/>
          <w:sz w:val="24"/>
          <w:szCs w:val="24"/>
          <w:highlight w:val="none"/>
          <w:lang w:val="en-US" w:eastAsia="zh-CN"/>
        </w:rPr>
        <w:t>、脚手架、</w:t>
      </w:r>
      <w:r>
        <w:rPr>
          <w:rFonts w:hint="eastAsia" w:ascii="宋体" w:hAnsi="宋体" w:cs="宋体"/>
          <w:sz w:val="24"/>
          <w:szCs w:val="24"/>
          <w:highlight w:val="none"/>
          <w:lang w:val="en-US" w:eastAsia="zh-CN"/>
        </w:rPr>
        <w:t>焊材、</w:t>
      </w:r>
      <w:r>
        <w:rPr>
          <w:rFonts w:hint="eastAsia" w:ascii="宋体" w:hAnsi="宋体" w:cs="宋体"/>
          <w:color w:val="auto"/>
          <w:sz w:val="24"/>
          <w:szCs w:val="24"/>
          <w:highlight w:val="none"/>
          <w:lang w:val="en-US" w:eastAsia="zh-CN"/>
        </w:rPr>
        <w:t>耗材等由服务方自理</w:t>
      </w:r>
      <w:r>
        <w:rPr>
          <w:rFonts w:hint="eastAsia" w:ascii="宋体" w:hAnsi="宋体" w:eastAsia="宋体" w:cs="宋体"/>
          <w:color w:val="auto"/>
          <w:sz w:val="24"/>
          <w:szCs w:val="24"/>
          <w:highlight w:val="none"/>
          <w:lang w:val="en-US" w:eastAsia="zh-CN"/>
        </w:rPr>
        <w:t>，劳保及安全防护用品自理，食宿自理。</w:t>
      </w:r>
    </w:p>
    <w:p>
      <w:pPr>
        <w:spacing w:line="360" w:lineRule="auto"/>
        <w:outlineLvl w:val="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4.2  </w:t>
      </w:r>
      <w:r>
        <w:rPr>
          <w:rFonts w:hint="eastAsia" w:ascii="宋体" w:hAnsi="宋体" w:eastAsia="宋体" w:cs="宋体"/>
          <w:color w:val="auto"/>
          <w:sz w:val="24"/>
          <w:szCs w:val="24"/>
          <w:highlight w:val="none"/>
          <w:lang w:val="en-US" w:eastAsia="zh-CN"/>
        </w:rPr>
        <w:t>Contract form: The construction materials #12 channel steel and 5mm steel plate shall be provided by the purchaser. The service party shall take care of the construction tools, scaffolding, welding materials, consumables, labor insurance and safety protection equipment, and provide accommodation and food.</w:t>
      </w:r>
    </w:p>
    <w:p>
      <w:pPr>
        <w:spacing w:line="360" w:lineRule="auto"/>
        <w:outlineLvl w:val="0"/>
        <w:rPr>
          <w:rFonts w:hint="eastAsia" w:ascii="宋体" w:hAnsi="宋体" w:eastAsia="宋体" w:cs="宋体"/>
          <w:b/>
          <w:color w:val="auto"/>
          <w:sz w:val="28"/>
          <w:szCs w:val="28"/>
          <w:highlight w:val="none"/>
          <w:lang w:val="en-US" w:eastAsia="zh-CN"/>
        </w:rPr>
      </w:pPr>
      <w:bookmarkStart w:id="5" w:name="_Toc23009"/>
      <w:r>
        <w:rPr>
          <w:rFonts w:hint="eastAsia" w:ascii="宋体" w:hAnsi="宋体" w:eastAsia="宋体" w:cs="宋体"/>
          <w:b/>
          <w:color w:val="auto"/>
          <w:sz w:val="28"/>
          <w:szCs w:val="28"/>
          <w:highlight w:val="none"/>
          <w:lang w:val="en-US" w:eastAsia="zh-CN"/>
        </w:rPr>
        <w:t>5.资质要求</w:t>
      </w:r>
      <w:bookmarkEnd w:id="5"/>
    </w:p>
    <w:p>
      <w:pPr>
        <w:spacing w:line="360" w:lineRule="auto"/>
        <w:outlineLvl w:val="0"/>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 xml:space="preserve">5. </w:t>
      </w:r>
      <w:r>
        <w:rPr>
          <w:rFonts w:hint="eastAsia" w:ascii="宋体" w:hAnsi="宋体" w:eastAsia="宋体" w:cs="宋体"/>
          <w:b/>
          <w:color w:val="auto"/>
          <w:sz w:val="28"/>
          <w:szCs w:val="28"/>
          <w:highlight w:val="none"/>
          <w:lang w:val="en-US" w:eastAsia="zh-CN"/>
        </w:rPr>
        <w:t>Qualifications</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right="0" w:rightChars="0"/>
        <w:jc w:val="both"/>
        <w:textAlignment w:val="auto"/>
        <w:outlineLvl w:val="9"/>
        <w:rPr>
          <w:rFonts w:hint="eastAsia" w:ascii="宋体" w:hAnsi="宋体" w:cs="宋体"/>
          <w:b w:val="0"/>
          <w:bCs w:val="0"/>
          <w:sz w:val="24"/>
          <w:szCs w:val="24"/>
          <w:highlight w:val="none"/>
          <w:lang w:eastAsia="zh-CN"/>
        </w:rPr>
      </w:pPr>
      <w:bookmarkStart w:id="6" w:name="_Toc16531"/>
      <w:r>
        <w:rPr>
          <w:rFonts w:hint="eastAsia" w:ascii="宋体" w:hAnsi="宋体" w:eastAsia="宋体" w:cs="宋体"/>
          <w:b w:val="0"/>
          <w:bCs w:val="0"/>
          <w:sz w:val="24"/>
          <w:szCs w:val="24"/>
          <w:highlight w:val="none"/>
          <w:lang w:val="en-US" w:eastAsia="zh-CN"/>
        </w:rPr>
        <w:t>5.1</w:t>
      </w:r>
      <w:r>
        <w:rPr>
          <w:rFonts w:hint="eastAsia" w:ascii="宋体" w:hAnsi="宋体" w:eastAsia="宋体" w:cs="宋体"/>
          <w:b w:val="0"/>
          <w:bCs w:val="0"/>
          <w:sz w:val="24"/>
          <w:szCs w:val="24"/>
          <w:highlight w:val="none"/>
          <w:lang w:eastAsia="zh-CN"/>
        </w:rPr>
        <w:t>服务方</w:t>
      </w:r>
      <w:r>
        <w:rPr>
          <w:rFonts w:hint="eastAsia" w:ascii="宋体" w:hAnsi="宋体" w:eastAsia="宋体" w:cs="宋体"/>
          <w:b w:val="0"/>
          <w:bCs w:val="0"/>
          <w:sz w:val="24"/>
          <w:szCs w:val="24"/>
          <w:highlight w:val="none"/>
          <w:lang w:val="en-US" w:eastAsia="zh-CN"/>
        </w:rPr>
        <w:t>资质</w:t>
      </w:r>
      <w:r>
        <w:rPr>
          <w:rFonts w:hint="eastAsia" w:ascii="宋体" w:hAnsi="宋体" w:eastAsia="宋体" w:cs="宋体"/>
          <w:b w:val="0"/>
          <w:bCs w:val="0"/>
          <w:sz w:val="24"/>
          <w:szCs w:val="24"/>
          <w:highlight w:val="none"/>
        </w:rPr>
        <w:t>要求</w:t>
      </w:r>
      <w:r>
        <w:rPr>
          <w:rFonts w:hint="eastAsia" w:ascii="宋体" w:hAnsi="宋体" w:cs="宋体"/>
          <w:b w:val="0"/>
          <w:bCs w:val="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right="0" w:rightChars="0"/>
        <w:jc w:val="both"/>
        <w:textAlignment w:val="auto"/>
        <w:outlineLvl w:val="9"/>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 xml:space="preserve">5.1 </w:t>
      </w:r>
      <w:r>
        <w:rPr>
          <w:rFonts w:hint="eastAsia" w:ascii="宋体" w:hAnsi="宋体" w:cs="宋体"/>
          <w:b w:val="0"/>
          <w:bCs w:val="0"/>
          <w:sz w:val="24"/>
          <w:szCs w:val="24"/>
          <w:highlight w:val="none"/>
          <w:lang w:eastAsia="zh-CN"/>
        </w:rPr>
        <w:t>Service provider qualification requirements</w:t>
      </w:r>
    </w:p>
    <w:p>
      <w:pPr>
        <w:adjustRightInd w:val="0"/>
        <w:snapToGrid w:val="0"/>
        <w:spacing w:line="360" w:lineRule="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5.1.1</w:t>
      </w:r>
      <w:r>
        <w:rPr>
          <w:rFonts w:hint="eastAsia" w:ascii="宋体" w:hAnsi="宋体" w:cs="宋体"/>
          <w:color w:val="auto"/>
          <w:sz w:val="24"/>
          <w:szCs w:val="24"/>
          <w:highlight w:val="none"/>
          <w:lang w:val="en-US" w:eastAsia="zh-CN"/>
        </w:rPr>
        <w:t>为印度尼西亚注册公司，具有独立法人资格，印尼境内注册的企业法人，能够独立承担民事责任。</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5.1.1 The company is a registered company in Indonesia, with independent legal personality, and a registered corporate entity in Indonesia, which can independently bear civil liability.</w:t>
      </w:r>
    </w:p>
    <w:p>
      <w:pPr>
        <w:adjustRightInd w:val="0"/>
        <w:snapToGrid w:val="0"/>
        <w:spacing w:line="360" w:lineRule="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5.1.2具有</w:t>
      </w:r>
      <w:r>
        <w:rPr>
          <w:rFonts w:hint="eastAsia" w:ascii="宋体" w:hAnsi="宋体" w:cs="宋体"/>
          <w:color w:val="auto"/>
          <w:sz w:val="24"/>
          <w:szCs w:val="24"/>
          <w:highlight w:val="none"/>
          <w:lang w:val="en-US" w:eastAsia="zh-CN"/>
        </w:rPr>
        <w:t>机电安装工程专业承包资质。</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5.1.2 Have the qualification of mechanical and electrical installation engineering professional contractor.</w:t>
      </w:r>
    </w:p>
    <w:p>
      <w:pPr>
        <w:spacing w:line="360" w:lineRule="auto"/>
        <w:outlineLvl w:val="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6.</w:t>
      </w:r>
      <w:r>
        <w:rPr>
          <w:rFonts w:hint="eastAsia" w:ascii="宋体" w:hAnsi="宋体" w:eastAsia="宋体" w:cs="宋体"/>
          <w:b/>
          <w:bCs/>
          <w:color w:val="auto"/>
          <w:sz w:val="28"/>
          <w:szCs w:val="28"/>
          <w:highlight w:val="none"/>
        </w:rPr>
        <w:t>遵循规范及要求</w:t>
      </w:r>
      <w:bookmarkEnd w:id="6"/>
    </w:p>
    <w:p>
      <w:pPr>
        <w:spacing w:line="360" w:lineRule="auto"/>
        <w:outlineLvl w:val="0"/>
        <w:rPr>
          <w:rFonts w:hint="eastAsia" w:ascii="宋体" w:hAnsi="宋体" w:eastAsia="宋体" w:cs="宋体"/>
          <w:b/>
          <w:bCs/>
          <w:color w:val="auto"/>
          <w:sz w:val="28"/>
          <w:szCs w:val="28"/>
          <w:highlight w:val="none"/>
        </w:rPr>
      </w:pPr>
      <w:r>
        <w:rPr>
          <w:rFonts w:hint="eastAsia" w:ascii="宋体" w:hAnsi="宋体" w:cs="宋体"/>
          <w:b/>
          <w:bCs/>
          <w:color w:val="auto"/>
          <w:sz w:val="28"/>
          <w:szCs w:val="28"/>
          <w:highlight w:val="none"/>
          <w:lang w:val="en-US" w:eastAsia="zh-CN"/>
        </w:rPr>
        <w:t xml:space="preserve">6. </w:t>
      </w:r>
      <w:r>
        <w:rPr>
          <w:rFonts w:hint="eastAsia" w:ascii="宋体" w:hAnsi="宋体" w:eastAsia="宋体" w:cs="宋体"/>
          <w:b/>
          <w:bCs/>
          <w:color w:val="auto"/>
          <w:sz w:val="28"/>
          <w:szCs w:val="28"/>
          <w:highlight w:val="none"/>
        </w:rPr>
        <w:t>Follow specifications and requirements</w:t>
      </w:r>
    </w:p>
    <w:p>
      <w:pPr>
        <w:spacing w:line="360" w:lineRule="auto"/>
        <w:ind w:firstLine="480" w:firstLineChars="200"/>
        <w:rPr>
          <w:rFonts w:hint="eastAsia"/>
          <w:sz w:val="24"/>
          <w:szCs w:val="24"/>
          <w:highlight w:val="none"/>
        </w:rPr>
      </w:pPr>
      <w:r>
        <w:rPr>
          <w:rFonts w:hint="eastAsia"/>
          <w:sz w:val="24"/>
          <w:szCs w:val="24"/>
          <w:highlight w:val="none"/>
        </w:rPr>
        <w:t>本技术规范书提出的是最低限度的技术要求，并未对一切技术细节作出明确规定，也未充分引述有关标准和规范的条文。</w:t>
      </w:r>
      <w:r>
        <w:rPr>
          <w:rFonts w:hint="eastAsia"/>
          <w:sz w:val="24"/>
          <w:szCs w:val="24"/>
          <w:highlight w:val="none"/>
          <w:lang w:eastAsia="zh-CN"/>
        </w:rPr>
        <w:t>服务方</w:t>
      </w:r>
      <w:r>
        <w:rPr>
          <w:rFonts w:hint="eastAsia"/>
          <w:sz w:val="24"/>
          <w:szCs w:val="24"/>
          <w:highlight w:val="none"/>
        </w:rPr>
        <w:t>应遵守中华人民共和国及中华人民共和国相关行业下列规程、规范的规定，并以本技术规范书所确定的招标范围、内容和条件编写投标书面文件。</w:t>
      </w:r>
    </w:p>
    <w:p>
      <w:pPr>
        <w:spacing w:line="360" w:lineRule="auto"/>
        <w:ind w:firstLine="480" w:firstLineChars="200"/>
        <w:rPr>
          <w:rFonts w:hint="eastAsia"/>
          <w:sz w:val="24"/>
          <w:szCs w:val="24"/>
          <w:highlight w:val="none"/>
        </w:rPr>
      </w:pPr>
      <w:r>
        <w:rPr>
          <w:rFonts w:hint="eastAsia"/>
          <w:sz w:val="24"/>
          <w:szCs w:val="24"/>
          <w:highlight w:val="none"/>
        </w:rPr>
        <w:t>This technical specification outlines minimum technical requirements without specifying all technical details or fully referencing relevant standards and specifications. The service provider shall comply with the regulations of the People's Republic of China and its relevant industry standards, and prepare written tender documents in accordance with the scope, content, and conditions specified in this technical specification.</w:t>
      </w:r>
    </w:p>
    <w:p>
      <w:pPr>
        <w:spacing w:line="360" w:lineRule="auto"/>
        <w:rPr>
          <w:rFonts w:hint="eastAsia"/>
          <w:sz w:val="24"/>
          <w:szCs w:val="24"/>
          <w:highlight w:val="none"/>
        </w:rPr>
      </w:pPr>
      <w:r>
        <w:rPr>
          <w:rFonts w:hint="eastAsia"/>
          <w:sz w:val="24"/>
          <w:szCs w:val="24"/>
          <w:highlight w:val="none"/>
        </w:rPr>
        <w:t>应遵循国家、相关行业现行规程规范有：</w:t>
      </w:r>
    </w:p>
    <w:p>
      <w:pPr>
        <w:spacing w:line="360" w:lineRule="auto"/>
        <w:rPr>
          <w:rFonts w:hint="eastAsia"/>
          <w:sz w:val="24"/>
          <w:szCs w:val="24"/>
          <w:highlight w:val="none"/>
        </w:rPr>
      </w:pPr>
      <w:r>
        <w:rPr>
          <w:rFonts w:hint="eastAsia"/>
          <w:sz w:val="24"/>
          <w:szCs w:val="24"/>
          <w:highlight w:val="none"/>
        </w:rPr>
        <w:t>It shall comply with the current national and industry regulations</w:t>
      </w:r>
    </w:p>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DL/T 869-20</w:t>
      </w:r>
      <w:r>
        <w:rPr>
          <w:rFonts w:hint="eastAsia" w:ascii="宋体" w:hAnsi="宋体" w:cs="宋体"/>
          <w:sz w:val="24"/>
          <w:szCs w:val="24"/>
          <w:highlight w:val="none"/>
          <w:lang w:val="en-US" w:eastAsia="zh-CN"/>
        </w:rPr>
        <w:t>21</w:t>
      </w: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火力</w:t>
      </w:r>
      <w:r>
        <w:rPr>
          <w:rFonts w:hint="eastAsia" w:ascii="宋体" w:hAnsi="宋体" w:eastAsia="宋体" w:cs="宋体"/>
          <w:sz w:val="24"/>
          <w:szCs w:val="24"/>
          <w:highlight w:val="none"/>
        </w:rPr>
        <w:t>发电厂焊接技术规程》</w:t>
      </w:r>
    </w:p>
    <w:p>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DL</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 xml:space="preserve"> T 869-2021 Welding Technical Regulations for Thermal Power Plants</w:t>
      </w:r>
    </w:p>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DL/T 679-</w:t>
      </w:r>
      <w:r>
        <w:rPr>
          <w:rFonts w:hint="eastAsia" w:ascii="宋体" w:hAnsi="宋体" w:cs="宋体"/>
          <w:sz w:val="24"/>
          <w:szCs w:val="24"/>
          <w:highlight w:val="none"/>
          <w:lang w:val="en-US" w:eastAsia="zh-CN"/>
        </w:rPr>
        <w:t>2012</w:t>
      </w: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《焊工技术考核规程》</w:t>
      </w:r>
    </w:p>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DL</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 xml:space="preserve"> T 679-2012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Welding Technology Assessment Regulations</w:t>
      </w:r>
    </w:p>
    <w:p>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DL/T 868-2004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lang w:val="en-US" w:eastAsia="zh-CN"/>
        </w:rPr>
        <w:t>《焊接工艺评定规程》</w:t>
      </w:r>
    </w:p>
    <w:p>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DL</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 xml:space="preserve"> T 868-2004</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lang w:val="en-US" w:eastAsia="zh-CN"/>
        </w:rPr>
        <w:t xml:space="preserve"> Welding Process Assessment Code</w:t>
      </w:r>
    </w:p>
    <w:p>
      <w:pPr>
        <w:spacing w:line="360" w:lineRule="auto"/>
        <w:rPr>
          <w:rFonts w:hint="eastAsia" w:ascii="宋体" w:eastAsia="宋体" w:cs="宋体"/>
          <w:sz w:val="24"/>
          <w:szCs w:val="24"/>
          <w:highlight w:val="none"/>
          <w:lang w:val="en-US" w:eastAsia="zh-CN"/>
        </w:rPr>
      </w:pPr>
      <w:r>
        <w:rPr>
          <w:rFonts w:hint="eastAsia" w:ascii="宋体" w:eastAsia="宋体" w:cs="宋体"/>
          <w:sz w:val="24"/>
          <w:szCs w:val="24"/>
          <w:highlight w:val="none"/>
          <w:lang w:val="en-US" w:eastAsia="zh-CN"/>
        </w:rPr>
        <w:t xml:space="preserve">TSG51-2023       </w:t>
      </w:r>
      <w:r>
        <w:rPr>
          <w:rFonts w:hint="eastAsia" w:ascii="宋体" w:cs="宋体"/>
          <w:sz w:val="24"/>
          <w:szCs w:val="24"/>
          <w:highlight w:val="none"/>
          <w:lang w:val="en-US" w:eastAsia="zh-CN"/>
        </w:rPr>
        <w:t xml:space="preserve"> </w:t>
      </w:r>
      <w:r>
        <w:rPr>
          <w:rFonts w:hint="eastAsia" w:ascii="宋体" w:eastAsia="宋体" w:cs="宋体"/>
          <w:sz w:val="24"/>
          <w:szCs w:val="24"/>
          <w:highlight w:val="none"/>
          <w:lang w:val="en-US" w:eastAsia="zh-CN"/>
        </w:rPr>
        <w:t>《起重机械安全技术规程》</w:t>
      </w:r>
    </w:p>
    <w:p>
      <w:pPr>
        <w:spacing w:line="360" w:lineRule="auto"/>
        <w:rPr>
          <w:rFonts w:hint="default"/>
          <w:lang w:val="en-US" w:eastAsia="zh-CN"/>
        </w:rPr>
      </w:pPr>
      <w:r>
        <w:rPr>
          <w:rFonts w:hint="eastAsia" w:ascii="宋体" w:eastAsia="宋体" w:cs="宋体"/>
          <w:sz w:val="24"/>
          <w:szCs w:val="24"/>
          <w:highlight w:val="none"/>
          <w:lang w:val="en-US" w:eastAsia="zh-CN"/>
        </w:rPr>
        <w:t>TSG51-2023 Safety Technical Regulations for Lifting Machinery</w:t>
      </w:r>
    </w:p>
    <w:p>
      <w:pPr>
        <w:spacing w:line="360" w:lineRule="auto"/>
        <w:ind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《电业安全工作规程》（热力和机械部分）</w:t>
      </w:r>
    </w:p>
    <w:p>
      <w:pPr>
        <w:spacing w:line="360" w:lineRule="auto"/>
        <w:ind w:firstLine="0" w:firstLineChars="0"/>
        <w:rPr>
          <w:rFonts w:hint="eastAsia"/>
          <w:lang w:val="en-US" w:eastAsia="zh-CN"/>
        </w:rPr>
      </w:pPr>
      <w:r>
        <w:rPr>
          <w:rFonts w:hint="eastAsia" w:ascii="宋体" w:hAnsi="宋体" w:eastAsia="宋体" w:cs="宋体"/>
          <w:sz w:val="24"/>
          <w:szCs w:val="24"/>
          <w:highlight w:val="none"/>
          <w:lang w:val="en-US" w:eastAsia="zh-CN"/>
        </w:rPr>
        <w:t>Electric Power Safety Work Regulations (Thermal and Mechanical)</w:t>
      </w:r>
    </w:p>
    <w:p>
      <w:pPr>
        <w:numPr>
          <w:ilvl w:val="0"/>
          <w:numId w:val="0"/>
        </w:numPr>
        <w:spacing w:line="360" w:lineRule="auto"/>
        <w:outlineLvl w:val="0"/>
        <w:rPr>
          <w:rFonts w:hint="eastAsia" w:ascii="宋体" w:hAnsi="宋体" w:eastAsia="宋体" w:cs="宋体"/>
          <w:b/>
          <w:bCs/>
          <w:color w:val="auto"/>
          <w:sz w:val="28"/>
          <w:szCs w:val="28"/>
          <w:highlight w:val="none"/>
          <w:lang w:val="en-US" w:eastAsia="zh-CN"/>
        </w:rPr>
      </w:pPr>
      <w:bookmarkStart w:id="7" w:name="_Toc21720"/>
      <w:r>
        <w:rPr>
          <w:rFonts w:hint="eastAsia" w:ascii="宋体" w:hAnsi="宋体" w:eastAsia="宋体" w:cs="宋体"/>
          <w:b/>
          <w:bCs/>
          <w:color w:val="auto"/>
          <w:kern w:val="2"/>
          <w:sz w:val="28"/>
          <w:szCs w:val="28"/>
          <w:lang w:val="en-US" w:eastAsia="zh-CN" w:bidi="ar-SA"/>
        </w:rPr>
        <w:t>7.</w:t>
      </w:r>
      <w:r>
        <w:rPr>
          <w:rFonts w:hint="eastAsia" w:ascii="宋体" w:hAnsi="宋体" w:eastAsia="宋体" w:cs="宋体"/>
          <w:b/>
          <w:bCs/>
          <w:color w:val="auto"/>
          <w:sz w:val="28"/>
          <w:szCs w:val="28"/>
          <w:highlight w:val="none"/>
          <w:lang w:val="en-US" w:eastAsia="zh-CN"/>
        </w:rPr>
        <w:t>技术要求</w:t>
      </w:r>
      <w:bookmarkEnd w:id="7"/>
      <w:r>
        <w:rPr>
          <w:rFonts w:hint="eastAsia" w:ascii="宋体" w:hAnsi="宋体" w:eastAsia="宋体" w:cs="宋体"/>
          <w:b/>
          <w:bCs/>
          <w:color w:val="auto"/>
          <w:sz w:val="28"/>
          <w:szCs w:val="28"/>
          <w:highlight w:val="none"/>
          <w:lang w:val="en-US" w:eastAsia="zh-CN"/>
        </w:rPr>
        <w:t xml:space="preserve"> </w:t>
      </w:r>
    </w:p>
    <w:p>
      <w:pPr>
        <w:numPr>
          <w:ilvl w:val="0"/>
          <w:numId w:val="0"/>
        </w:numPr>
        <w:spacing w:line="360" w:lineRule="auto"/>
        <w:outlineLvl w:val="0"/>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7.</w:t>
      </w:r>
      <w:r>
        <w:rPr>
          <w:rFonts w:hint="eastAsia" w:ascii="宋体" w:hAnsi="宋体" w:eastAsia="宋体" w:cs="宋体"/>
          <w:b/>
          <w:bCs/>
          <w:color w:val="auto"/>
          <w:sz w:val="28"/>
          <w:szCs w:val="28"/>
          <w:highlight w:val="none"/>
          <w:lang w:val="en-US" w:eastAsia="zh-CN"/>
        </w:rPr>
        <w:t xml:space="preserve"> technical requirement</w:t>
      </w:r>
    </w:p>
    <w:p>
      <w:pPr>
        <w:numPr>
          <w:ilvl w:val="0"/>
          <w:numId w:val="0"/>
        </w:numPr>
        <w:spacing w:line="360" w:lineRule="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7.1人员及检修队伍要求</w:t>
      </w:r>
      <w:r>
        <w:rPr>
          <w:rFonts w:hint="eastAsia" w:ascii="宋体" w:hAnsi="宋体" w:cs="宋体"/>
          <w:color w:val="auto"/>
          <w:sz w:val="24"/>
          <w:szCs w:val="24"/>
          <w:highlight w:val="none"/>
          <w:lang w:val="en-US" w:eastAsia="zh-CN"/>
        </w:rPr>
        <w:t>：</w:t>
      </w:r>
    </w:p>
    <w:p>
      <w:pPr>
        <w:numPr>
          <w:ilvl w:val="0"/>
          <w:numId w:val="0"/>
        </w:num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7.1 Personnel and maintenance team requirements</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7.1.1</w:t>
      </w:r>
      <w:r>
        <w:rPr>
          <w:rFonts w:hint="eastAsia" w:ascii="宋体" w:hAnsi="宋体" w:cs="宋体"/>
          <w:color w:val="auto"/>
          <w:sz w:val="24"/>
          <w:szCs w:val="24"/>
          <w:highlight w:val="none"/>
          <w:lang w:val="en-US" w:eastAsia="zh-CN"/>
        </w:rPr>
        <w:t>服务方</w:t>
      </w:r>
      <w:r>
        <w:rPr>
          <w:rFonts w:hint="eastAsia" w:ascii="宋体" w:hAnsi="宋体" w:eastAsia="宋体" w:cs="宋体"/>
          <w:color w:val="auto"/>
          <w:sz w:val="24"/>
          <w:szCs w:val="24"/>
          <w:highlight w:val="none"/>
          <w:lang w:val="en-US" w:eastAsia="zh-CN"/>
        </w:rPr>
        <w:t>工程技术人员和工作人员的素质符合本项目性质要求，</w:t>
      </w:r>
      <w:r>
        <w:rPr>
          <w:rFonts w:hint="eastAsia" w:ascii="宋体" w:hAnsi="宋体" w:cs="宋体"/>
          <w:color w:val="auto"/>
          <w:sz w:val="24"/>
          <w:szCs w:val="24"/>
          <w:highlight w:val="none"/>
          <w:lang w:val="en-US" w:eastAsia="zh-CN"/>
        </w:rPr>
        <w:t>服务方</w:t>
      </w:r>
      <w:r>
        <w:rPr>
          <w:rFonts w:hint="eastAsia" w:ascii="宋体" w:hAnsi="宋体" w:eastAsia="宋体" w:cs="宋体"/>
          <w:color w:val="auto"/>
          <w:sz w:val="24"/>
          <w:szCs w:val="24"/>
          <w:highlight w:val="none"/>
          <w:lang w:val="en-US" w:eastAsia="zh-CN"/>
        </w:rPr>
        <w:t>所有人员应具备一定的安全基础知识，能独立完成</w:t>
      </w: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lang w:val="en-US" w:eastAsia="zh-CN"/>
        </w:rPr>
        <w:t>方组织的各项培训、考试。</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7.1.1 </w:t>
      </w:r>
      <w:r>
        <w:rPr>
          <w:rFonts w:hint="eastAsia" w:ascii="宋体" w:hAnsi="宋体" w:eastAsia="宋体" w:cs="宋体"/>
          <w:color w:val="auto"/>
          <w:sz w:val="24"/>
          <w:szCs w:val="24"/>
          <w:highlight w:val="none"/>
          <w:lang w:val="en-US" w:eastAsia="zh-CN"/>
        </w:rPr>
        <w:t>The quality of the service provider's engineers and technicians meets the requirements of the nature of the project. All personnel of the service provider shall have a certain basic knowledge of safety, and be able to independently complete various training and examinations organized by the tenderee</w:t>
      </w:r>
    </w:p>
    <w:p>
      <w:pPr>
        <w:pStyle w:val="24"/>
        <w:widowControl/>
        <w:spacing w:line="360" w:lineRule="auto"/>
        <w:jc w:val="left"/>
        <w:rPr>
          <w:rFonts w:hint="eastAsia"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7.1.</w:t>
      </w:r>
      <w:r>
        <w:rPr>
          <w:rFonts w:hint="eastAsia" w:cs="宋体"/>
          <w:color w:val="auto"/>
          <w:sz w:val="24"/>
          <w:szCs w:val="24"/>
          <w:highlight w:val="none"/>
          <w:lang w:val="en-US" w:eastAsia="zh-CN"/>
        </w:rPr>
        <w:t>2</w:t>
      </w:r>
      <w:r>
        <w:rPr>
          <w:rFonts w:hint="eastAsia" w:eastAsia="宋体" w:cs="宋体"/>
          <w:color w:val="auto"/>
          <w:kern w:val="2"/>
          <w:sz w:val="24"/>
          <w:szCs w:val="24"/>
          <w:highlight w:val="none"/>
          <w:lang w:val="en-US" w:eastAsia="zh-CN" w:bidi="ar-SA"/>
        </w:rPr>
        <w:t>服务方</w:t>
      </w:r>
      <w:r>
        <w:rPr>
          <w:rFonts w:hint="eastAsia" w:cs="宋体"/>
          <w:color w:val="auto"/>
          <w:kern w:val="2"/>
          <w:sz w:val="24"/>
          <w:szCs w:val="24"/>
          <w:highlight w:val="none"/>
          <w:lang w:val="en-US" w:eastAsia="zh-CN" w:bidi="ar-SA"/>
        </w:rPr>
        <w:t>施工</w:t>
      </w:r>
      <w:r>
        <w:rPr>
          <w:rFonts w:hint="eastAsia" w:ascii="宋体" w:hAnsi="宋体" w:eastAsia="宋体" w:cs="宋体"/>
          <w:color w:val="auto"/>
          <w:kern w:val="2"/>
          <w:sz w:val="24"/>
          <w:szCs w:val="24"/>
          <w:highlight w:val="none"/>
          <w:lang w:val="en-US" w:eastAsia="zh-CN" w:bidi="ar-SA"/>
        </w:rPr>
        <w:t>人员数量必须满足现场工作需要。</w:t>
      </w:r>
      <w:r>
        <w:rPr>
          <w:rFonts w:hint="eastAsia" w:cs="宋体"/>
          <w:color w:val="auto"/>
          <w:kern w:val="2"/>
          <w:sz w:val="24"/>
          <w:szCs w:val="24"/>
          <w:highlight w:val="none"/>
          <w:lang w:val="en-US" w:eastAsia="zh-CN" w:bidi="ar-SA"/>
        </w:rPr>
        <w:t>施工</w:t>
      </w:r>
      <w:r>
        <w:rPr>
          <w:rFonts w:hint="eastAsia" w:ascii="宋体" w:hAnsi="宋体" w:eastAsia="宋体" w:cs="宋体"/>
          <w:color w:val="auto"/>
          <w:kern w:val="2"/>
          <w:sz w:val="24"/>
          <w:szCs w:val="24"/>
          <w:highlight w:val="none"/>
          <w:lang w:val="en-US" w:eastAsia="zh-CN" w:bidi="ar-SA"/>
        </w:rPr>
        <w:t>人员应具有丰富施工经验，掌握相关施工标准</w:t>
      </w:r>
      <w:r>
        <w:rPr>
          <w:rFonts w:hint="eastAsia" w:cs="宋体"/>
          <w:color w:val="auto"/>
          <w:kern w:val="2"/>
          <w:sz w:val="24"/>
          <w:szCs w:val="24"/>
          <w:highlight w:val="none"/>
          <w:lang w:val="en-US" w:eastAsia="zh-CN" w:bidi="ar-SA"/>
        </w:rPr>
        <w:t>。</w:t>
      </w:r>
    </w:p>
    <w:p>
      <w:pPr>
        <w:pStyle w:val="24"/>
        <w:widowControl/>
        <w:spacing w:line="360" w:lineRule="auto"/>
        <w:jc w:val="left"/>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val="en-US" w:eastAsia="zh-CN" w:bidi="ar-SA"/>
        </w:rPr>
        <w:t>7.1.2 The number of construction personnel on the service side must meet the needs of the site work. The construction personnel should have rich construction experience and master the relevant construction standards.</w:t>
      </w:r>
    </w:p>
    <w:p>
      <w:pPr>
        <w:spacing w:line="360" w:lineRule="auto"/>
        <w:rPr>
          <w:rFonts w:hint="eastAsia" w:ascii="宋体" w:hAnsi="宋体" w:eastAsia="宋体" w:cs="宋体"/>
          <w:color w:val="auto"/>
          <w:sz w:val="24"/>
          <w:szCs w:val="24"/>
          <w:highlight w:val="none"/>
          <w:lang w:val="en-US" w:eastAsia="zh-CN"/>
        </w:rPr>
      </w:pPr>
      <w:bookmarkStart w:id="8" w:name="_Toc24638"/>
      <w:bookmarkStart w:id="9" w:name="_Toc24685"/>
      <w:r>
        <w:rPr>
          <w:rFonts w:hint="eastAsia" w:ascii="宋体" w:hAnsi="宋体" w:eastAsia="宋体" w:cs="宋体"/>
          <w:color w:val="auto"/>
          <w:sz w:val="24"/>
          <w:szCs w:val="24"/>
          <w:highlight w:val="none"/>
          <w:lang w:val="en-US" w:eastAsia="zh-CN"/>
        </w:rPr>
        <w:t>7.1.</w:t>
      </w:r>
      <w:r>
        <w:rPr>
          <w:rFonts w:hint="eastAsia" w:ascii="宋体" w:hAnsi="宋体" w:cs="宋体"/>
          <w:color w:val="auto"/>
          <w:sz w:val="24"/>
          <w:szCs w:val="24"/>
          <w:highlight w:val="none"/>
          <w:lang w:val="en-US" w:eastAsia="zh-CN"/>
        </w:rPr>
        <w:t>3</w:t>
      </w:r>
      <w:bookmarkEnd w:id="8"/>
      <w:bookmarkEnd w:id="9"/>
      <w:r>
        <w:rPr>
          <w:rFonts w:hint="eastAsia" w:ascii="宋体" w:hAnsi="宋体" w:cs="宋体"/>
          <w:color w:val="auto"/>
          <w:sz w:val="24"/>
          <w:szCs w:val="24"/>
          <w:highlight w:val="none"/>
          <w:lang w:val="en-US" w:eastAsia="zh-CN"/>
        </w:rPr>
        <w:t>服务方根据工作内容，合理安排</w:t>
      </w:r>
      <w:r>
        <w:rPr>
          <w:rFonts w:hint="eastAsia" w:ascii="宋体" w:hAnsi="宋体" w:eastAsia="宋体" w:cs="宋体"/>
          <w:color w:val="auto"/>
          <w:sz w:val="24"/>
          <w:szCs w:val="24"/>
          <w:highlight w:val="none"/>
          <w:lang w:val="en-US" w:eastAsia="zh-CN"/>
        </w:rPr>
        <w:t>相关专业技术的</w:t>
      </w:r>
      <w:r>
        <w:rPr>
          <w:rFonts w:hint="eastAsia" w:ascii="宋体" w:hAnsi="宋体" w:cs="宋体"/>
          <w:color w:val="auto"/>
          <w:sz w:val="24"/>
          <w:szCs w:val="24"/>
          <w:highlight w:val="none"/>
          <w:lang w:val="en-US" w:eastAsia="zh-CN"/>
        </w:rPr>
        <w:t>焊</w:t>
      </w:r>
      <w:r>
        <w:rPr>
          <w:rFonts w:hint="eastAsia" w:ascii="宋体" w:hAnsi="宋体" w:eastAsia="宋体" w:cs="宋体"/>
          <w:color w:val="auto"/>
          <w:sz w:val="24"/>
          <w:szCs w:val="24"/>
          <w:highlight w:val="none"/>
          <w:lang w:val="en-US" w:eastAsia="zh-CN"/>
        </w:rPr>
        <w:t>工</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起重工</w:t>
      </w:r>
      <w:r>
        <w:rPr>
          <w:rFonts w:hint="eastAsia" w:ascii="宋体" w:hAnsi="宋体" w:eastAsia="宋体" w:cs="宋体"/>
          <w:color w:val="auto"/>
          <w:sz w:val="24"/>
          <w:szCs w:val="24"/>
          <w:highlight w:val="none"/>
          <w:lang w:val="en-US" w:eastAsia="zh-CN"/>
        </w:rPr>
        <w:t>，并提供人员构成情况表，</w:t>
      </w:r>
      <w:r>
        <w:rPr>
          <w:rFonts w:hint="eastAsia" w:ascii="宋体" w:hAnsi="宋体" w:cs="宋体"/>
          <w:color w:val="auto"/>
          <w:sz w:val="24"/>
          <w:szCs w:val="24"/>
          <w:highlight w:val="none"/>
          <w:lang w:val="en-US" w:eastAsia="zh-CN"/>
        </w:rPr>
        <w:t>报采购方审批。</w:t>
      </w:r>
      <w:r>
        <w:rPr>
          <w:rFonts w:hint="eastAsia" w:ascii="宋体" w:hAnsi="宋体" w:eastAsia="宋体" w:cs="宋体"/>
          <w:color w:val="auto"/>
          <w:sz w:val="24"/>
          <w:szCs w:val="24"/>
          <w:highlight w:val="none"/>
          <w:lang w:val="en-US" w:eastAsia="zh-CN"/>
        </w:rPr>
        <w:t>特殊工种人员应附资质证书。</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7.1.3 </w:t>
      </w:r>
      <w:r>
        <w:rPr>
          <w:rFonts w:hint="eastAsia" w:ascii="宋体" w:hAnsi="宋体" w:eastAsia="宋体" w:cs="宋体"/>
          <w:color w:val="auto"/>
          <w:sz w:val="24"/>
          <w:szCs w:val="24"/>
          <w:highlight w:val="none"/>
          <w:lang w:val="en-US" w:eastAsia="zh-CN"/>
        </w:rPr>
        <w:t>According to the work content, the service provider shall reasonably arrange the welders and riggers with relevant professional skills, and provide the personnel composition table for approval by the purchaser. The special workers shall be attached with qualification certificates.</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从业施工人员</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 xml:space="preserve"> 男 55 周岁以内、女50 周岁以内、登高作业人员年龄不超过 50周岁。</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7.1.4 </w:t>
      </w:r>
      <w:r>
        <w:rPr>
          <w:rFonts w:hint="eastAsia" w:ascii="宋体" w:hAnsi="宋体" w:eastAsia="宋体" w:cs="宋体"/>
          <w:color w:val="auto"/>
          <w:sz w:val="24"/>
          <w:szCs w:val="24"/>
          <w:highlight w:val="none"/>
          <w:lang w:val="en-US" w:eastAsia="zh-CN"/>
        </w:rPr>
        <w:t>Construction personnel: male under 55 years old, female under 50 years old, high-altitude workers under 50 years old.</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检修工器具工作前到达现场，并向</w:t>
      </w:r>
      <w:r>
        <w:rPr>
          <w:rFonts w:hint="eastAsia" w:ascii="宋体" w:hAnsi="宋体" w:cs="宋体"/>
          <w:color w:val="auto"/>
          <w:sz w:val="24"/>
          <w:szCs w:val="24"/>
          <w:highlight w:val="none"/>
          <w:lang w:val="en-US" w:eastAsia="zh-CN"/>
        </w:rPr>
        <w:t>采购方</w:t>
      </w:r>
      <w:r>
        <w:rPr>
          <w:rFonts w:hint="eastAsia" w:ascii="宋体" w:hAnsi="宋体" w:eastAsia="宋体" w:cs="宋体"/>
          <w:color w:val="auto"/>
          <w:sz w:val="24"/>
          <w:szCs w:val="24"/>
          <w:highlight w:val="none"/>
          <w:lang w:val="en-US" w:eastAsia="zh-CN"/>
        </w:rPr>
        <w:t>提供检修工器具清册、检查检验报告，接受采购方检查、抽查。</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7.1.5 </w:t>
      </w:r>
      <w:r>
        <w:rPr>
          <w:rFonts w:hint="eastAsia" w:ascii="宋体" w:hAnsi="宋体" w:eastAsia="宋体" w:cs="宋体"/>
          <w:color w:val="auto"/>
          <w:sz w:val="24"/>
          <w:szCs w:val="24"/>
          <w:highlight w:val="none"/>
          <w:lang w:val="en-US" w:eastAsia="zh-CN"/>
        </w:rPr>
        <w:t>The maintenance tools shall arrive at the site before work, and provide the maintenance tools list and inspection report to the purchaser for inspection and spot check.</w:t>
      </w:r>
    </w:p>
    <w:p>
      <w:pP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7.1.6 服务方明确工作负责人及施工人员、人力资源配置表、施工方案，报采购方审批。技术人员由中方人员承担。</w:t>
      </w:r>
    </w:p>
    <w:p>
      <w:pP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7.1.6The service provider shall specify the project leader, construction personnel, human resource allocation table, and construction plan, and submit them to the purchaser for approval. The project technical personnel shall be Chinese personnel.</w:t>
      </w:r>
    </w:p>
    <w:p>
      <w:pPr>
        <w:pStyle w:val="22"/>
        <w:ind w:firstLine="2880" w:firstLineChars="1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人力资源配置表</w:t>
      </w:r>
    </w:p>
    <w:p>
      <w:pPr>
        <w:pStyle w:val="22"/>
        <w:ind w:firstLine="1920" w:firstLineChars="8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Human resources staffing table</w:t>
      </w:r>
    </w:p>
    <w:tbl>
      <w:tblPr>
        <w:tblStyle w:val="18"/>
        <w:tblpPr w:leftFromText="180" w:rightFromText="180" w:vertAnchor="text" w:tblpX="358" w:tblpY="330"/>
        <w:tblOverlap w:val="never"/>
        <w:tblW w:w="6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
        <w:gridCol w:w="1388"/>
        <w:gridCol w:w="1287"/>
        <w:gridCol w:w="1450"/>
        <w:gridCol w:w="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1312"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岗位 Position</w:t>
            </w:r>
          </w:p>
        </w:tc>
        <w:tc>
          <w:tcPr>
            <w:tcW w:w="1388"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人员资质Personnel qualifications</w:t>
            </w:r>
          </w:p>
        </w:tc>
        <w:tc>
          <w:tcPr>
            <w:tcW w:w="1287"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中方人数Number of Chinese Personnel</w:t>
            </w:r>
          </w:p>
        </w:tc>
        <w:tc>
          <w:tcPr>
            <w:tcW w:w="1450"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印尼方人数Number of Indonesian Personnel</w:t>
            </w:r>
          </w:p>
        </w:tc>
        <w:tc>
          <w:tcPr>
            <w:tcW w:w="988"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备注 Remark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1312"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项目经理project manager</w:t>
            </w:r>
          </w:p>
        </w:tc>
        <w:tc>
          <w:tcPr>
            <w:tcW w:w="1388" w:type="dxa"/>
          </w:tcPr>
          <w:p>
            <w:pPr>
              <w:pStyle w:val="22"/>
              <w:jc w:val="both"/>
              <w:rPr>
                <w:rFonts w:hint="default" w:ascii="宋体" w:hAnsi="宋体" w:cs="宋体"/>
                <w:color w:val="auto"/>
                <w:sz w:val="24"/>
                <w:szCs w:val="24"/>
                <w:highlight w:val="none"/>
                <w:lang w:val="en-US" w:eastAsia="zh-CN"/>
              </w:rPr>
            </w:pPr>
          </w:p>
        </w:tc>
        <w:tc>
          <w:tcPr>
            <w:tcW w:w="1287" w:type="dxa"/>
          </w:tcPr>
          <w:p>
            <w:pPr>
              <w:pStyle w:val="22"/>
              <w:jc w:val="both"/>
              <w:rPr>
                <w:rFonts w:hint="default" w:ascii="宋体" w:hAnsi="宋体" w:cs="宋体"/>
                <w:color w:val="auto"/>
                <w:sz w:val="24"/>
                <w:szCs w:val="24"/>
                <w:highlight w:val="none"/>
                <w:lang w:val="en-US" w:eastAsia="zh-CN"/>
              </w:rPr>
            </w:pPr>
          </w:p>
        </w:tc>
        <w:tc>
          <w:tcPr>
            <w:tcW w:w="1450" w:type="dxa"/>
          </w:tcPr>
          <w:p>
            <w:pPr>
              <w:pStyle w:val="22"/>
              <w:jc w:val="both"/>
              <w:rPr>
                <w:rFonts w:hint="default" w:ascii="宋体" w:hAnsi="宋体" w:cs="宋体"/>
                <w:color w:val="auto"/>
                <w:sz w:val="24"/>
                <w:szCs w:val="24"/>
                <w:highlight w:val="none"/>
                <w:lang w:val="en-US" w:eastAsia="zh-CN"/>
              </w:rPr>
            </w:pPr>
          </w:p>
        </w:tc>
        <w:tc>
          <w:tcPr>
            <w:tcW w:w="988" w:type="dxa"/>
          </w:tcPr>
          <w:p>
            <w:pPr>
              <w:pStyle w:val="22"/>
              <w:jc w:val="both"/>
              <w:rPr>
                <w:rFonts w:hint="default" w:ascii="宋体" w:hAnsi="宋体" w:cs="宋体"/>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1312"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技术员Technician</w:t>
            </w:r>
          </w:p>
        </w:tc>
        <w:tc>
          <w:tcPr>
            <w:tcW w:w="1388" w:type="dxa"/>
          </w:tcPr>
          <w:p>
            <w:pPr>
              <w:pStyle w:val="22"/>
              <w:jc w:val="both"/>
              <w:rPr>
                <w:rFonts w:hint="default" w:ascii="宋体" w:hAnsi="宋体" w:cs="宋体"/>
                <w:color w:val="auto"/>
                <w:sz w:val="24"/>
                <w:szCs w:val="24"/>
                <w:highlight w:val="none"/>
                <w:lang w:val="en-US" w:eastAsia="zh-CN"/>
              </w:rPr>
            </w:pPr>
          </w:p>
        </w:tc>
        <w:tc>
          <w:tcPr>
            <w:tcW w:w="1287" w:type="dxa"/>
          </w:tcPr>
          <w:p>
            <w:pPr>
              <w:pStyle w:val="22"/>
              <w:jc w:val="both"/>
              <w:rPr>
                <w:rFonts w:hint="default" w:ascii="宋体" w:hAnsi="宋体" w:cs="宋体"/>
                <w:color w:val="auto"/>
                <w:sz w:val="24"/>
                <w:szCs w:val="24"/>
                <w:highlight w:val="none"/>
                <w:lang w:val="en-US" w:eastAsia="zh-CN"/>
              </w:rPr>
            </w:pPr>
          </w:p>
        </w:tc>
        <w:tc>
          <w:tcPr>
            <w:tcW w:w="1450" w:type="dxa"/>
          </w:tcPr>
          <w:p>
            <w:pPr>
              <w:pStyle w:val="22"/>
              <w:jc w:val="both"/>
              <w:rPr>
                <w:rFonts w:hint="default" w:ascii="宋体" w:hAnsi="宋体" w:cs="宋体"/>
                <w:color w:val="auto"/>
                <w:sz w:val="24"/>
                <w:szCs w:val="24"/>
                <w:highlight w:val="none"/>
                <w:lang w:val="en-US" w:eastAsia="zh-CN"/>
              </w:rPr>
            </w:pPr>
          </w:p>
        </w:tc>
        <w:tc>
          <w:tcPr>
            <w:tcW w:w="988" w:type="dxa"/>
          </w:tcPr>
          <w:p>
            <w:pPr>
              <w:pStyle w:val="22"/>
              <w:jc w:val="both"/>
              <w:rPr>
                <w:rFonts w:hint="default" w:ascii="宋体" w:hAnsi="宋体" w:cs="宋体"/>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1312"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焊工Welder</w:t>
            </w:r>
          </w:p>
        </w:tc>
        <w:tc>
          <w:tcPr>
            <w:tcW w:w="1388" w:type="dxa"/>
          </w:tcPr>
          <w:p>
            <w:pPr>
              <w:pStyle w:val="22"/>
              <w:jc w:val="both"/>
              <w:rPr>
                <w:rFonts w:hint="default" w:ascii="宋体" w:hAnsi="宋体" w:cs="宋体"/>
                <w:color w:val="auto"/>
                <w:sz w:val="24"/>
                <w:szCs w:val="24"/>
                <w:highlight w:val="none"/>
                <w:lang w:val="en-US" w:eastAsia="zh-CN"/>
              </w:rPr>
            </w:pPr>
          </w:p>
        </w:tc>
        <w:tc>
          <w:tcPr>
            <w:tcW w:w="1287" w:type="dxa"/>
          </w:tcPr>
          <w:p>
            <w:pPr>
              <w:pStyle w:val="22"/>
              <w:jc w:val="both"/>
              <w:rPr>
                <w:rFonts w:hint="default" w:ascii="宋体" w:hAnsi="宋体" w:cs="宋体"/>
                <w:color w:val="auto"/>
                <w:sz w:val="24"/>
                <w:szCs w:val="24"/>
                <w:highlight w:val="none"/>
                <w:lang w:val="en-US" w:eastAsia="zh-CN"/>
              </w:rPr>
            </w:pPr>
          </w:p>
        </w:tc>
        <w:tc>
          <w:tcPr>
            <w:tcW w:w="1450" w:type="dxa"/>
          </w:tcPr>
          <w:p>
            <w:pPr>
              <w:pStyle w:val="22"/>
              <w:jc w:val="both"/>
              <w:rPr>
                <w:rFonts w:hint="default" w:ascii="宋体" w:hAnsi="宋体" w:cs="宋体"/>
                <w:color w:val="auto"/>
                <w:sz w:val="24"/>
                <w:szCs w:val="24"/>
                <w:highlight w:val="none"/>
                <w:lang w:val="en-US" w:eastAsia="zh-CN"/>
              </w:rPr>
            </w:pPr>
          </w:p>
        </w:tc>
        <w:tc>
          <w:tcPr>
            <w:tcW w:w="988" w:type="dxa"/>
          </w:tcPr>
          <w:p>
            <w:pPr>
              <w:pStyle w:val="22"/>
              <w:jc w:val="both"/>
              <w:rPr>
                <w:rFonts w:hint="default" w:ascii="宋体" w:hAnsi="宋体" w:cs="宋体"/>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1312"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起重工Rigger</w:t>
            </w:r>
          </w:p>
        </w:tc>
        <w:tc>
          <w:tcPr>
            <w:tcW w:w="1388" w:type="dxa"/>
          </w:tcPr>
          <w:p>
            <w:pPr>
              <w:pStyle w:val="22"/>
              <w:jc w:val="both"/>
              <w:rPr>
                <w:rFonts w:hint="default" w:ascii="宋体" w:hAnsi="宋体" w:cs="宋体"/>
                <w:color w:val="auto"/>
                <w:sz w:val="24"/>
                <w:szCs w:val="24"/>
                <w:highlight w:val="none"/>
                <w:lang w:val="en-US" w:eastAsia="zh-CN"/>
              </w:rPr>
            </w:pPr>
          </w:p>
        </w:tc>
        <w:tc>
          <w:tcPr>
            <w:tcW w:w="1287" w:type="dxa"/>
          </w:tcPr>
          <w:p>
            <w:pPr>
              <w:pStyle w:val="22"/>
              <w:jc w:val="both"/>
              <w:rPr>
                <w:rFonts w:hint="default" w:ascii="宋体" w:hAnsi="宋体" w:cs="宋体"/>
                <w:color w:val="auto"/>
                <w:sz w:val="24"/>
                <w:szCs w:val="24"/>
                <w:highlight w:val="none"/>
                <w:lang w:val="en-US" w:eastAsia="zh-CN"/>
              </w:rPr>
            </w:pPr>
          </w:p>
        </w:tc>
        <w:tc>
          <w:tcPr>
            <w:tcW w:w="1450" w:type="dxa"/>
          </w:tcPr>
          <w:p>
            <w:pPr>
              <w:pStyle w:val="22"/>
              <w:jc w:val="both"/>
              <w:rPr>
                <w:rFonts w:hint="default" w:ascii="宋体" w:hAnsi="宋体" w:cs="宋体"/>
                <w:color w:val="auto"/>
                <w:sz w:val="24"/>
                <w:szCs w:val="24"/>
                <w:highlight w:val="none"/>
                <w:lang w:val="en-US" w:eastAsia="zh-CN"/>
              </w:rPr>
            </w:pPr>
          </w:p>
        </w:tc>
        <w:tc>
          <w:tcPr>
            <w:tcW w:w="988" w:type="dxa"/>
          </w:tcPr>
          <w:p>
            <w:pPr>
              <w:pStyle w:val="22"/>
              <w:jc w:val="both"/>
              <w:rPr>
                <w:rFonts w:hint="default" w:ascii="宋体" w:hAnsi="宋体" w:cs="宋体"/>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1312"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电工Electrician</w:t>
            </w:r>
          </w:p>
        </w:tc>
        <w:tc>
          <w:tcPr>
            <w:tcW w:w="1388" w:type="dxa"/>
          </w:tcPr>
          <w:p>
            <w:pPr>
              <w:pStyle w:val="22"/>
              <w:jc w:val="both"/>
              <w:rPr>
                <w:rFonts w:hint="default" w:ascii="宋体" w:hAnsi="宋体" w:cs="宋体"/>
                <w:color w:val="auto"/>
                <w:sz w:val="24"/>
                <w:szCs w:val="24"/>
                <w:highlight w:val="none"/>
                <w:lang w:val="en-US" w:eastAsia="zh-CN"/>
              </w:rPr>
            </w:pPr>
          </w:p>
        </w:tc>
        <w:tc>
          <w:tcPr>
            <w:tcW w:w="1287" w:type="dxa"/>
          </w:tcPr>
          <w:p>
            <w:pPr>
              <w:pStyle w:val="22"/>
              <w:jc w:val="both"/>
              <w:rPr>
                <w:rFonts w:hint="default" w:ascii="宋体" w:hAnsi="宋体" w:cs="宋体"/>
                <w:color w:val="auto"/>
                <w:sz w:val="24"/>
                <w:szCs w:val="24"/>
                <w:highlight w:val="none"/>
                <w:lang w:val="en-US" w:eastAsia="zh-CN"/>
              </w:rPr>
            </w:pPr>
          </w:p>
        </w:tc>
        <w:tc>
          <w:tcPr>
            <w:tcW w:w="1450" w:type="dxa"/>
          </w:tcPr>
          <w:p>
            <w:pPr>
              <w:pStyle w:val="22"/>
              <w:jc w:val="both"/>
              <w:rPr>
                <w:rFonts w:hint="default" w:ascii="宋体" w:hAnsi="宋体" w:cs="宋体"/>
                <w:color w:val="auto"/>
                <w:sz w:val="24"/>
                <w:szCs w:val="24"/>
                <w:highlight w:val="none"/>
                <w:lang w:val="en-US" w:eastAsia="zh-CN"/>
              </w:rPr>
            </w:pPr>
          </w:p>
        </w:tc>
        <w:tc>
          <w:tcPr>
            <w:tcW w:w="988" w:type="dxa"/>
          </w:tcPr>
          <w:p>
            <w:pPr>
              <w:pStyle w:val="22"/>
              <w:jc w:val="both"/>
              <w:rPr>
                <w:rFonts w:hint="default" w:ascii="宋体" w:hAnsi="宋体" w:cs="宋体"/>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1312"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钳工Fitter</w:t>
            </w:r>
          </w:p>
        </w:tc>
        <w:tc>
          <w:tcPr>
            <w:tcW w:w="1388" w:type="dxa"/>
          </w:tcPr>
          <w:p>
            <w:pPr>
              <w:pStyle w:val="22"/>
              <w:jc w:val="both"/>
              <w:rPr>
                <w:rFonts w:hint="default" w:ascii="宋体" w:hAnsi="宋体" w:cs="宋体"/>
                <w:color w:val="auto"/>
                <w:sz w:val="24"/>
                <w:szCs w:val="24"/>
                <w:highlight w:val="none"/>
                <w:lang w:val="en-US" w:eastAsia="zh-CN"/>
              </w:rPr>
            </w:pPr>
          </w:p>
        </w:tc>
        <w:tc>
          <w:tcPr>
            <w:tcW w:w="1287" w:type="dxa"/>
          </w:tcPr>
          <w:p>
            <w:pPr>
              <w:pStyle w:val="22"/>
              <w:jc w:val="both"/>
              <w:rPr>
                <w:rFonts w:hint="default" w:ascii="宋体" w:hAnsi="宋体" w:cs="宋体"/>
                <w:color w:val="auto"/>
                <w:sz w:val="24"/>
                <w:szCs w:val="24"/>
                <w:highlight w:val="none"/>
                <w:lang w:val="en-US" w:eastAsia="zh-CN"/>
              </w:rPr>
            </w:pPr>
          </w:p>
        </w:tc>
        <w:tc>
          <w:tcPr>
            <w:tcW w:w="1450" w:type="dxa"/>
          </w:tcPr>
          <w:p>
            <w:pPr>
              <w:pStyle w:val="22"/>
              <w:jc w:val="both"/>
              <w:rPr>
                <w:rFonts w:hint="default" w:ascii="宋体" w:hAnsi="宋体" w:cs="宋体"/>
                <w:color w:val="auto"/>
                <w:sz w:val="24"/>
                <w:szCs w:val="24"/>
                <w:highlight w:val="none"/>
                <w:lang w:val="en-US" w:eastAsia="zh-CN"/>
              </w:rPr>
            </w:pPr>
          </w:p>
        </w:tc>
        <w:tc>
          <w:tcPr>
            <w:tcW w:w="988" w:type="dxa"/>
          </w:tcPr>
          <w:p>
            <w:pPr>
              <w:pStyle w:val="22"/>
              <w:jc w:val="both"/>
              <w:rPr>
                <w:rFonts w:hint="default" w:ascii="宋体" w:hAnsi="宋体" w:cs="宋体"/>
                <w:color w:val="auto"/>
                <w:sz w:val="24"/>
                <w:szCs w:val="24"/>
                <w:highlight w:val="none"/>
                <w:lang w:val="en-US" w:eastAsia="zh-CN"/>
              </w:rPr>
            </w:pPr>
          </w:p>
        </w:tc>
      </w:tr>
    </w:tbl>
    <w:p>
      <w:pPr>
        <w:pStyle w:val="22"/>
        <w:rPr>
          <w:rFonts w:hint="default" w:ascii="宋体" w:hAnsi="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7.2</w:t>
      </w:r>
      <w:r>
        <w:rPr>
          <w:rFonts w:hint="eastAsia" w:ascii="宋体" w:hAnsi="宋体" w:cs="宋体"/>
          <w:color w:val="auto"/>
          <w:sz w:val="24"/>
          <w:szCs w:val="24"/>
          <w:highlight w:val="none"/>
          <w:lang w:val="en-US" w:eastAsia="zh-CN"/>
        </w:rPr>
        <w:t xml:space="preserve"> #2炉省煤器旁路烟道封堵技术措施及要求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7.2.1采购方</w:t>
      </w:r>
      <w:r>
        <w:rPr>
          <w:rFonts w:hint="eastAsia" w:ascii="宋体" w:hAnsi="宋体" w:eastAsia="宋体" w:cs="宋体"/>
          <w:b w:val="0"/>
          <w:bCs w:val="0"/>
          <w:color w:val="auto"/>
          <w:sz w:val="24"/>
          <w:szCs w:val="24"/>
          <w:highlight w:val="none"/>
          <w:lang w:val="en-US" w:eastAsia="zh-CN"/>
        </w:rPr>
        <w:t>派安全监督人员对参加检修作业的所有人员进行安全技术交底；检修单位工作负责人开工前现场对工作</w:t>
      </w:r>
      <w:r>
        <w:rPr>
          <w:rFonts w:hint="eastAsia" w:ascii="宋体" w:hAnsi="宋体" w:cs="宋体"/>
          <w:b w:val="0"/>
          <w:bCs w:val="0"/>
          <w:color w:val="auto"/>
          <w:sz w:val="24"/>
          <w:szCs w:val="24"/>
          <w:highlight w:val="none"/>
          <w:lang w:val="en-US" w:eastAsia="zh-CN"/>
        </w:rPr>
        <w:t>组人</w:t>
      </w:r>
      <w:r>
        <w:rPr>
          <w:rFonts w:hint="eastAsia" w:ascii="宋体" w:hAnsi="宋体" w:eastAsia="宋体" w:cs="宋体"/>
          <w:b w:val="0"/>
          <w:bCs w:val="0"/>
          <w:color w:val="auto"/>
          <w:sz w:val="24"/>
          <w:szCs w:val="24"/>
          <w:highlight w:val="none"/>
          <w:lang w:val="en-US" w:eastAsia="zh-CN"/>
        </w:rPr>
        <w:t>员进行二次交底；</w:t>
      </w:r>
      <w:r>
        <w:rPr>
          <w:rFonts w:hint="eastAsia" w:ascii="宋体" w:hAnsi="宋体" w:cs="宋体"/>
          <w:b w:val="0"/>
          <w:bCs w:val="0"/>
          <w:color w:val="auto"/>
          <w:sz w:val="24"/>
          <w:szCs w:val="24"/>
          <w:highlight w:val="none"/>
          <w:lang w:val="en-US" w:eastAsia="zh-CN"/>
        </w:rPr>
        <w:t>采购方</w:t>
      </w:r>
      <w:r>
        <w:rPr>
          <w:rFonts w:hint="eastAsia" w:ascii="宋体" w:hAnsi="宋体" w:eastAsia="宋体" w:cs="宋体"/>
          <w:b w:val="0"/>
          <w:bCs w:val="0"/>
          <w:color w:val="auto"/>
          <w:sz w:val="24"/>
          <w:szCs w:val="24"/>
          <w:highlight w:val="none"/>
          <w:lang w:val="en-US" w:eastAsia="zh-CN"/>
        </w:rPr>
        <w:t>安全监督人员，全程进行安全监督，发现违章行为，立即制止。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7.2.1 </w:t>
      </w:r>
      <w:r>
        <w:rPr>
          <w:rFonts w:hint="eastAsia" w:ascii="宋体" w:hAnsi="宋体" w:eastAsia="宋体" w:cs="宋体"/>
          <w:b w:val="0"/>
          <w:bCs w:val="0"/>
          <w:color w:val="auto"/>
          <w:sz w:val="24"/>
          <w:szCs w:val="24"/>
          <w:highlight w:val="none"/>
          <w:lang w:val="en-US" w:eastAsia="zh-CN"/>
        </w:rPr>
        <w:t>The purchasing party shall dispatch safety supervisors to conduct safety briefings for all maintenance personnel. The maintenance unit's supervisor shall provide a second briefing to the team before work commencement. The purchasing party's safety supervisors shall monitor the entire process and immediately halt any violations.</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7.2.2</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机组停</w:t>
      </w:r>
      <w:r>
        <w:rPr>
          <w:rFonts w:hint="eastAsia" w:ascii="宋体" w:hAnsi="宋体" w:cs="宋体"/>
          <w:b w:val="0"/>
          <w:bCs w:val="0"/>
          <w:color w:val="auto"/>
          <w:sz w:val="24"/>
          <w:szCs w:val="24"/>
          <w:highlight w:val="none"/>
          <w:lang w:val="en-US" w:eastAsia="zh-CN"/>
        </w:rPr>
        <w:t>炉冷却后，开工申请审批完成，办理好工作票，利用锅炉吹灰打焦时机，开启引风机、投运电除尘器、空预器，旁路烟道挡板全开状态下，用压缩空气吹扫旁路烟道内积灰，利用引风机将积灰带入电除尘器灰斗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7.2.2 After Unit #2 completed furnace shutdown cooling and obtained operational approval, the work permit was processed. During the boiler ash removal and coke tapping operation, the induced draft fan was activated, the electrostatic precipitator and air preheater were commissioned. With the bypass flue damper fully open, compressed air was used to purge accumulated ash from the bypass flue. The induced draft fan then conveyed the ash into the electrostatic precipitator's hopper.</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7.2.3 旁路烟道内非金属膨胀节后方搭设硬质防护栏，防止人员高空坠落。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7.2.3 A hard protective barrier is installed behind the non-metallic expansion joint in the bypass flue to prevent people from falling from a height.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7.2.4 搭架拆除省煤器旁路烟道侧面非金属膨胀节前保温，在旁路烟道侧面开孔，便于施工用材料运输（开孔大小根据现场而定）。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宋体" w:hAnsi="宋体" w:cs="宋体"/>
          <w:b w:val="0"/>
          <w:bCs w:val="0"/>
          <w:color w:val="auto"/>
          <w:sz w:val="24"/>
          <w:szCs w:val="24"/>
          <w:highlight w:val="none"/>
          <w:lang w:val="en-US" w:eastAsia="zh-CN"/>
        </w:rPr>
      </w:pPr>
      <w:r>
        <w:rPr>
          <w:rFonts w:hint="eastAsia" w:ascii="宋体" w:hAnsi="宋体" w:cs="宋体"/>
          <w:color w:val="auto"/>
          <w:sz w:val="24"/>
          <w:szCs w:val="24"/>
          <w:highlight w:val="none"/>
          <w:lang w:val="en-US" w:eastAsia="zh-CN"/>
        </w:rPr>
        <w:t>7.2.4 Install thermal insulation on the side of the bypass flue before removing the non-metallic expansion joint. Drill holes on the flue side for material transportation (hole size determined by site conditions).</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7.2.5旁路烟道内距离后竖井包墙过热器管屏0.5m处四周钢板除锈（具体位置可现场确定），露出金属光泽，在此位置用#12槽钢按图制作框架（见附件）。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7.2.5 Remove rust from the steel plates around the 0.5m distance from the rear vertical shaft wall superheater tube sheet in the bypass flue (the exact location can be determined on-site), exposing the metallic luster. Construct a frame using #12 channel steel according to the drawing at this position (see attachment).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7.2.6 将5mm钢板铺设于槽钢框架上，钢板与槽钢固定焊接可采用分段花焊，钢板与钢板连接部位满焊，槽钢与旁路烟道四周钢板满焊</w:t>
      </w:r>
      <w:r>
        <w:rPr>
          <w:rFonts w:hint="eastAsia" w:ascii="宋体" w:hAnsi="宋体" w:eastAsia="宋体" w:cs="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7.2.6 5mm steel plate is laid on the channel steel frame. The steel plate and channel steel can be fixed and welded by segmented flower welding. The steel plate and steel plate connection parts are fully welded, and the channel steel and the steel plate around the bypass flue are fully welded. </w:t>
      </w:r>
    </w:p>
    <w:p>
      <w:pPr>
        <w:spacing w:line="360"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7.2.7  </w:t>
      </w:r>
      <w:r>
        <w:rPr>
          <w:rFonts w:hint="eastAsia" w:ascii="宋体" w:hAnsi="宋体" w:eastAsia="宋体" w:cs="宋体"/>
          <w:color w:val="auto"/>
          <w:sz w:val="24"/>
          <w:szCs w:val="24"/>
          <w:highlight w:val="none"/>
        </w:rPr>
        <w:t>如焊接过程中产生了较大变形，应对变形部位进行校正处理并达到</w:t>
      </w:r>
      <w:r>
        <w:rPr>
          <w:rFonts w:hint="eastAsia" w:ascii="宋体" w:hAnsi="宋体" w:cs="宋体"/>
          <w:color w:val="auto"/>
          <w:sz w:val="24"/>
          <w:szCs w:val="24"/>
          <w:highlight w:val="none"/>
          <w:lang w:val="en-US" w:eastAsia="zh-CN"/>
        </w:rPr>
        <w:t>密封</w:t>
      </w:r>
      <w:r>
        <w:rPr>
          <w:rFonts w:hint="eastAsia" w:ascii="宋体" w:hAnsi="宋体" w:eastAsia="宋体" w:cs="宋体"/>
          <w:color w:val="auto"/>
          <w:sz w:val="24"/>
          <w:szCs w:val="24"/>
          <w:highlight w:val="none"/>
        </w:rPr>
        <w:t>要求</w:t>
      </w:r>
      <w:r>
        <w:rPr>
          <w:rFonts w:hint="eastAsia" w:ascii="宋体" w:hAnsi="宋体" w:eastAsia="宋体" w:cs="宋体"/>
          <w:color w:val="auto"/>
          <w:sz w:val="24"/>
          <w:szCs w:val="24"/>
          <w:highlight w:val="none"/>
          <w:lang w:eastAsia="zh-CN"/>
        </w:rPr>
        <w:t>。</w:t>
      </w:r>
    </w:p>
    <w:p>
      <w:pPr>
        <w:spacing w:line="360"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7.2.7 </w:t>
      </w:r>
      <w:r>
        <w:rPr>
          <w:rFonts w:hint="eastAsia" w:ascii="宋体" w:hAnsi="宋体" w:eastAsia="宋体" w:cs="宋体"/>
          <w:color w:val="auto"/>
          <w:sz w:val="24"/>
          <w:szCs w:val="24"/>
          <w:highlight w:val="none"/>
          <w:lang w:eastAsia="zh-CN"/>
        </w:rPr>
        <w:t>If a large deformation is generated during the welding process, the deformed part should be corrected and the sealing requirement should be met.</w:t>
      </w:r>
    </w:p>
    <w:p>
      <w:pPr>
        <w:spacing w:line="360"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7.2.8</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要求</w:t>
      </w:r>
      <w:r>
        <w:rPr>
          <w:rFonts w:hint="eastAsia" w:ascii="宋体" w:hAnsi="宋体" w:eastAsia="宋体" w:cs="宋体"/>
          <w:color w:val="auto"/>
          <w:sz w:val="24"/>
          <w:szCs w:val="24"/>
          <w:highlight w:val="none"/>
          <w:lang w:val="en-US" w:eastAsia="zh-CN"/>
        </w:rPr>
        <w:t>所有</w:t>
      </w:r>
      <w:r>
        <w:rPr>
          <w:rFonts w:hint="eastAsia" w:ascii="宋体" w:hAnsi="宋体" w:eastAsia="宋体" w:cs="宋体"/>
          <w:color w:val="auto"/>
          <w:sz w:val="24"/>
          <w:szCs w:val="24"/>
          <w:highlight w:val="none"/>
        </w:rPr>
        <w:t>焊接牢固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无夹渣、气孔、假焊等焊接缺陷产生</w:t>
      </w:r>
      <w:r>
        <w:rPr>
          <w:rFonts w:hint="eastAsia" w:ascii="宋体" w:hAnsi="宋体" w:eastAsia="宋体" w:cs="宋体"/>
          <w:color w:val="auto"/>
          <w:sz w:val="24"/>
          <w:szCs w:val="24"/>
          <w:highlight w:val="none"/>
          <w:lang w:eastAsia="zh-CN"/>
        </w:rPr>
        <w:t>。</w:t>
      </w:r>
    </w:p>
    <w:p>
      <w:pPr>
        <w:spacing w:line="360"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7.2.8 </w:t>
      </w:r>
      <w:r>
        <w:rPr>
          <w:rFonts w:hint="eastAsia" w:ascii="宋体" w:hAnsi="宋体" w:eastAsia="宋体" w:cs="宋体"/>
          <w:color w:val="auto"/>
          <w:sz w:val="24"/>
          <w:szCs w:val="24"/>
          <w:highlight w:val="none"/>
          <w:lang w:eastAsia="zh-CN"/>
        </w:rPr>
        <w:t>All welding must be firm and free from welding defects such as slag, porosity and false welding.</w:t>
      </w:r>
    </w:p>
    <w:p>
      <w:pPr>
        <w:pStyle w:val="16"/>
        <w:spacing w:after="0" w:afterLines="0"/>
        <w:ind w:left="0" w:leftChars="0" w:firstLine="0" w:firstLineChars="0"/>
        <w:textAlignment w:val="auto"/>
        <w:outlineLvl w:val="9"/>
        <w:rPr>
          <w:rFonts w:hint="eastAsia" w:ascii="宋体" w:hAnsi="宋体" w:cs="宋体"/>
          <w:kern w:val="2"/>
          <w:sz w:val="24"/>
          <w:highlight w:val="none"/>
          <w:lang w:val="en-US" w:eastAsia="zh-CN"/>
        </w:rPr>
      </w:pPr>
      <w:r>
        <w:rPr>
          <w:rFonts w:hint="eastAsia" w:ascii="宋体" w:hAnsi="宋体" w:cs="宋体"/>
          <w:kern w:val="2"/>
          <w:sz w:val="24"/>
          <w:highlight w:val="none"/>
          <w:lang w:val="en-US" w:eastAsia="zh-CN"/>
        </w:rPr>
        <w:t>7.2.9全部封堵焊接工作完工后，由服务方通知采购方组织相关人员验收，采购方按照标准规范要求进行验收。</w:t>
      </w:r>
    </w:p>
    <w:p>
      <w:pPr>
        <w:pStyle w:val="16"/>
        <w:spacing w:after="0" w:afterLines="0"/>
        <w:ind w:left="0" w:leftChars="0" w:firstLine="0" w:firstLineChars="0"/>
        <w:textAlignment w:val="auto"/>
        <w:outlineLvl w:val="9"/>
        <w:rPr>
          <w:rFonts w:hint="eastAsia" w:ascii="宋体" w:hAnsi="宋体" w:cs="宋体"/>
          <w:kern w:val="2"/>
          <w:sz w:val="24"/>
          <w:highlight w:val="none"/>
          <w:lang w:val="en-US" w:eastAsia="zh-CN"/>
        </w:rPr>
      </w:pPr>
      <w:r>
        <w:rPr>
          <w:rFonts w:hint="eastAsia" w:ascii="宋体" w:hAnsi="宋体" w:cs="宋体"/>
          <w:kern w:val="2"/>
          <w:sz w:val="24"/>
          <w:highlight w:val="none"/>
          <w:lang w:val="en-US" w:eastAsia="zh-CN"/>
        </w:rPr>
        <w:t>7.2.9 After the completion of all welding work, the service party shall notify the purchaser to organize relevant personnel to accept the work, and the purchaser shall accept the work according to the standard specifications.</w:t>
      </w:r>
    </w:p>
    <w:p>
      <w:pPr>
        <w:pStyle w:val="16"/>
        <w:spacing w:after="0" w:afterLines="-2147483648"/>
        <w:ind w:left="0" w:leftChars="0" w:firstLine="0" w:firstLineChars="0"/>
        <w:textAlignment w:val="auto"/>
        <w:outlineLvl w:val="9"/>
        <w:rPr>
          <w:rFonts w:hint="eastAsia"/>
          <w:lang w:val="en-US" w:eastAsia="zh-CN"/>
        </w:rPr>
      </w:pPr>
      <w:r>
        <w:rPr>
          <w:rFonts w:hint="eastAsia"/>
          <w:lang w:val="en-US" w:eastAsia="zh-CN"/>
        </w:rPr>
        <w:t>7.2.10 验收合格后恢复旁路烟道上方开孔，保温恢复，拆除脚手架。</w:t>
      </w:r>
    </w:p>
    <w:p>
      <w:pPr>
        <w:pStyle w:val="16"/>
        <w:spacing w:after="0" w:afterLines="-2147483648"/>
        <w:ind w:left="0" w:leftChars="0" w:firstLine="0" w:firstLineChars="0"/>
        <w:textAlignment w:val="auto"/>
        <w:outlineLvl w:val="9"/>
        <w:rPr>
          <w:rFonts w:hint="default"/>
          <w:lang w:val="en-US" w:eastAsia="zh-CN"/>
        </w:rPr>
      </w:pPr>
      <w:r>
        <w:rPr>
          <w:rFonts w:hint="eastAsia"/>
          <w:lang w:val="en-US" w:eastAsia="zh-CN"/>
        </w:rPr>
        <w:t>7.2.10After passing the acceptance inspection, restore the opening above the bypass flue, restore the insulation, and remove the scaffolding.</w:t>
      </w:r>
    </w:p>
    <w:p>
      <w:pPr>
        <w:spacing w:line="360" w:lineRule="auto"/>
        <w:outlineLvl w:val="0"/>
        <w:rPr>
          <w:rFonts w:hint="eastAsia" w:ascii="宋体" w:hAnsi="宋体" w:eastAsia="宋体" w:cs="宋体"/>
          <w:b/>
          <w:bCs/>
          <w:color w:val="auto"/>
          <w:sz w:val="28"/>
          <w:szCs w:val="28"/>
          <w:highlight w:val="none"/>
          <w:lang w:val="en-US" w:eastAsia="zh-CN"/>
        </w:rPr>
      </w:pPr>
      <w:bookmarkStart w:id="10" w:name="_Toc30974"/>
      <w:bookmarkStart w:id="11" w:name="_Toc16435"/>
    </w:p>
    <w:p>
      <w:pPr>
        <w:spacing w:line="360" w:lineRule="auto"/>
        <w:outlineLvl w:val="0"/>
        <w:rPr>
          <w:rFonts w:hint="eastAsia" w:ascii="宋体" w:hAnsi="宋体" w:eastAsia="宋体" w:cs="宋体"/>
          <w:b/>
          <w:bCs/>
          <w:color w:val="auto"/>
          <w:sz w:val="28"/>
          <w:szCs w:val="28"/>
          <w:highlight w:val="none"/>
          <w:lang w:val="zh-CN" w:eastAsia="zh-CN"/>
        </w:rPr>
      </w:pPr>
      <w:r>
        <w:rPr>
          <w:rFonts w:hint="eastAsia" w:ascii="宋体" w:hAnsi="宋体" w:eastAsia="宋体" w:cs="宋体"/>
          <w:b/>
          <w:bCs/>
          <w:color w:val="auto"/>
          <w:sz w:val="28"/>
          <w:szCs w:val="28"/>
          <w:highlight w:val="none"/>
          <w:lang w:val="en-US" w:eastAsia="zh-CN"/>
        </w:rPr>
        <w:t>8.</w:t>
      </w:r>
      <w:r>
        <w:rPr>
          <w:rFonts w:hint="eastAsia" w:ascii="宋体" w:hAnsi="宋体" w:eastAsia="宋体" w:cs="宋体"/>
          <w:b/>
          <w:bCs/>
          <w:color w:val="auto"/>
          <w:sz w:val="28"/>
          <w:szCs w:val="28"/>
          <w:highlight w:val="none"/>
          <w:lang w:val="zh-CN" w:eastAsia="zh-CN"/>
        </w:rPr>
        <w:t>管理及考核</w:t>
      </w:r>
      <w:bookmarkEnd w:id="10"/>
      <w:bookmarkEnd w:id="11"/>
    </w:p>
    <w:p>
      <w:pPr>
        <w:spacing w:line="360" w:lineRule="auto"/>
        <w:outlineLvl w:val="0"/>
        <w:rPr>
          <w:rFonts w:hint="eastAsia" w:ascii="宋体" w:hAnsi="宋体" w:eastAsia="宋体" w:cs="宋体"/>
          <w:b/>
          <w:bCs/>
          <w:color w:val="auto"/>
          <w:sz w:val="28"/>
          <w:szCs w:val="28"/>
          <w:highlight w:val="none"/>
          <w:lang w:val="zh-CN" w:eastAsia="zh-CN"/>
        </w:rPr>
      </w:pPr>
      <w:r>
        <w:rPr>
          <w:rFonts w:hint="eastAsia" w:ascii="宋体" w:hAnsi="宋体" w:cs="宋体"/>
          <w:b/>
          <w:bCs/>
          <w:color w:val="auto"/>
          <w:sz w:val="28"/>
          <w:szCs w:val="28"/>
          <w:highlight w:val="none"/>
          <w:lang w:val="en-US" w:eastAsia="zh-CN"/>
        </w:rPr>
        <w:t>8.</w:t>
      </w:r>
      <w:r>
        <w:rPr>
          <w:rFonts w:hint="eastAsia" w:ascii="宋体" w:hAnsi="宋体" w:eastAsia="宋体" w:cs="宋体"/>
          <w:b/>
          <w:bCs/>
          <w:color w:val="auto"/>
          <w:sz w:val="28"/>
          <w:szCs w:val="28"/>
          <w:highlight w:val="none"/>
          <w:lang w:val="zh-CN" w:eastAsia="zh-CN"/>
        </w:rPr>
        <w:t>Management and assessment</w:t>
      </w:r>
    </w:p>
    <w:p>
      <w:pPr>
        <w:widowControl/>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8.1 </w:t>
      </w:r>
      <w:r>
        <w:rPr>
          <w:rFonts w:hint="eastAsia" w:ascii="宋体" w:hAnsi="宋体" w:cs="宋体"/>
          <w:color w:val="auto"/>
          <w:sz w:val="24"/>
          <w:szCs w:val="24"/>
          <w:highlight w:val="none"/>
          <w:lang w:val="en-US" w:eastAsia="zh-CN"/>
        </w:rPr>
        <w:t>服务方施工</w:t>
      </w:r>
      <w:r>
        <w:rPr>
          <w:rFonts w:hint="eastAsia" w:ascii="宋体" w:hAnsi="宋体" w:eastAsia="宋体" w:cs="宋体"/>
          <w:color w:val="auto"/>
          <w:sz w:val="24"/>
          <w:szCs w:val="24"/>
          <w:highlight w:val="none"/>
          <w:lang w:val="en-US" w:eastAsia="zh-CN"/>
        </w:rPr>
        <w:t>人员常驻现场，食宿由</w:t>
      </w:r>
      <w:r>
        <w:rPr>
          <w:rFonts w:hint="eastAsia" w:ascii="宋体" w:hAnsi="宋体" w:cs="宋体"/>
          <w:color w:val="auto"/>
          <w:sz w:val="24"/>
          <w:szCs w:val="24"/>
          <w:highlight w:val="none"/>
          <w:lang w:val="en-US" w:eastAsia="zh-CN"/>
        </w:rPr>
        <w:t>服务方</w:t>
      </w:r>
      <w:r>
        <w:rPr>
          <w:rFonts w:hint="eastAsia" w:ascii="宋体" w:hAnsi="宋体" w:eastAsia="宋体" w:cs="宋体"/>
          <w:color w:val="auto"/>
          <w:sz w:val="24"/>
          <w:szCs w:val="24"/>
          <w:highlight w:val="none"/>
          <w:lang w:val="en-US" w:eastAsia="zh-CN"/>
        </w:rPr>
        <w:t>自行解决，采购方提供办公、检修场所。</w:t>
      </w:r>
    </w:p>
    <w:p>
      <w:pPr>
        <w:widowControl/>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8.1 </w:t>
      </w:r>
      <w:r>
        <w:rPr>
          <w:rFonts w:hint="eastAsia" w:ascii="宋体" w:hAnsi="宋体" w:eastAsia="宋体" w:cs="宋体"/>
          <w:color w:val="auto"/>
          <w:sz w:val="24"/>
          <w:szCs w:val="24"/>
          <w:highlight w:val="none"/>
          <w:lang w:val="en-US" w:eastAsia="zh-CN"/>
        </w:rPr>
        <w:t>The service provider's construction staff will be stationed on site, and the accommodation will be arranged by the service provider. The purchaser will provide office and maintenance sites.</w:t>
      </w:r>
    </w:p>
    <w:p>
      <w:pPr>
        <w:adjustRightInd w:val="0"/>
        <w:snapToGrid w:val="0"/>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 xml:space="preserve">2 </w:t>
      </w:r>
      <w:r>
        <w:rPr>
          <w:rFonts w:hint="eastAsia" w:ascii="宋体" w:hAnsi="宋体" w:eastAsia="宋体" w:cs="宋体"/>
          <w:color w:val="auto"/>
          <w:sz w:val="24"/>
          <w:szCs w:val="24"/>
          <w:highlight w:val="none"/>
          <w:lang w:val="zh-CN" w:eastAsia="zh-CN"/>
        </w:rPr>
        <w:t>服务方应服从采购方现场（安全文明施工、施工工艺质量、工期控制、人员供应）管理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eastAsia="zh-CN"/>
        </w:rPr>
        <w:t>因服务方管理不善或因服务方员工违章操作造成的人身伤害，由服务方自行处理并承担全部责任</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eastAsia="zh-CN"/>
        </w:rPr>
        <w:t>因服务方员工人为原因造成的设备损坏由服务方承担由此引发的一切赔偿责任。</w:t>
      </w:r>
    </w:p>
    <w:p>
      <w:pPr>
        <w:adjustRightInd w:val="0"/>
        <w:snapToGrid w:val="0"/>
        <w:spacing w:line="360" w:lineRule="auto"/>
        <w:rPr>
          <w:rFonts w:hint="eastAsia" w:ascii="宋体" w:hAnsi="宋体" w:eastAsia="宋体" w:cs="宋体"/>
          <w:color w:val="auto"/>
          <w:sz w:val="24"/>
          <w:szCs w:val="24"/>
          <w:highlight w:val="none"/>
          <w:lang w:val="zh-CN" w:eastAsia="zh-CN"/>
        </w:rPr>
      </w:pPr>
      <w:r>
        <w:rPr>
          <w:rFonts w:hint="eastAsia" w:ascii="宋体" w:hAnsi="宋体" w:cs="宋体"/>
          <w:color w:val="auto"/>
          <w:sz w:val="24"/>
          <w:szCs w:val="24"/>
          <w:highlight w:val="none"/>
          <w:lang w:val="en-US" w:eastAsia="zh-CN"/>
        </w:rPr>
        <w:t xml:space="preserve">8.2 </w:t>
      </w:r>
      <w:r>
        <w:rPr>
          <w:rFonts w:hint="eastAsia" w:ascii="宋体" w:hAnsi="宋体" w:eastAsia="宋体" w:cs="宋体"/>
          <w:color w:val="auto"/>
          <w:sz w:val="24"/>
          <w:szCs w:val="24"/>
          <w:highlight w:val="none"/>
          <w:lang w:val="zh-CN" w:eastAsia="zh-CN"/>
        </w:rPr>
        <w:t>The Service Provider shall comply with the purchaser's on-site management requirements (including safety and civilized construction practices, construction quality control, schedule management, and personnel allocation). The Service Provider shall independently handle any personal injuries resulting from its own management deficiencies or employee violations of operating procedures, and assume full responsibility for such incidents. Furthermore, the Service Provider shall be solely liable for all compensation claims arising from equipment damage caused by its employees' intentional misconduct.</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8.3 </w:t>
      </w:r>
      <w:r>
        <w:rPr>
          <w:rFonts w:hint="eastAsia" w:ascii="宋体" w:hAnsi="宋体" w:eastAsia="宋体" w:cs="宋体"/>
          <w:color w:val="auto"/>
          <w:sz w:val="24"/>
          <w:szCs w:val="24"/>
          <w:highlight w:val="none"/>
          <w:lang w:val="zh-CN" w:eastAsia="zh-CN"/>
        </w:rPr>
        <w:t>服务方在工作中不服从采购方</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val="zh-CN" w:eastAsia="zh-CN"/>
        </w:rPr>
        <w:t>管理</w:t>
      </w:r>
      <w:r>
        <w:rPr>
          <w:rFonts w:hint="eastAsia" w:ascii="宋体" w:hAnsi="宋体" w:eastAsia="宋体" w:cs="宋体"/>
          <w:color w:val="auto"/>
          <w:sz w:val="24"/>
          <w:szCs w:val="24"/>
          <w:highlight w:val="none"/>
          <w:lang w:val="en-US" w:eastAsia="zh-CN"/>
        </w:rPr>
        <w:t>和工作安排，由此而影响</w:t>
      </w:r>
      <w:r>
        <w:rPr>
          <w:rFonts w:hint="eastAsia" w:ascii="宋体" w:hAnsi="宋体" w:cs="宋体"/>
          <w:color w:val="auto"/>
          <w:sz w:val="24"/>
          <w:szCs w:val="24"/>
          <w:highlight w:val="none"/>
          <w:lang w:val="en-US" w:eastAsia="zh-CN"/>
        </w:rPr>
        <w:t>现场正常维护</w:t>
      </w:r>
      <w:r>
        <w:rPr>
          <w:rFonts w:hint="eastAsia" w:ascii="宋体" w:hAnsi="宋体" w:eastAsia="宋体" w:cs="宋体"/>
          <w:color w:val="auto"/>
          <w:sz w:val="24"/>
          <w:szCs w:val="24"/>
          <w:highlight w:val="none"/>
          <w:lang w:val="en-US" w:eastAsia="zh-CN"/>
        </w:rPr>
        <w:t>工作的正常开展，视情节轻重每次考核Rp1,000,000-Rp10,000,000。</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8.3 </w:t>
      </w:r>
      <w:r>
        <w:rPr>
          <w:rFonts w:hint="eastAsia" w:ascii="宋体" w:hAnsi="宋体" w:eastAsia="宋体" w:cs="宋体"/>
          <w:color w:val="auto"/>
          <w:sz w:val="24"/>
          <w:szCs w:val="24"/>
          <w:highlight w:val="none"/>
          <w:lang w:val="en-US" w:eastAsia="zh-CN"/>
        </w:rPr>
        <w:t>If the service provider fails to comply with the purchaser's management and work arrangements during operations, thereby disrupting on-site maintenance activities, a penalty of Rp1,000,000 to Rp10,000,000 will be imposed per incident, depending on the severity.</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 xml:space="preserve"> 服务方严格按本规范要</w:t>
      </w:r>
      <w:r>
        <w:rPr>
          <w:rFonts w:hint="eastAsia" w:ascii="宋体" w:hAnsi="宋体" w:eastAsia="宋体" w:cs="宋体"/>
          <w:color w:val="auto"/>
          <w:sz w:val="24"/>
          <w:szCs w:val="24"/>
          <w:highlight w:val="none"/>
          <w:lang w:val="en-US" w:eastAsia="zh-CN"/>
        </w:rPr>
        <w:t>求配置管理人员，每少一人按Rp1,000</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000/天考核，并责令改正。</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8.4 </w:t>
      </w:r>
      <w:r>
        <w:rPr>
          <w:rFonts w:hint="eastAsia" w:ascii="宋体" w:hAnsi="宋体" w:eastAsia="宋体" w:cs="宋体"/>
          <w:color w:val="auto"/>
          <w:sz w:val="24"/>
          <w:szCs w:val="24"/>
          <w:highlight w:val="none"/>
          <w:lang w:val="en-US" w:eastAsia="zh-CN"/>
        </w:rPr>
        <w:t>The service provider must strictly assign management personnel in accordance with these regulations. Each person absent will incur a daily penalty of Rp1,000,000, and corrective measures will be ordered.</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8.5检修结束</w:t>
      </w:r>
      <w:r>
        <w:rPr>
          <w:rFonts w:hint="eastAsia" w:ascii="宋体" w:hAnsi="宋体" w:cs="宋体"/>
          <w:color w:val="auto"/>
          <w:sz w:val="24"/>
          <w:szCs w:val="24"/>
          <w:highlight w:val="none"/>
          <w:lang w:val="en-US" w:eastAsia="zh-CN"/>
        </w:rPr>
        <w:t>做到工完料净场地清</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不合格之处</w:t>
      </w:r>
      <w:r>
        <w:rPr>
          <w:rFonts w:hint="eastAsia" w:ascii="宋体" w:hAnsi="宋体" w:eastAsia="宋体" w:cs="宋体"/>
          <w:color w:val="auto"/>
          <w:sz w:val="24"/>
          <w:szCs w:val="24"/>
          <w:highlight w:val="none"/>
          <w:lang w:val="en-US" w:eastAsia="zh-CN"/>
        </w:rPr>
        <w:t>每处考核 Rp</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,000</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000。</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8.5 </w:t>
      </w:r>
      <w:r>
        <w:rPr>
          <w:rFonts w:hint="eastAsia" w:ascii="宋体" w:hAnsi="宋体" w:eastAsia="宋体" w:cs="宋体"/>
          <w:color w:val="auto"/>
          <w:sz w:val="24"/>
          <w:szCs w:val="24"/>
          <w:highlight w:val="none"/>
          <w:lang w:val="en-US" w:eastAsia="zh-CN"/>
        </w:rPr>
        <w:t>After maintenance, ensure all work is completed, materials are cleared, and the site is clean. Each non-compliant item will incur a penalty of Rp3,000,000.</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8.6</w:t>
      </w:r>
      <w:r>
        <w:rPr>
          <w:rFonts w:hint="eastAsia" w:ascii="宋体" w:hAnsi="宋体" w:cs="宋体"/>
          <w:color w:val="auto"/>
          <w:sz w:val="24"/>
          <w:szCs w:val="24"/>
          <w:highlight w:val="none"/>
          <w:lang w:val="en-US" w:eastAsia="zh-CN"/>
        </w:rPr>
        <w:t>施工材料如钢板、钢丝绳、手拉葫芦</w:t>
      </w:r>
      <w:r>
        <w:rPr>
          <w:rFonts w:hint="eastAsia" w:ascii="宋体" w:hAnsi="宋体" w:eastAsia="宋体" w:cs="宋体"/>
          <w:color w:val="auto"/>
          <w:sz w:val="24"/>
          <w:szCs w:val="24"/>
          <w:highlight w:val="none"/>
          <w:lang w:val="en-US" w:eastAsia="zh-CN"/>
        </w:rPr>
        <w:t>不准乱堆乱放，影响他人施工、堵塞通道的每处考核Rp</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,000</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000。</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8.6 </w:t>
      </w:r>
      <w:r>
        <w:rPr>
          <w:rFonts w:hint="eastAsia" w:ascii="宋体" w:hAnsi="宋体" w:eastAsia="宋体" w:cs="宋体"/>
          <w:color w:val="auto"/>
          <w:sz w:val="24"/>
          <w:szCs w:val="24"/>
          <w:highlight w:val="none"/>
          <w:lang w:val="en-US" w:eastAsia="zh-CN"/>
        </w:rPr>
        <w:t>Construction materials such as steel plates, steel wire ropes and hand hoists are not allowed to be piled up randomly, affecting the construction of others and blocking the passage. Each assessment Rp2,000,000 will be charged.</w:t>
      </w:r>
    </w:p>
    <w:p>
      <w:pPr>
        <w:adjustRightInd w:val="0"/>
        <w:snapToGrid w:val="0"/>
        <w:spacing w:line="360" w:lineRule="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施工中发生质量问题，自行处理并掩盖的，每次考核Rp</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,000</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000</w:t>
      </w:r>
      <w:r>
        <w:rPr>
          <w:rFonts w:hint="eastAsia" w:ascii="宋体" w:hAnsi="宋体" w:cs="宋体"/>
          <w:color w:val="auto"/>
          <w:sz w:val="24"/>
          <w:szCs w:val="24"/>
          <w:highlight w:val="none"/>
          <w:lang w:val="en-US" w:eastAsia="zh-CN"/>
        </w:rPr>
        <w:t>。</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8.7 If a quality issue occurs during construction and is self-handled and concealed, a penalty of Rp2,000,000 will be imposed for each occurrence.</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现场施工因措施不当、发生火灾、跑水、跑气现象，每项考Rp</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,000</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000。</w:t>
      </w:r>
      <w:r>
        <w:rPr>
          <w:rFonts w:hint="eastAsia" w:ascii="宋体" w:hAnsi="宋体" w:cs="宋体"/>
          <w:color w:val="auto"/>
          <w:sz w:val="24"/>
          <w:szCs w:val="24"/>
          <w:highlight w:val="none"/>
          <w:lang w:val="en-US" w:eastAsia="zh-CN"/>
        </w:rPr>
        <w:t xml:space="preserve">8.8 </w:t>
      </w:r>
      <w:r>
        <w:rPr>
          <w:rFonts w:hint="eastAsia" w:ascii="宋体" w:hAnsi="宋体" w:eastAsia="宋体" w:cs="宋体"/>
          <w:color w:val="auto"/>
          <w:sz w:val="24"/>
          <w:szCs w:val="24"/>
          <w:highlight w:val="none"/>
          <w:lang w:val="en-US" w:eastAsia="zh-CN"/>
        </w:rPr>
        <w:t>If improper measures during on-site construction lead to fire, water leakage, or gas leakage, each violation will incur a penalty of Rp4,000,000.</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施工方在施工中如损坏设备、元件、仪表、仪器、电缆、电线等，每项考核Rp</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,000</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000。</w:t>
      </w:r>
    </w:p>
    <w:p>
      <w:pPr>
        <w:adjustRightInd w:val="0"/>
        <w:snapToGrid w:val="0"/>
        <w:spacing w:line="360" w:lineRule="auto"/>
        <w:rPr>
          <w:rFonts w:hint="eastAsia" w:ascii="宋体" w:hAnsi="宋体" w:eastAsia="宋体" w:cs="宋体"/>
          <w:sz w:val="24"/>
          <w:szCs w:val="24"/>
          <w:highlight w:val="none"/>
          <w:lang w:val="en-US" w:eastAsia="zh-CN"/>
        </w:rPr>
      </w:pPr>
      <w:r>
        <w:rPr>
          <w:rFonts w:hint="eastAsia" w:ascii="宋体" w:hAnsi="宋体" w:cs="宋体"/>
          <w:color w:val="auto"/>
          <w:sz w:val="24"/>
          <w:szCs w:val="24"/>
          <w:highlight w:val="none"/>
          <w:lang w:val="en-US" w:eastAsia="zh-CN"/>
        </w:rPr>
        <w:t xml:space="preserve">8.9 </w:t>
      </w:r>
      <w:r>
        <w:rPr>
          <w:rFonts w:hint="eastAsia" w:ascii="宋体" w:hAnsi="宋体" w:eastAsia="宋体" w:cs="宋体"/>
          <w:color w:val="auto"/>
          <w:sz w:val="24"/>
          <w:szCs w:val="24"/>
          <w:highlight w:val="none"/>
          <w:lang w:val="en-US" w:eastAsia="zh-CN"/>
        </w:rPr>
        <w:t>If the construction party damages equipment, components, instruments, cables, wires, etc. during construction, Rp4,000,000 will be assessed for each item.</w:t>
      </w:r>
    </w:p>
    <w:p>
      <w:pPr>
        <w:pStyle w:val="8"/>
        <w:snapToGrid w:val="0"/>
        <w:spacing w:after="0" w:line="240" w:lineRule="auto"/>
        <w:jc w:val="center"/>
        <w:rPr>
          <w:rFonts w:eastAsia="FangSong_GB2312" w:cs="Times New Roman"/>
          <w:b/>
          <w:spacing w:val="40"/>
          <w:sz w:val="44"/>
          <w:szCs w:val="44"/>
        </w:rPr>
      </w:pPr>
    </w:p>
    <w:p>
      <w:pPr>
        <w:pStyle w:val="8"/>
        <w:snapToGrid w:val="0"/>
        <w:spacing w:after="0" w:line="240" w:lineRule="auto"/>
        <w:jc w:val="both"/>
        <w:rPr>
          <w:rFonts w:hint="eastAsia" w:eastAsia="FangSong_GB2312" w:cs="Times New Roman"/>
          <w:b/>
          <w:spacing w:val="40"/>
          <w:sz w:val="28"/>
          <w:szCs w:val="28"/>
          <w:lang w:val="en-US" w:eastAsia="zh-CN"/>
        </w:rPr>
      </w:pPr>
      <w:r>
        <w:rPr>
          <w:rFonts w:hint="eastAsia" w:eastAsia="FangSong_GB2312" w:cs="Times New Roman"/>
          <w:b/>
          <w:spacing w:val="40"/>
          <w:sz w:val="28"/>
          <w:szCs w:val="28"/>
          <w:lang w:val="en-US" w:eastAsia="zh-CN"/>
        </w:rPr>
        <w:t>附件：</w:t>
      </w:r>
    </w:p>
    <w:p>
      <w:pPr>
        <w:pStyle w:val="8"/>
        <w:snapToGrid w:val="0"/>
        <w:spacing w:after="0" w:line="240" w:lineRule="auto"/>
        <w:jc w:val="center"/>
        <w:rPr>
          <w:rFonts w:eastAsia="FangSong_GB2312" w:cs="Times New Roman"/>
          <w:b/>
          <w:spacing w:val="40"/>
          <w:sz w:val="44"/>
          <w:szCs w:val="44"/>
        </w:rPr>
      </w:pPr>
      <w:r>
        <w:drawing>
          <wp:inline distT="0" distB="0" distL="114300" distR="114300">
            <wp:extent cx="5271135" cy="3469005"/>
            <wp:effectExtent l="0" t="0" r="1905"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5271135" cy="3469005"/>
                    </a:xfrm>
                    <a:prstGeom prst="rect">
                      <a:avLst/>
                    </a:prstGeom>
                    <a:noFill/>
                    <a:ln>
                      <a:noFill/>
                    </a:ln>
                  </pic:spPr>
                </pic:pic>
              </a:graphicData>
            </a:graphic>
          </wp:inline>
        </w:drawing>
      </w:r>
    </w:p>
    <w:p>
      <w:pPr>
        <w:pStyle w:val="8"/>
        <w:snapToGrid w:val="0"/>
        <w:spacing w:after="0" w:line="240" w:lineRule="auto"/>
        <w:jc w:val="center"/>
        <w:rPr>
          <w:rFonts w:eastAsia="FangSong_GB2312" w:cs="Times New Roman"/>
          <w:b/>
          <w:spacing w:val="40"/>
          <w:sz w:val="44"/>
          <w:szCs w:val="44"/>
        </w:rPr>
      </w:pPr>
    </w:p>
    <w:p>
      <w:pPr>
        <w:snapToGrid/>
        <w:spacing w:line="240" w:lineRule="auto"/>
        <w:jc w:val="center"/>
        <w:rPr>
          <w:rFonts w:hint="eastAsia" w:ascii="宋体" w:hAnsi="宋体"/>
          <w:b/>
          <w:color w:val="auto"/>
          <w:sz w:val="36"/>
          <w:szCs w:val="36"/>
          <w:highlight w:val="none"/>
          <w:lang w:val="en-US" w:eastAsia="zh-CN"/>
        </w:rPr>
      </w:pPr>
    </w:p>
    <w:p>
      <w:pPr>
        <w:snapToGrid/>
        <w:spacing w:line="240" w:lineRule="auto"/>
        <w:jc w:val="center"/>
        <w:rPr>
          <w:rFonts w:hint="eastAsia" w:ascii="宋体" w:hAnsi="宋体"/>
          <w:b/>
          <w:color w:val="auto"/>
          <w:sz w:val="36"/>
          <w:szCs w:val="36"/>
          <w:highlight w:val="none"/>
          <w:lang w:val="en-US" w:eastAsia="zh-CN"/>
        </w:rPr>
      </w:pPr>
    </w:p>
    <w:p>
      <w:pPr>
        <w:snapToGrid/>
        <w:spacing w:line="240" w:lineRule="auto"/>
        <w:jc w:val="center"/>
        <w:rPr>
          <w:rFonts w:hint="eastAsia" w:ascii="宋体" w:hAnsi="宋体"/>
          <w:b/>
          <w:color w:val="auto"/>
          <w:sz w:val="36"/>
          <w:szCs w:val="36"/>
          <w:highlight w:val="none"/>
          <w:lang w:val="en-US" w:eastAsia="zh-CN"/>
        </w:rPr>
      </w:pPr>
      <w:r>
        <w:rPr>
          <w:rFonts w:hint="eastAsia" w:ascii="宋体" w:hAnsi="宋体"/>
          <w:b/>
          <w:color w:val="auto"/>
          <w:sz w:val="36"/>
          <w:szCs w:val="36"/>
          <w:highlight w:val="none"/>
          <w:lang w:val="en-US" w:eastAsia="zh-CN"/>
        </w:rPr>
        <w:t>#2锅炉高温再热器管道235吊点加固</w:t>
      </w:r>
    </w:p>
    <w:p>
      <w:pPr>
        <w:snapToGrid/>
        <w:spacing w:line="240" w:lineRule="auto"/>
        <w:jc w:val="center"/>
        <w:rPr>
          <w:rFonts w:hint="eastAsia" w:ascii="宋体" w:hAnsi="宋体" w:cs="Arial"/>
          <w:b/>
          <w:bCs/>
          <w:color w:val="auto"/>
          <w:sz w:val="36"/>
          <w:szCs w:val="36"/>
          <w:highlight w:val="none"/>
        </w:rPr>
      </w:pPr>
      <w:r>
        <w:rPr>
          <w:rFonts w:hint="eastAsia" w:ascii="宋体" w:hAnsi="宋体" w:cs="Arial"/>
          <w:b/>
          <w:bCs/>
          <w:color w:val="auto"/>
          <w:sz w:val="36"/>
          <w:szCs w:val="36"/>
          <w:highlight w:val="none"/>
        </w:rPr>
        <w:t>#2 Boiler high temperature reheat pipe 235 lifting point reinforcement</w:t>
      </w:r>
    </w:p>
    <w:p>
      <w:pPr>
        <w:spacing w:after="0" w:line="240" w:lineRule="auto"/>
        <w:ind w:firstLine="2891" w:firstLineChars="800"/>
        <w:jc w:val="both"/>
        <w:rPr>
          <w:rFonts w:hint="eastAsia" w:ascii="宋体" w:hAnsi="宋体" w:cs="Times New Roman"/>
          <w:b/>
          <w:bCs w:val="0"/>
          <w:color w:val="auto"/>
          <w:spacing w:val="0"/>
          <w:sz w:val="36"/>
          <w:szCs w:val="36"/>
          <w:highlight w:val="none"/>
        </w:rPr>
      </w:pPr>
      <w:r>
        <w:rPr>
          <w:rFonts w:hint="eastAsia" w:ascii="宋体" w:hAnsi="宋体" w:cs="Times New Roman"/>
          <w:b/>
          <w:bCs w:val="0"/>
          <w:color w:val="auto"/>
          <w:spacing w:val="0"/>
          <w:sz w:val="36"/>
          <w:szCs w:val="36"/>
          <w:highlight w:val="none"/>
        </w:rPr>
        <w:t>技术规范书</w:t>
      </w:r>
    </w:p>
    <w:p>
      <w:pPr>
        <w:spacing w:after="0" w:line="240" w:lineRule="auto"/>
        <w:rPr>
          <w:rFonts w:hint="default"/>
          <w:sz w:val="28"/>
          <w:szCs w:val="28"/>
          <w:highlight w:val="none"/>
        </w:rPr>
      </w:pPr>
      <w:r>
        <w:rPr>
          <w:rFonts w:hint="default"/>
          <w:sz w:val="28"/>
          <w:szCs w:val="28"/>
          <w:highlight w:val="none"/>
        </w:rPr>
        <w:t xml:space="preserve">              </w:t>
      </w:r>
      <w:r>
        <w:rPr>
          <w:rFonts w:hint="eastAsia"/>
          <w:sz w:val="28"/>
          <w:szCs w:val="28"/>
          <w:highlight w:val="none"/>
          <w:lang w:val="en-US" w:eastAsia="zh-CN"/>
        </w:rPr>
        <w:t xml:space="preserve">   </w:t>
      </w:r>
      <w:r>
        <w:rPr>
          <w:rFonts w:hint="default"/>
          <w:sz w:val="28"/>
          <w:szCs w:val="28"/>
          <w:highlight w:val="none"/>
        </w:rPr>
        <w:t>Technical specifications</w:t>
      </w:r>
    </w:p>
    <w:p>
      <w:pPr>
        <w:pStyle w:val="2"/>
        <w:rPr>
          <w:rFonts w:hint="eastAsia"/>
          <w:lang w:val="en-US" w:eastAsia="zh-CN"/>
        </w:rPr>
      </w:pPr>
      <w:r>
        <w:rPr>
          <w:rFonts w:hint="eastAsia"/>
          <w:lang w:val="en-US" w:eastAsia="zh-CN"/>
        </w:rPr>
        <w:t xml:space="preserve">               </w:t>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15"/>
        <w:widowControl/>
        <w:spacing w:after="0" w:line="240" w:lineRule="auto"/>
        <w:ind w:left="2520" w:firstLine="420"/>
        <w:jc w:val="both"/>
        <w:rPr>
          <w:b/>
          <w:outline/>
          <w:color w:val="FFFFFF"/>
          <w:sz w:val="24"/>
          <w:szCs w:val="24"/>
          <w:highlight w:val="none"/>
          <w14:textOutline w14:w="9525" w14:cap="flat" w14:cmpd="sng" w14:algn="ctr">
            <w14:solidFill>
              <w14:srgbClr w14:val="FFFFFF"/>
            </w14:solidFill>
            <w14:prstDash w14:val="solid"/>
            <w14:round/>
          </w14:textOutline>
          <w14:textFill>
            <w14:noFill/>
          </w14:textFill>
        </w:rPr>
      </w:pPr>
    </w:p>
    <w:p>
      <w:pPr>
        <w:spacing w:after="0" w:line="240" w:lineRule="auto"/>
        <w:rPr>
          <w:b/>
          <w:outline/>
          <w:color w:val="FFFFFF"/>
          <w:sz w:val="28"/>
          <w:szCs w:val="28"/>
          <w:highlight w:val="none"/>
          <w14:textOutline w14:w="9525" w14:cap="flat" w14:cmpd="sng" w14:algn="ctr">
            <w14:solidFill>
              <w14:srgbClr w14:val="FFFFFF"/>
            </w14:solidFill>
            <w14:prstDash w14:val="solid"/>
            <w14:round/>
          </w14:textOutline>
          <w14:textFill>
            <w14:noFill/>
          </w14:textFill>
        </w:rPr>
      </w:pPr>
    </w:p>
    <w:p>
      <w:pPr>
        <w:spacing w:after="0" w:line="240" w:lineRule="auto"/>
        <w:ind w:firstLine="2891" w:firstLineChars="900"/>
        <w:jc w:val="both"/>
        <w:rPr>
          <w:rFonts w:hint="default" w:eastAsia="FangSong_GB2312"/>
          <w:b/>
          <w:sz w:val="32"/>
          <w:szCs w:val="32"/>
          <w:highlight w:val="none"/>
        </w:rPr>
      </w:pPr>
    </w:p>
    <w:p>
      <w:pPr>
        <w:ind w:firstLine="2891" w:firstLineChars="900"/>
        <w:jc w:val="both"/>
        <w:rPr>
          <w:rFonts w:hint="eastAsia" w:ascii="Times New Roman" w:hAnsi="Times New Roman" w:eastAsia="宋体" w:cs="Times New Roman"/>
          <w:b/>
          <w:bCs/>
          <w:color w:val="auto"/>
          <w:sz w:val="32"/>
          <w:szCs w:val="32"/>
          <w:highlight w:val="none"/>
        </w:rPr>
        <w:sectPr>
          <w:head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default" w:eastAsia="FangSong_GB2312"/>
          <w:b/>
          <w:sz w:val="32"/>
          <w:szCs w:val="32"/>
          <w:highlight w:val="none"/>
        </w:rPr>
        <w:t>202</w:t>
      </w:r>
      <w:r>
        <w:rPr>
          <w:rFonts w:hint="eastAsia" w:eastAsia="FangSong_GB2312"/>
          <w:b/>
          <w:sz w:val="32"/>
          <w:szCs w:val="32"/>
          <w:highlight w:val="none"/>
          <w:lang w:val="en-US" w:eastAsia="zh-CN"/>
        </w:rPr>
        <w:t>5-10</w:t>
      </w:r>
    </w:p>
    <w:p>
      <w:pPr>
        <w:jc w:val="center"/>
        <w:rPr>
          <w:rFonts w:hint="eastAsia" w:ascii="Times New Roman" w:hAnsi="Times New Roman" w:eastAsia="宋体" w:cs="Times New Roman"/>
          <w:b/>
          <w:bCs/>
          <w:color w:val="auto"/>
          <w:sz w:val="32"/>
          <w:szCs w:val="32"/>
          <w:highlight w:val="none"/>
        </w:rPr>
      </w:pPr>
      <w:r>
        <w:rPr>
          <w:rFonts w:hint="eastAsia" w:ascii="Times New Roman" w:hAnsi="Times New Roman" w:eastAsia="宋体" w:cs="Times New Roman"/>
          <w:b/>
          <w:bCs/>
          <w:color w:val="auto"/>
          <w:sz w:val="32"/>
          <w:szCs w:val="32"/>
          <w:highlight w:val="none"/>
        </w:rPr>
        <w:t>目</w:t>
      </w:r>
      <w:r>
        <w:rPr>
          <w:rFonts w:hint="eastAsia" w:ascii="Times New Roman" w:hAnsi="Times New Roman" w:eastAsia="宋体" w:cs="Times New Roman"/>
          <w:b/>
          <w:bCs/>
          <w:color w:val="auto"/>
          <w:sz w:val="32"/>
          <w:szCs w:val="32"/>
          <w:highlight w:val="none"/>
          <w:lang w:val="en-US" w:eastAsia="zh-CN"/>
        </w:rPr>
        <w:t xml:space="preserve">  </w:t>
      </w:r>
      <w:r>
        <w:rPr>
          <w:rFonts w:hint="eastAsia" w:ascii="Times New Roman" w:hAnsi="Times New Roman" w:eastAsia="宋体" w:cs="Times New Roman"/>
          <w:b/>
          <w:bCs/>
          <w:color w:val="auto"/>
          <w:sz w:val="32"/>
          <w:szCs w:val="32"/>
          <w:highlight w:val="none"/>
        </w:rPr>
        <w:t>录</w:t>
      </w:r>
    </w:p>
    <w:p>
      <w:pPr>
        <w:jc w:val="center"/>
        <w:rPr>
          <w:rFonts w:hint="eastAsia" w:ascii="Times New Roman" w:hAnsi="Times New Roman" w:eastAsia="宋体" w:cs="Times New Roman"/>
          <w:b/>
          <w:bCs/>
          <w:color w:val="auto"/>
          <w:sz w:val="28"/>
          <w:szCs w:val="28"/>
          <w:highlight w:val="none"/>
        </w:rPr>
      </w:pPr>
      <w:r>
        <w:rPr>
          <w:rFonts w:hint="eastAsia" w:ascii="Times New Roman" w:hAnsi="Times New Roman" w:eastAsia="宋体" w:cs="Times New Roman"/>
          <w:b/>
          <w:bCs/>
          <w:color w:val="auto"/>
          <w:sz w:val="28"/>
          <w:szCs w:val="28"/>
          <w:highlight w:val="none"/>
        </w:rPr>
        <w:t>CONTENTS</w:t>
      </w:r>
    </w:p>
    <w:p>
      <w:pPr>
        <w:jc w:val="center"/>
        <w:rPr>
          <w:rFonts w:hint="default" w:ascii="Times New Roman" w:hAnsi="Times New Roman" w:cs="Times New Roman"/>
          <w:b/>
          <w:bCs/>
          <w:color w:val="auto"/>
          <w:sz w:val="32"/>
          <w:szCs w:val="32"/>
          <w:highlight w:val="none"/>
          <w:lang w:val="en-US"/>
        </w:rPr>
      </w:pPr>
      <w:r>
        <w:rPr>
          <w:rFonts w:hint="default" w:ascii="Times New Roman" w:hAnsi="Times New Roman" w:cs="Times New Roman"/>
          <w:b/>
          <w:bCs/>
          <w:color w:val="auto"/>
          <w:sz w:val="32"/>
          <w:szCs w:val="32"/>
          <w:highlight w:val="none"/>
          <w:lang w:val="en-US"/>
        </w:rPr>
        <w:t xml:space="preserve"> </w:t>
      </w:r>
    </w:p>
    <w:p>
      <w:pPr>
        <w:pStyle w:val="13"/>
        <w:tabs>
          <w:tab w:val="right" w:leader="dot" w:pos="8306"/>
        </w:tabs>
        <w:rPr>
          <w:highlight w:val="none"/>
        </w:rPr>
      </w:pPr>
      <w:r>
        <w:rPr>
          <w:rFonts w:hint="eastAsia" w:ascii="Times New Roman" w:hAnsi="Times New Roman" w:eastAsia="宋体" w:cs="Times New Roman"/>
          <w:b/>
          <w:bCs/>
          <w:color w:val="auto"/>
          <w:sz w:val="20"/>
          <w:szCs w:val="20"/>
          <w:highlight w:val="none"/>
        </w:rPr>
        <w:fldChar w:fldCharType="begin"/>
      </w:r>
      <w:r>
        <w:rPr>
          <w:rFonts w:hint="eastAsia" w:ascii="Times New Roman" w:hAnsi="Times New Roman" w:eastAsia="宋体" w:cs="Times New Roman"/>
          <w:b/>
          <w:bCs/>
          <w:color w:val="auto"/>
          <w:sz w:val="20"/>
          <w:szCs w:val="20"/>
          <w:highlight w:val="none"/>
        </w:rPr>
        <w:instrText xml:space="preserve">TOC \o "1-1" \h \u </w:instrText>
      </w:r>
      <w:r>
        <w:rPr>
          <w:rFonts w:hint="eastAsia" w:ascii="Times New Roman" w:hAnsi="Times New Roman" w:eastAsia="宋体" w:cs="Times New Roman"/>
          <w:b/>
          <w:bCs/>
          <w:color w:val="auto"/>
          <w:sz w:val="20"/>
          <w:szCs w:val="20"/>
          <w:highlight w:val="none"/>
        </w:rPr>
        <w:fldChar w:fldCharType="separate"/>
      </w:r>
      <w:r>
        <w:rPr>
          <w:rFonts w:hint="eastAsia" w:ascii="Times New Roman" w:hAnsi="Times New Roman" w:eastAsia="宋体" w:cs="Times New Roman"/>
          <w:bCs/>
          <w:color w:val="auto"/>
          <w:szCs w:val="20"/>
          <w:highlight w:val="none"/>
        </w:rPr>
        <w:fldChar w:fldCharType="begin"/>
      </w:r>
      <w:r>
        <w:rPr>
          <w:rFonts w:hint="eastAsia" w:ascii="Times New Roman" w:hAnsi="Times New Roman" w:eastAsia="宋体" w:cs="Times New Roman"/>
          <w:bCs/>
          <w:szCs w:val="20"/>
          <w:highlight w:val="none"/>
        </w:rPr>
        <w:instrText xml:space="preserve"> HYPERLINK \l _Toc11493 </w:instrText>
      </w:r>
      <w:r>
        <w:rPr>
          <w:rFonts w:hint="eastAsia" w:ascii="Times New Roman" w:hAnsi="Times New Roman" w:eastAsia="宋体" w:cs="Times New Roman"/>
          <w:bCs/>
          <w:szCs w:val="20"/>
          <w:highlight w:val="none"/>
        </w:rPr>
        <w:fldChar w:fldCharType="separate"/>
      </w:r>
      <w:r>
        <w:rPr>
          <w:rFonts w:hint="eastAsia" w:ascii="宋体" w:hAnsi="宋体" w:eastAsia="宋体" w:cs="宋体"/>
          <w:bCs/>
          <w:szCs w:val="28"/>
          <w:highlight w:val="none"/>
        </w:rPr>
        <w:t>1</w:t>
      </w:r>
      <w:r>
        <w:rPr>
          <w:rFonts w:hint="eastAsia" w:ascii="宋体" w:hAnsi="宋体" w:eastAsia="宋体" w:cs="宋体"/>
          <w:bCs/>
          <w:szCs w:val="28"/>
          <w:highlight w:val="none"/>
          <w:lang w:eastAsia="zh-CN"/>
        </w:rPr>
        <w:t>.</w:t>
      </w:r>
      <w:r>
        <w:rPr>
          <w:rFonts w:hint="eastAsia" w:ascii="宋体" w:hAnsi="宋体" w:eastAsia="宋体" w:cs="宋体"/>
          <w:bCs/>
          <w:szCs w:val="28"/>
          <w:highlight w:val="none"/>
        </w:rPr>
        <w:t>总则</w:t>
      </w:r>
      <w:r>
        <w:rPr>
          <w:highlight w:val="none"/>
        </w:rPr>
        <w:tab/>
      </w:r>
      <w:r>
        <w:rPr>
          <w:highlight w:val="none"/>
        </w:rPr>
        <w:fldChar w:fldCharType="begin"/>
      </w:r>
      <w:r>
        <w:rPr>
          <w:highlight w:val="none"/>
        </w:rPr>
        <w:instrText xml:space="preserve"> PAGEREF _Toc11493 \h </w:instrText>
      </w:r>
      <w:r>
        <w:rPr>
          <w:highlight w:val="none"/>
        </w:rPr>
        <w:fldChar w:fldCharType="separate"/>
      </w:r>
      <w:r>
        <w:rPr>
          <w:highlight w:val="none"/>
        </w:rPr>
        <w:t>1</w:t>
      </w:r>
      <w:r>
        <w:rPr>
          <w:highlight w:val="none"/>
        </w:rPr>
        <w:fldChar w:fldCharType="end"/>
      </w:r>
      <w:r>
        <w:rPr>
          <w:rFonts w:hint="eastAsia" w:ascii="Times New Roman" w:hAnsi="Times New Roman" w:eastAsia="宋体" w:cs="Times New Roman"/>
          <w:bCs/>
          <w:color w:val="auto"/>
          <w:szCs w:val="20"/>
          <w:highlight w:val="none"/>
        </w:rPr>
        <w:fldChar w:fldCharType="end"/>
      </w:r>
    </w:p>
    <w:p>
      <w:pPr>
        <w:pStyle w:val="13"/>
        <w:tabs>
          <w:tab w:val="right" w:leader="dot" w:pos="8306"/>
        </w:tabs>
        <w:rPr>
          <w:rFonts w:hint="eastAsia" w:ascii="Times New Roman" w:hAnsi="Times New Roman" w:eastAsia="宋体" w:cs="Times New Roman"/>
          <w:bCs/>
          <w:color w:val="auto"/>
          <w:szCs w:val="20"/>
          <w:highlight w:val="none"/>
        </w:rPr>
      </w:pPr>
      <w:r>
        <w:rPr>
          <w:rFonts w:hint="eastAsia" w:cs="Times New Roman"/>
          <w:bCs/>
          <w:color w:val="auto"/>
          <w:szCs w:val="20"/>
          <w:highlight w:val="none"/>
          <w:lang w:val="en-US" w:eastAsia="zh-CN"/>
        </w:rPr>
        <w:t>1.</w:t>
      </w:r>
      <w:r>
        <w:rPr>
          <w:rFonts w:hint="eastAsia" w:ascii="Times New Roman" w:hAnsi="Times New Roman" w:eastAsia="宋体" w:cs="Times New Roman"/>
          <w:bCs/>
          <w:color w:val="auto"/>
          <w:szCs w:val="20"/>
          <w:highlight w:val="none"/>
        </w:rPr>
        <w:t>general rules</w:t>
      </w:r>
    </w:p>
    <w:p>
      <w:pPr>
        <w:pStyle w:val="13"/>
        <w:tabs>
          <w:tab w:val="right" w:leader="dot" w:pos="8306"/>
        </w:tabs>
        <w:rPr>
          <w:highlight w:val="none"/>
        </w:rPr>
      </w:pPr>
      <w:r>
        <w:rPr>
          <w:rFonts w:hint="eastAsia" w:ascii="Times New Roman" w:hAnsi="Times New Roman" w:eastAsia="宋体" w:cs="Times New Roman"/>
          <w:bCs/>
          <w:color w:val="auto"/>
          <w:szCs w:val="20"/>
          <w:highlight w:val="none"/>
        </w:rPr>
        <w:fldChar w:fldCharType="begin"/>
      </w:r>
      <w:r>
        <w:rPr>
          <w:rFonts w:hint="eastAsia" w:ascii="Times New Roman" w:hAnsi="Times New Roman" w:eastAsia="宋体" w:cs="Times New Roman"/>
          <w:bCs/>
          <w:szCs w:val="20"/>
          <w:highlight w:val="none"/>
        </w:rPr>
        <w:instrText xml:space="preserve"> HYPERLINK \l _Toc18818 </w:instrText>
      </w:r>
      <w:r>
        <w:rPr>
          <w:rFonts w:hint="eastAsia" w:ascii="Times New Roman" w:hAnsi="Times New Roman" w:eastAsia="宋体" w:cs="Times New Roman"/>
          <w:bCs/>
          <w:szCs w:val="20"/>
          <w:highlight w:val="none"/>
        </w:rPr>
        <w:fldChar w:fldCharType="separate"/>
      </w:r>
      <w:r>
        <w:rPr>
          <w:rFonts w:hint="eastAsia" w:ascii="宋体" w:hAnsi="宋体" w:eastAsia="宋体" w:cs="宋体"/>
          <w:bCs/>
          <w:szCs w:val="28"/>
          <w:highlight w:val="none"/>
          <w:lang w:val="en-US" w:eastAsia="zh-CN"/>
        </w:rPr>
        <w:t>2.电厂概况</w:t>
      </w:r>
      <w:r>
        <w:rPr>
          <w:highlight w:val="none"/>
        </w:rPr>
        <w:tab/>
      </w:r>
      <w:r>
        <w:rPr>
          <w:highlight w:val="none"/>
        </w:rPr>
        <w:fldChar w:fldCharType="begin"/>
      </w:r>
      <w:r>
        <w:rPr>
          <w:highlight w:val="none"/>
        </w:rPr>
        <w:instrText xml:space="preserve"> PAGEREF _Toc18818 \h </w:instrText>
      </w:r>
      <w:r>
        <w:rPr>
          <w:highlight w:val="none"/>
        </w:rPr>
        <w:fldChar w:fldCharType="separate"/>
      </w:r>
      <w:r>
        <w:rPr>
          <w:highlight w:val="none"/>
        </w:rPr>
        <w:t>1</w:t>
      </w:r>
      <w:r>
        <w:rPr>
          <w:highlight w:val="none"/>
        </w:rPr>
        <w:fldChar w:fldCharType="end"/>
      </w:r>
      <w:r>
        <w:rPr>
          <w:rFonts w:hint="eastAsia" w:ascii="Times New Roman" w:hAnsi="Times New Roman" w:eastAsia="宋体" w:cs="Times New Roman"/>
          <w:bCs/>
          <w:color w:val="auto"/>
          <w:szCs w:val="20"/>
          <w:highlight w:val="none"/>
        </w:rPr>
        <w:fldChar w:fldCharType="end"/>
      </w:r>
    </w:p>
    <w:p>
      <w:pPr>
        <w:pStyle w:val="13"/>
        <w:tabs>
          <w:tab w:val="right" w:leader="dot" w:pos="8306"/>
        </w:tabs>
        <w:rPr>
          <w:rFonts w:hint="eastAsia" w:ascii="Times New Roman" w:hAnsi="Times New Roman" w:eastAsia="宋体" w:cs="Times New Roman"/>
          <w:bCs/>
          <w:color w:val="auto"/>
          <w:szCs w:val="20"/>
          <w:highlight w:val="none"/>
        </w:rPr>
      </w:pPr>
      <w:r>
        <w:rPr>
          <w:rFonts w:hint="eastAsia" w:cs="Times New Roman"/>
          <w:bCs/>
          <w:color w:val="auto"/>
          <w:szCs w:val="20"/>
          <w:highlight w:val="none"/>
          <w:lang w:val="en-US" w:eastAsia="zh-CN"/>
        </w:rPr>
        <w:t>2.</w:t>
      </w:r>
      <w:r>
        <w:rPr>
          <w:rFonts w:hint="eastAsia" w:ascii="Times New Roman" w:hAnsi="Times New Roman" w:eastAsia="宋体" w:cs="Times New Roman"/>
          <w:bCs/>
          <w:color w:val="auto"/>
          <w:szCs w:val="20"/>
          <w:highlight w:val="none"/>
        </w:rPr>
        <w:t>Plant Overview</w:t>
      </w:r>
    </w:p>
    <w:p>
      <w:pPr>
        <w:pStyle w:val="13"/>
        <w:tabs>
          <w:tab w:val="right" w:leader="dot" w:pos="8306"/>
        </w:tabs>
        <w:rPr>
          <w:highlight w:val="none"/>
        </w:rPr>
      </w:pPr>
      <w:r>
        <w:rPr>
          <w:rFonts w:hint="eastAsia" w:ascii="Times New Roman" w:hAnsi="Times New Roman" w:eastAsia="宋体" w:cs="Times New Roman"/>
          <w:bCs/>
          <w:color w:val="auto"/>
          <w:szCs w:val="20"/>
          <w:highlight w:val="none"/>
        </w:rPr>
        <w:fldChar w:fldCharType="begin"/>
      </w:r>
      <w:r>
        <w:rPr>
          <w:rFonts w:hint="eastAsia" w:ascii="Times New Roman" w:hAnsi="Times New Roman" w:eastAsia="宋体" w:cs="Times New Roman"/>
          <w:bCs/>
          <w:szCs w:val="20"/>
          <w:highlight w:val="none"/>
        </w:rPr>
        <w:instrText xml:space="preserve"> HYPERLINK \l _Toc2484 </w:instrText>
      </w:r>
      <w:r>
        <w:rPr>
          <w:rFonts w:hint="eastAsia" w:ascii="Times New Roman" w:hAnsi="Times New Roman" w:eastAsia="宋体" w:cs="Times New Roman"/>
          <w:bCs/>
          <w:szCs w:val="20"/>
          <w:highlight w:val="none"/>
        </w:rPr>
        <w:fldChar w:fldCharType="separate"/>
      </w:r>
      <w:r>
        <w:rPr>
          <w:rFonts w:hint="eastAsia" w:ascii="宋体" w:hAnsi="宋体" w:eastAsia="宋体" w:cs="宋体"/>
          <w:bCs/>
          <w:szCs w:val="28"/>
          <w:highlight w:val="none"/>
          <w:lang w:val="en-US" w:eastAsia="zh-CN"/>
        </w:rPr>
        <w:t>3.</w:t>
      </w:r>
      <w:r>
        <w:rPr>
          <w:rFonts w:hint="eastAsia" w:ascii="宋体" w:hAnsi="宋体" w:eastAsia="宋体" w:cs="宋体"/>
          <w:szCs w:val="28"/>
          <w:highlight w:val="none"/>
          <w:lang w:val="en-US" w:eastAsia="zh-CN"/>
        </w:rPr>
        <w:t>工程范围及工作内容</w:t>
      </w:r>
      <w:r>
        <w:rPr>
          <w:highlight w:val="none"/>
        </w:rPr>
        <w:tab/>
      </w:r>
      <w:r>
        <w:rPr>
          <w:highlight w:val="none"/>
        </w:rPr>
        <w:fldChar w:fldCharType="begin"/>
      </w:r>
      <w:r>
        <w:rPr>
          <w:highlight w:val="none"/>
        </w:rPr>
        <w:instrText xml:space="preserve"> PAGEREF _Toc2484 \h </w:instrText>
      </w:r>
      <w:r>
        <w:rPr>
          <w:highlight w:val="none"/>
        </w:rPr>
        <w:fldChar w:fldCharType="separate"/>
      </w:r>
      <w:r>
        <w:rPr>
          <w:highlight w:val="none"/>
        </w:rPr>
        <w:t>1</w:t>
      </w:r>
      <w:r>
        <w:rPr>
          <w:highlight w:val="none"/>
        </w:rPr>
        <w:fldChar w:fldCharType="end"/>
      </w:r>
      <w:r>
        <w:rPr>
          <w:rFonts w:hint="eastAsia" w:ascii="Times New Roman" w:hAnsi="Times New Roman" w:eastAsia="宋体" w:cs="Times New Roman"/>
          <w:bCs/>
          <w:color w:val="auto"/>
          <w:szCs w:val="20"/>
          <w:highlight w:val="none"/>
        </w:rPr>
        <w:fldChar w:fldCharType="end"/>
      </w:r>
    </w:p>
    <w:p>
      <w:pPr>
        <w:pStyle w:val="13"/>
        <w:tabs>
          <w:tab w:val="right" w:leader="dot" w:pos="8306"/>
        </w:tabs>
        <w:rPr>
          <w:rFonts w:hint="eastAsia" w:ascii="Times New Roman" w:hAnsi="Times New Roman" w:eastAsia="宋体" w:cs="Times New Roman"/>
          <w:bCs/>
          <w:color w:val="auto"/>
          <w:szCs w:val="20"/>
          <w:highlight w:val="none"/>
        </w:rPr>
      </w:pPr>
      <w:r>
        <w:rPr>
          <w:rFonts w:hint="eastAsia" w:cs="Times New Roman"/>
          <w:bCs/>
          <w:color w:val="auto"/>
          <w:szCs w:val="20"/>
          <w:highlight w:val="none"/>
          <w:lang w:val="en-US" w:eastAsia="zh-CN"/>
        </w:rPr>
        <w:t>3.</w:t>
      </w:r>
      <w:r>
        <w:rPr>
          <w:rFonts w:hint="eastAsia" w:ascii="Times New Roman" w:hAnsi="Times New Roman" w:eastAsia="宋体" w:cs="Times New Roman"/>
          <w:bCs/>
          <w:color w:val="auto"/>
          <w:szCs w:val="20"/>
          <w:highlight w:val="none"/>
        </w:rPr>
        <w:t>Project scope and work content</w:t>
      </w:r>
    </w:p>
    <w:p>
      <w:pPr>
        <w:pStyle w:val="13"/>
        <w:tabs>
          <w:tab w:val="right" w:leader="dot" w:pos="8306"/>
        </w:tabs>
        <w:rPr>
          <w:highlight w:val="none"/>
        </w:rPr>
      </w:pPr>
      <w:r>
        <w:rPr>
          <w:rFonts w:hint="eastAsia" w:ascii="Times New Roman" w:hAnsi="Times New Roman" w:eastAsia="宋体" w:cs="Times New Roman"/>
          <w:bCs/>
          <w:color w:val="auto"/>
          <w:szCs w:val="20"/>
          <w:highlight w:val="none"/>
        </w:rPr>
        <w:fldChar w:fldCharType="begin"/>
      </w:r>
      <w:r>
        <w:rPr>
          <w:rFonts w:hint="eastAsia" w:ascii="Times New Roman" w:hAnsi="Times New Roman" w:eastAsia="宋体" w:cs="Times New Roman"/>
          <w:bCs/>
          <w:szCs w:val="20"/>
          <w:highlight w:val="none"/>
        </w:rPr>
        <w:instrText xml:space="preserve"> HYPERLINK \l _Toc4658 </w:instrText>
      </w:r>
      <w:r>
        <w:rPr>
          <w:rFonts w:hint="eastAsia" w:ascii="Times New Roman" w:hAnsi="Times New Roman" w:eastAsia="宋体" w:cs="Times New Roman"/>
          <w:bCs/>
          <w:szCs w:val="20"/>
          <w:highlight w:val="none"/>
        </w:rPr>
        <w:fldChar w:fldCharType="separate"/>
      </w:r>
      <w:r>
        <w:rPr>
          <w:rFonts w:hint="eastAsia" w:ascii="宋体" w:hAnsi="宋体" w:cs="Times New Roman"/>
          <w:szCs w:val="28"/>
          <w:highlight w:val="none"/>
          <w:lang w:val="en-US" w:eastAsia="zh-CN"/>
        </w:rPr>
        <w:t>4.服务期限</w:t>
      </w:r>
      <w:r>
        <w:rPr>
          <w:highlight w:val="none"/>
        </w:rPr>
        <w:tab/>
      </w:r>
      <w:r>
        <w:rPr>
          <w:highlight w:val="none"/>
        </w:rPr>
        <w:fldChar w:fldCharType="begin"/>
      </w:r>
      <w:r>
        <w:rPr>
          <w:highlight w:val="none"/>
        </w:rPr>
        <w:instrText xml:space="preserve"> PAGEREF _Toc4658 \h </w:instrText>
      </w:r>
      <w:r>
        <w:rPr>
          <w:highlight w:val="none"/>
        </w:rPr>
        <w:fldChar w:fldCharType="separate"/>
      </w:r>
      <w:r>
        <w:rPr>
          <w:highlight w:val="none"/>
        </w:rPr>
        <w:t>2</w:t>
      </w:r>
      <w:r>
        <w:rPr>
          <w:highlight w:val="none"/>
        </w:rPr>
        <w:fldChar w:fldCharType="end"/>
      </w:r>
      <w:r>
        <w:rPr>
          <w:rFonts w:hint="eastAsia" w:ascii="Times New Roman" w:hAnsi="Times New Roman" w:eastAsia="宋体" w:cs="Times New Roman"/>
          <w:bCs/>
          <w:color w:val="auto"/>
          <w:szCs w:val="20"/>
          <w:highlight w:val="none"/>
        </w:rPr>
        <w:fldChar w:fldCharType="end"/>
      </w:r>
    </w:p>
    <w:p>
      <w:pPr>
        <w:pStyle w:val="13"/>
        <w:tabs>
          <w:tab w:val="right" w:leader="dot" w:pos="8306"/>
        </w:tabs>
        <w:rPr>
          <w:rFonts w:hint="eastAsia" w:ascii="Times New Roman" w:hAnsi="Times New Roman" w:eastAsia="宋体" w:cs="Times New Roman"/>
          <w:bCs/>
          <w:color w:val="auto"/>
          <w:szCs w:val="20"/>
          <w:highlight w:val="none"/>
        </w:rPr>
      </w:pPr>
      <w:r>
        <w:rPr>
          <w:rFonts w:hint="eastAsia" w:cs="Times New Roman"/>
          <w:bCs/>
          <w:color w:val="auto"/>
          <w:szCs w:val="20"/>
          <w:highlight w:val="none"/>
          <w:lang w:val="en-US" w:eastAsia="zh-CN"/>
        </w:rPr>
        <w:t>4.</w:t>
      </w:r>
      <w:r>
        <w:rPr>
          <w:rFonts w:hint="eastAsia" w:ascii="Times New Roman" w:hAnsi="Times New Roman" w:eastAsia="宋体" w:cs="Times New Roman"/>
          <w:bCs/>
          <w:color w:val="auto"/>
          <w:szCs w:val="20"/>
          <w:highlight w:val="none"/>
        </w:rPr>
        <w:t xml:space="preserve">term of service </w:t>
      </w:r>
    </w:p>
    <w:p>
      <w:pPr>
        <w:pStyle w:val="13"/>
        <w:tabs>
          <w:tab w:val="right" w:leader="dot" w:pos="8306"/>
        </w:tabs>
        <w:rPr>
          <w:highlight w:val="none"/>
        </w:rPr>
      </w:pPr>
      <w:r>
        <w:rPr>
          <w:rFonts w:hint="eastAsia" w:ascii="Times New Roman" w:hAnsi="Times New Roman" w:eastAsia="宋体" w:cs="Times New Roman"/>
          <w:bCs/>
          <w:color w:val="auto"/>
          <w:szCs w:val="20"/>
          <w:highlight w:val="none"/>
        </w:rPr>
        <w:fldChar w:fldCharType="begin"/>
      </w:r>
      <w:r>
        <w:rPr>
          <w:rFonts w:hint="eastAsia" w:ascii="Times New Roman" w:hAnsi="Times New Roman" w:eastAsia="宋体" w:cs="Times New Roman"/>
          <w:bCs/>
          <w:szCs w:val="20"/>
          <w:highlight w:val="none"/>
        </w:rPr>
        <w:instrText xml:space="preserve"> HYPERLINK \l _Toc23009 </w:instrText>
      </w:r>
      <w:r>
        <w:rPr>
          <w:rFonts w:hint="eastAsia" w:ascii="Times New Roman" w:hAnsi="Times New Roman" w:eastAsia="宋体" w:cs="Times New Roman"/>
          <w:bCs/>
          <w:szCs w:val="20"/>
          <w:highlight w:val="none"/>
        </w:rPr>
        <w:fldChar w:fldCharType="separate"/>
      </w:r>
      <w:r>
        <w:rPr>
          <w:rFonts w:hint="eastAsia" w:ascii="宋体" w:hAnsi="宋体" w:eastAsia="宋体" w:cs="宋体"/>
          <w:bCs/>
          <w:szCs w:val="28"/>
          <w:highlight w:val="none"/>
          <w:lang w:val="en-US" w:eastAsia="zh-CN"/>
        </w:rPr>
        <w:t>5.资质要求</w:t>
      </w:r>
      <w:r>
        <w:rPr>
          <w:highlight w:val="none"/>
        </w:rPr>
        <w:tab/>
      </w:r>
      <w:r>
        <w:rPr>
          <w:highlight w:val="none"/>
        </w:rPr>
        <w:fldChar w:fldCharType="begin"/>
      </w:r>
      <w:r>
        <w:rPr>
          <w:highlight w:val="none"/>
        </w:rPr>
        <w:instrText xml:space="preserve"> PAGEREF _Toc23009 \h </w:instrText>
      </w:r>
      <w:r>
        <w:rPr>
          <w:highlight w:val="none"/>
        </w:rPr>
        <w:fldChar w:fldCharType="separate"/>
      </w:r>
      <w:r>
        <w:rPr>
          <w:highlight w:val="none"/>
        </w:rPr>
        <w:t>2</w:t>
      </w:r>
      <w:r>
        <w:rPr>
          <w:highlight w:val="none"/>
        </w:rPr>
        <w:fldChar w:fldCharType="end"/>
      </w:r>
      <w:r>
        <w:rPr>
          <w:rFonts w:hint="eastAsia" w:ascii="Times New Roman" w:hAnsi="Times New Roman" w:eastAsia="宋体" w:cs="Times New Roman"/>
          <w:bCs/>
          <w:color w:val="auto"/>
          <w:szCs w:val="20"/>
          <w:highlight w:val="none"/>
        </w:rPr>
        <w:fldChar w:fldCharType="end"/>
      </w:r>
    </w:p>
    <w:p>
      <w:pPr>
        <w:pStyle w:val="13"/>
        <w:tabs>
          <w:tab w:val="right" w:leader="dot" w:pos="8306"/>
        </w:tabs>
        <w:rPr>
          <w:rFonts w:hint="eastAsia" w:ascii="Times New Roman" w:hAnsi="Times New Roman" w:eastAsia="宋体" w:cs="Times New Roman"/>
          <w:bCs/>
          <w:color w:val="auto"/>
          <w:szCs w:val="20"/>
          <w:highlight w:val="none"/>
        </w:rPr>
      </w:pPr>
      <w:r>
        <w:rPr>
          <w:rFonts w:hint="eastAsia" w:cs="Times New Roman"/>
          <w:bCs/>
          <w:color w:val="auto"/>
          <w:szCs w:val="20"/>
          <w:highlight w:val="none"/>
          <w:lang w:val="en-US" w:eastAsia="zh-CN"/>
        </w:rPr>
        <w:t>5.</w:t>
      </w:r>
      <w:r>
        <w:rPr>
          <w:rFonts w:hint="eastAsia" w:ascii="Times New Roman" w:hAnsi="Times New Roman" w:eastAsia="宋体" w:cs="Times New Roman"/>
          <w:bCs/>
          <w:color w:val="auto"/>
          <w:szCs w:val="20"/>
          <w:highlight w:val="none"/>
        </w:rPr>
        <w:t>Qualifications</w:t>
      </w:r>
    </w:p>
    <w:p>
      <w:pPr>
        <w:pStyle w:val="13"/>
        <w:tabs>
          <w:tab w:val="right" w:leader="dot" w:pos="8306"/>
        </w:tabs>
        <w:rPr>
          <w:highlight w:val="none"/>
        </w:rPr>
      </w:pPr>
      <w:r>
        <w:rPr>
          <w:rFonts w:hint="eastAsia" w:ascii="Times New Roman" w:hAnsi="Times New Roman" w:eastAsia="宋体" w:cs="Times New Roman"/>
          <w:bCs/>
          <w:color w:val="auto"/>
          <w:szCs w:val="20"/>
          <w:highlight w:val="none"/>
        </w:rPr>
        <w:fldChar w:fldCharType="begin"/>
      </w:r>
      <w:r>
        <w:rPr>
          <w:rFonts w:hint="eastAsia" w:ascii="Times New Roman" w:hAnsi="Times New Roman" w:eastAsia="宋体" w:cs="Times New Roman"/>
          <w:bCs/>
          <w:szCs w:val="20"/>
          <w:highlight w:val="none"/>
        </w:rPr>
        <w:instrText xml:space="preserve"> HYPERLINK \l _Toc16531 </w:instrText>
      </w:r>
      <w:r>
        <w:rPr>
          <w:rFonts w:hint="eastAsia" w:ascii="Times New Roman" w:hAnsi="Times New Roman" w:eastAsia="宋体" w:cs="Times New Roman"/>
          <w:bCs/>
          <w:szCs w:val="20"/>
          <w:highlight w:val="none"/>
        </w:rPr>
        <w:fldChar w:fldCharType="separate"/>
      </w:r>
      <w:r>
        <w:rPr>
          <w:rFonts w:hint="eastAsia" w:ascii="宋体" w:hAnsi="宋体" w:eastAsia="宋体" w:cs="宋体"/>
          <w:bCs/>
          <w:szCs w:val="28"/>
          <w:highlight w:val="none"/>
          <w:lang w:val="en-US" w:eastAsia="zh-CN"/>
        </w:rPr>
        <w:t>6.</w:t>
      </w:r>
      <w:r>
        <w:rPr>
          <w:rFonts w:hint="eastAsia" w:ascii="宋体" w:hAnsi="宋体" w:eastAsia="宋体" w:cs="宋体"/>
          <w:bCs/>
          <w:szCs w:val="28"/>
          <w:highlight w:val="none"/>
        </w:rPr>
        <w:t>遵循规范及要求</w:t>
      </w:r>
      <w:r>
        <w:rPr>
          <w:highlight w:val="none"/>
        </w:rPr>
        <w:tab/>
      </w:r>
      <w:r>
        <w:rPr>
          <w:highlight w:val="none"/>
        </w:rPr>
        <w:fldChar w:fldCharType="begin"/>
      </w:r>
      <w:r>
        <w:rPr>
          <w:highlight w:val="none"/>
        </w:rPr>
        <w:instrText xml:space="preserve"> PAGEREF _Toc16531 \h </w:instrText>
      </w:r>
      <w:r>
        <w:rPr>
          <w:highlight w:val="none"/>
        </w:rPr>
        <w:fldChar w:fldCharType="separate"/>
      </w:r>
      <w:r>
        <w:rPr>
          <w:highlight w:val="none"/>
        </w:rPr>
        <w:t>2</w:t>
      </w:r>
      <w:r>
        <w:rPr>
          <w:highlight w:val="none"/>
        </w:rPr>
        <w:fldChar w:fldCharType="end"/>
      </w:r>
      <w:r>
        <w:rPr>
          <w:rFonts w:hint="eastAsia" w:ascii="Times New Roman" w:hAnsi="Times New Roman" w:eastAsia="宋体" w:cs="Times New Roman"/>
          <w:bCs/>
          <w:color w:val="auto"/>
          <w:szCs w:val="20"/>
          <w:highlight w:val="none"/>
        </w:rPr>
        <w:fldChar w:fldCharType="end"/>
      </w:r>
    </w:p>
    <w:p>
      <w:pPr>
        <w:pStyle w:val="13"/>
        <w:tabs>
          <w:tab w:val="right" w:leader="dot" w:pos="8306"/>
        </w:tabs>
        <w:rPr>
          <w:rFonts w:hint="eastAsia" w:ascii="Times New Roman" w:hAnsi="Times New Roman" w:eastAsia="宋体" w:cs="Times New Roman"/>
          <w:bCs/>
          <w:color w:val="auto"/>
          <w:szCs w:val="20"/>
          <w:highlight w:val="none"/>
        </w:rPr>
      </w:pPr>
      <w:r>
        <w:rPr>
          <w:rFonts w:hint="eastAsia" w:cs="Times New Roman"/>
          <w:bCs/>
          <w:color w:val="auto"/>
          <w:szCs w:val="20"/>
          <w:highlight w:val="none"/>
          <w:lang w:val="en-US" w:eastAsia="zh-CN"/>
        </w:rPr>
        <w:t>6.</w:t>
      </w:r>
      <w:r>
        <w:rPr>
          <w:rFonts w:hint="eastAsia" w:ascii="Times New Roman" w:hAnsi="Times New Roman" w:eastAsia="宋体" w:cs="Times New Roman"/>
          <w:bCs/>
          <w:color w:val="auto"/>
          <w:szCs w:val="20"/>
          <w:highlight w:val="none"/>
        </w:rPr>
        <w:t>Comply with standards and requirements</w:t>
      </w:r>
    </w:p>
    <w:p>
      <w:pPr>
        <w:pStyle w:val="13"/>
        <w:tabs>
          <w:tab w:val="right" w:leader="dot" w:pos="8306"/>
        </w:tabs>
        <w:rPr>
          <w:highlight w:val="none"/>
        </w:rPr>
      </w:pPr>
      <w:r>
        <w:rPr>
          <w:rFonts w:hint="eastAsia" w:ascii="Times New Roman" w:hAnsi="Times New Roman" w:eastAsia="宋体" w:cs="Times New Roman"/>
          <w:bCs/>
          <w:color w:val="auto"/>
          <w:szCs w:val="20"/>
          <w:highlight w:val="none"/>
        </w:rPr>
        <w:fldChar w:fldCharType="begin"/>
      </w:r>
      <w:r>
        <w:rPr>
          <w:rFonts w:hint="eastAsia" w:ascii="Times New Roman" w:hAnsi="Times New Roman" w:eastAsia="宋体" w:cs="Times New Roman"/>
          <w:bCs/>
          <w:szCs w:val="20"/>
          <w:highlight w:val="none"/>
        </w:rPr>
        <w:instrText xml:space="preserve"> HYPERLINK \l _Toc21720 </w:instrText>
      </w:r>
      <w:r>
        <w:rPr>
          <w:rFonts w:hint="eastAsia" w:ascii="Times New Roman" w:hAnsi="Times New Roman" w:eastAsia="宋体" w:cs="Times New Roman"/>
          <w:bCs/>
          <w:szCs w:val="20"/>
          <w:highlight w:val="none"/>
        </w:rPr>
        <w:fldChar w:fldCharType="separate"/>
      </w:r>
      <w:r>
        <w:rPr>
          <w:rFonts w:hint="eastAsia" w:ascii="宋体" w:hAnsi="宋体" w:eastAsia="宋体" w:cs="宋体"/>
          <w:bCs/>
          <w:szCs w:val="28"/>
          <w:highlight w:val="none"/>
          <w:lang w:val="en-US" w:eastAsia="zh-CN"/>
        </w:rPr>
        <w:t>7.技术要求</w:t>
      </w:r>
      <w:r>
        <w:rPr>
          <w:highlight w:val="none"/>
        </w:rPr>
        <w:tab/>
      </w:r>
      <w:r>
        <w:rPr>
          <w:highlight w:val="none"/>
        </w:rPr>
        <w:fldChar w:fldCharType="begin"/>
      </w:r>
      <w:r>
        <w:rPr>
          <w:highlight w:val="none"/>
        </w:rPr>
        <w:instrText xml:space="preserve"> PAGEREF _Toc21720 \h </w:instrText>
      </w:r>
      <w:r>
        <w:rPr>
          <w:highlight w:val="none"/>
        </w:rPr>
        <w:fldChar w:fldCharType="separate"/>
      </w:r>
      <w:r>
        <w:rPr>
          <w:highlight w:val="none"/>
        </w:rPr>
        <w:t>3</w:t>
      </w:r>
      <w:r>
        <w:rPr>
          <w:highlight w:val="none"/>
        </w:rPr>
        <w:fldChar w:fldCharType="end"/>
      </w:r>
      <w:r>
        <w:rPr>
          <w:rFonts w:hint="eastAsia" w:ascii="Times New Roman" w:hAnsi="Times New Roman" w:eastAsia="宋体" w:cs="Times New Roman"/>
          <w:bCs/>
          <w:color w:val="auto"/>
          <w:szCs w:val="20"/>
          <w:highlight w:val="none"/>
        </w:rPr>
        <w:fldChar w:fldCharType="end"/>
      </w:r>
    </w:p>
    <w:p>
      <w:pPr>
        <w:pStyle w:val="13"/>
        <w:tabs>
          <w:tab w:val="right" w:leader="dot" w:pos="8306"/>
        </w:tabs>
        <w:rPr>
          <w:rFonts w:hint="eastAsia" w:ascii="Times New Roman" w:hAnsi="Times New Roman" w:eastAsia="宋体" w:cs="Times New Roman"/>
          <w:bCs/>
          <w:color w:val="auto"/>
          <w:szCs w:val="20"/>
          <w:highlight w:val="none"/>
        </w:rPr>
      </w:pPr>
      <w:r>
        <w:rPr>
          <w:rFonts w:hint="eastAsia" w:cs="Times New Roman"/>
          <w:bCs/>
          <w:color w:val="auto"/>
          <w:szCs w:val="20"/>
          <w:highlight w:val="none"/>
          <w:lang w:val="en-US" w:eastAsia="zh-CN"/>
        </w:rPr>
        <w:t>7.</w:t>
      </w:r>
      <w:r>
        <w:rPr>
          <w:rFonts w:hint="eastAsia" w:ascii="Times New Roman" w:hAnsi="Times New Roman" w:eastAsia="宋体" w:cs="Times New Roman"/>
          <w:bCs/>
          <w:color w:val="auto"/>
          <w:szCs w:val="20"/>
          <w:highlight w:val="none"/>
        </w:rPr>
        <w:t>technical requirement</w:t>
      </w:r>
    </w:p>
    <w:p>
      <w:pPr>
        <w:pStyle w:val="13"/>
        <w:tabs>
          <w:tab w:val="right" w:leader="dot" w:pos="8306"/>
        </w:tabs>
        <w:rPr>
          <w:rFonts w:hint="eastAsia" w:ascii="Times New Roman" w:hAnsi="Times New Roman" w:eastAsia="宋体" w:cs="Times New Roman"/>
          <w:bCs/>
          <w:color w:val="auto"/>
          <w:szCs w:val="20"/>
          <w:highlight w:val="none"/>
        </w:rPr>
      </w:pPr>
      <w:r>
        <w:rPr>
          <w:rFonts w:hint="eastAsia" w:ascii="Times New Roman" w:hAnsi="Times New Roman" w:eastAsia="宋体" w:cs="Times New Roman"/>
          <w:bCs/>
          <w:color w:val="auto"/>
          <w:szCs w:val="20"/>
          <w:highlight w:val="none"/>
        </w:rPr>
        <w:fldChar w:fldCharType="begin"/>
      </w:r>
      <w:r>
        <w:rPr>
          <w:rFonts w:hint="eastAsia" w:ascii="Times New Roman" w:hAnsi="Times New Roman" w:eastAsia="宋体" w:cs="Times New Roman"/>
          <w:bCs/>
          <w:szCs w:val="20"/>
          <w:highlight w:val="none"/>
        </w:rPr>
        <w:instrText xml:space="preserve"> HYPERLINK \l _Toc16435 </w:instrText>
      </w:r>
      <w:r>
        <w:rPr>
          <w:rFonts w:hint="eastAsia" w:ascii="Times New Roman" w:hAnsi="Times New Roman" w:eastAsia="宋体" w:cs="Times New Roman"/>
          <w:bCs/>
          <w:szCs w:val="20"/>
          <w:highlight w:val="none"/>
        </w:rPr>
        <w:fldChar w:fldCharType="separate"/>
      </w:r>
      <w:r>
        <w:rPr>
          <w:rFonts w:hint="eastAsia" w:ascii="宋体" w:hAnsi="宋体" w:eastAsia="宋体" w:cs="宋体"/>
          <w:bCs/>
          <w:szCs w:val="28"/>
          <w:highlight w:val="none"/>
          <w:lang w:val="en-US" w:eastAsia="zh-CN"/>
        </w:rPr>
        <w:t>8.</w:t>
      </w:r>
      <w:r>
        <w:rPr>
          <w:rFonts w:hint="eastAsia" w:ascii="宋体" w:hAnsi="宋体" w:eastAsia="宋体" w:cs="宋体"/>
          <w:bCs/>
          <w:szCs w:val="28"/>
          <w:highlight w:val="none"/>
          <w:lang w:val="zh-CN" w:eastAsia="zh-CN"/>
        </w:rPr>
        <w:t>管理及考核</w:t>
      </w:r>
      <w:r>
        <w:rPr>
          <w:highlight w:val="none"/>
        </w:rPr>
        <w:tab/>
      </w:r>
      <w:r>
        <w:rPr>
          <w:highlight w:val="none"/>
        </w:rPr>
        <w:fldChar w:fldCharType="begin"/>
      </w:r>
      <w:r>
        <w:rPr>
          <w:highlight w:val="none"/>
        </w:rPr>
        <w:instrText xml:space="preserve"> PAGEREF _Toc16435 \h </w:instrText>
      </w:r>
      <w:r>
        <w:rPr>
          <w:highlight w:val="none"/>
        </w:rPr>
        <w:fldChar w:fldCharType="separate"/>
      </w:r>
      <w:r>
        <w:rPr>
          <w:highlight w:val="none"/>
        </w:rPr>
        <w:t>3</w:t>
      </w:r>
      <w:r>
        <w:rPr>
          <w:highlight w:val="none"/>
        </w:rPr>
        <w:fldChar w:fldCharType="end"/>
      </w:r>
      <w:r>
        <w:rPr>
          <w:rFonts w:hint="eastAsia" w:ascii="Times New Roman" w:hAnsi="Times New Roman" w:eastAsia="宋体" w:cs="Times New Roman"/>
          <w:bCs/>
          <w:color w:val="auto"/>
          <w:szCs w:val="20"/>
          <w:highlight w:val="none"/>
        </w:rPr>
        <w:fldChar w:fldCharType="end"/>
      </w:r>
    </w:p>
    <w:p>
      <w:pPr>
        <w:pStyle w:val="13"/>
        <w:tabs>
          <w:tab w:val="right" w:leader="dot" w:pos="8306"/>
        </w:tabs>
        <w:rPr>
          <w:rFonts w:hint="default" w:ascii="Times New Roman" w:hAnsi="Times New Roman" w:eastAsia="宋体" w:cs="Times New Roman"/>
          <w:bCs/>
          <w:color w:val="auto"/>
          <w:szCs w:val="20"/>
          <w:highlight w:val="none"/>
          <w:lang w:val="en-US" w:eastAsia="zh-CN"/>
        </w:rPr>
      </w:pPr>
      <w:r>
        <w:rPr>
          <w:rFonts w:hint="eastAsia" w:cs="Times New Roman"/>
          <w:bCs/>
          <w:color w:val="auto"/>
          <w:szCs w:val="20"/>
          <w:highlight w:val="none"/>
          <w:lang w:val="en-US" w:eastAsia="zh-CN"/>
        </w:rPr>
        <w:t>8.Management and assessment</w:t>
      </w:r>
    </w:p>
    <w:p/>
    <w:p>
      <w:pPr>
        <w:rPr>
          <w:rFonts w:hint="eastAsia" w:ascii="Times New Roman" w:hAnsi="Times New Roman" w:eastAsia="宋体" w:cs="Times New Roman"/>
          <w:b/>
          <w:bCs/>
          <w:color w:val="auto"/>
          <w:sz w:val="20"/>
          <w:szCs w:val="20"/>
          <w:highlight w:val="none"/>
        </w:rPr>
        <w:sectPr>
          <w:pgSz w:w="11906" w:h="16838"/>
          <w:pgMar w:top="1440" w:right="1800" w:bottom="1440" w:left="1800" w:header="851" w:footer="992" w:gutter="0"/>
          <w:cols w:space="425" w:num="1"/>
          <w:docGrid w:type="lines" w:linePitch="312" w:charSpace="0"/>
        </w:sectPr>
      </w:pPr>
      <w:r>
        <w:rPr>
          <w:rFonts w:hint="eastAsia" w:ascii="Times New Roman" w:hAnsi="Times New Roman" w:eastAsia="宋体" w:cs="Times New Roman"/>
          <w:bCs/>
          <w:color w:val="auto"/>
          <w:szCs w:val="20"/>
          <w:highlight w:val="none"/>
        </w:rPr>
        <w:fldChar w:fldCharType="end"/>
      </w:r>
    </w:p>
    <w:p>
      <w:pPr>
        <w:numPr>
          <w:ilvl w:val="0"/>
          <w:numId w:val="5"/>
        </w:numPr>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rPr>
        <w:t>总则</w:t>
      </w:r>
      <w:r>
        <w:rPr>
          <w:rFonts w:hint="eastAsia" w:ascii="宋体" w:hAnsi="宋体" w:eastAsia="宋体" w:cs="宋体"/>
          <w:b/>
          <w:bCs/>
          <w:color w:val="auto"/>
          <w:sz w:val="28"/>
          <w:szCs w:val="28"/>
          <w:highlight w:val="none"/>
          <w:lang w:val="en-US"/>
        </w:rPr>
        <w:t xml:space="preserve"> </w:t>
      </w:r>
    </w:p>
    <w:p>
      <w:pPr>
        <w:numPr>
          <w:ilvl w:val="-1"/>
          <w:numId w:val="0"/>
        </w:numPr>
        <w:rPr>
          <w:rFonts w:hint="eastAsia" w:ascii="宋体" w:hAnsi="宋体" w:eastAsia="宋体" w:cs="宋体"/>
          <w:b/>
          <w:bCs/>
          <w:color w:val="auto"/>
          <w:sz w:val="28"/>
          <w:szCs w:val="28"/>
          <w:highlight w:val="none"/>
          <w:lang w:val="en-US"/>
        </w:rPr>
      </w:pPr>
      <w:r>
        <w:rPr>
          <w:rFonts w:hint="eastAsia" w:ascii="宋体" w:hAnsi="宋体" w:cs="宋体"/>
          <w:b/>
          <w:bCs/>
          <w:color w:val="auto"/>
          <w:sz w:val="28"/>
          <w:szCs w:val="28"/>
          <w:highlight w:val="none"/>
          <w:lang w:val="en-US" w:eastAsia="zh-CN"/>
        </w:rPr>
        <w:t>1.</w:t>
      </w:r>
      <w:r>
        <w:rPr>
          <w:rFonts w:hint="eastAsia" w:ascii="宋体" w:hAnsi="宋体" w:eastAsia="宋体" w:cs="宋体"/>
          <w:b/>
          <w:bCs/>
          <w:color w:val="auto"/>
          <w:sz w:val="28"/>
          <w:szCs w:val="28"/>
          <w:highlight w:val="none"/>
          <w:lang w:val="en-US" w:eastAsia="zh-CN"/>
        </w:rPr>
        <w:t>General Rules</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1.1.</w:t>
      </w:r>
      <w:r>
        <w:rPr>
          <w:rFonts w:hint="eastAsia" w:ascii="宋体" w:hAnsi="宋体" w:eastAsia="宋体" w:cs="宋体"/>
          <w:sz w:val="24"/>
          <w:szCs w:val="24"/>
          <w:highlight w:val="none"/>
          <w:lang w:eastAsia="zh-CN"/>
        </w:rPr>
        <w:t>本技术规范书适用于</w:t>
      </w:r>
      <w:r>
        <w:rPr>
          <w:rFonts w:hint="eastAsia" w:ascii="宋体" w:hAnsi="宋体" w:cs="宋体"/>
          <w:sz w:val="24"/>
          <w:szCs w:val="24"/>
          <w:highlight w:val="none"/>
          <w:lang w:val="en-US" w:eastAsia="zh-CN"/>
        </w:rPr>
        <w:t>玻雅分公司</w:t>
      </w:r>
      <w:r>
        <w:rPr>
          <w:rFonts w:hint="eastAsia" w:ascii="宋体" w:hAnsi="宋体" w:eastAsia="宋体" w:cs="宋体"/>
          <w:sz w:val="24"/>
          <w:szCs w:val="24"/>
          <w:highlight w:val="none"/>
          <w:lang w:eastAsia="zh-CN"/>
        </w:rPr>
        <w:t>2×6</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CN"/>
        </w:rPr>
        <w:t>0MW</w:t>
      </w:r>
      <w:r>
        <w:rPr>
          <w:rFonts w:hint="eastAsia" w:ascii="宋体" w:hAnsi="宋体" w:eastAsia="宋体" w:cs="宋体"/>
          <w:sz w:val="24"/>
          <w:szCs w:val="24"/>
          <w:highlight w:val="none"/>
          <w:lang w:val="en-US" w:eastAsia="zh-CN"/>
        </w:rPr>
        <w:t>燃煤</w:t>
      </w:r>
      <w:r>
        <w:rPr>
          <w:rFonts w:hint="eastAsia" w:ascii="宋体" w:hAnsi="宋体" w:eastAsia="宋体" w:cs="宋体"/>
          <w:sz w:val="24"/>
          <w:szCs w:val="24"/>
          <w:highlight w:val="none"/>
          <w:lang w:eastAsia="zh-CN"/>
        </w:rPr>
        <w:t>机组</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#2锅炉高温再热器管道235吊点加固工作，它</w:t>
      </w:r>
      <w:r>
        <w:rPr>
          <w:rFonts w:hint="eastAsia" w:ascii="宋体" w:hAnsi="宋体" w:eastAsia="宋体" w:cs="宋体"/>
          <w:sz w:val="24"/>
          <w:szCs w:val="24"/>
          <w:highlight w:val="none"/>
          <w:lang w:eastAsia="zh-CN"/>
        </w:rPr>
        <w:t>提出了有关工程质量、内容、工期及验收标准等方面的技术要求。</w:t>
      </w:r>
    </w:p>
    <w:p>
      <w:pPr>
        <w:spacing w:line="360" w:lineRule="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 xml:space="preserve">1.1 </w:t>
      </w:r>
      <w:r>
        <w:rPr>
          <w:rFonts w:hint="eastAsia" w:ascii="宋体" w:hAnsi="宋体" w:eastAsia="宋体" w:cs="宋体"/>
          <w:sz w:val="24"/>
          <w:szCs w:val="24"/>
          <w:highlight w:val="none"/>
          <w:lang w:eastAsia="zh-CN"/>
        </w:rPr>
        <w:t>This technical specification applies to the reinforcement of 235 suspension points on the high-temperature reheater pipeline of #2 boiler for the 2×660MW coal-fired units at Boya Branch Company. It specifies technical requirements regarding project quality, scope, schedule, and acceptance criteria.</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b w:val="0"/>
          <w:bCs w:val="0"/>
          <w:sz w:val="24"/>
          <w:szCs w:val="24"/>
          <w:highlight w:val="none"/>
          <w:lang w:eastAsia="zh-CN"/>
        </w:rPr>
        <w:t>1</w:t>
      </w:r>
      <w:r>
        <w:rPr>
          <w:rFonts w:hint="eastAsia" w:ascii="宋体" w:hAnsi="宋体" w:eastAsia="宋体" w:cs="宋体"/>
          <w:b w:val="0"/>
          <w:bCs w:val="0"/>
          <w:sz w:val="24"/>
          <w:szCs w:val="24"/>
          <w:highlight w:val="none"/>
          <w:lang w:val="en-US" w:eastAsia="zh-CN"/>
        </w:rPr>
        <w:t>.2</w:t>
      </w:r>
      <w:r>
        <w:rPr>
          <w:rFonts w:hint="eastAsia" w:ascii="宋体" w:hAnsi="宋体" w:eastAsia="宋体" w:cs="宋体"/>
          <w:sz w:val="24"/>
          <w:szCs w:val="24"/>
          <w:highlight w:val="none"/>
          <w:lang w:eastAsia="zh-CN"/>
        </w:rPr>
        <w:t>本技术规范书所提及的要求都是最低限度的要求，并未对一切技术细节作出规定，也未充分地详述有关标准和规范的条文，</w:t>
      </w:r>
      <w:r>
        <w:rPr>
          <w:rFonts w:hint="eastAsia" w:ascii="宋体" w:hAnsi="宋体" w:eastAsia="宋体" w:cs="宋体"/>
          <w:sz w:val="24"/>
          <w:szCs w:val="24"/>
          <w:highlight w:val="none"/>
          <w:lang w:val="en-US" w:eastAsia="zh-CN"/>
        </w:rPr>
        <w:t>服务方</w:t>
      </w:r>
      <w:r>
        <w:rPr>
          <w:rFonts w:hint="eastAsia" w:ascii="宋体" w:hAnsi="宋体" w:eastAsia="宋体" w:cs="宋体"/>
          <w:sz w:val="24"/>
          <w:szCs w:val="24"/>
          <w:highlight w:val="none"/>
          <w:lang w:eastAsia="zh-CN"/>
        </w:rPr>
        <w:t>应保证提供符合本技术规范书文件和工业标准的功能齐全的优质产品及其相应服务。</w:t>
      </w:r>
    </w:p>
    <w:p>
      <w:pPr>
        <w:spacing w:line="360" w:lineRule="auto"/>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 xml:space="preserve">1.2 </w:t>
      </w:r>
      <w:r>
        <w:rPr>
          <w:rFonts w:hint="eastAsia" w:ascii="宋体" w:hAnsi="宋体" w:eastAsia="宋体" w:cs="宋体"/>
          <w:sz w:val="24"/>
          <w:szCs w:val="24"/>
          <w:highlight w:val="none"/>
          <w:lang w:eastAsia="zh-CN"/>
        </w:rPr>
        <w:t>The requirements mentioned in this technical specification are the minimum requirements, and do not provide for all technical details, nor fully elaborate on the provisions of relevant standards and specifications. The Service Party shall guarantee to provide high-quality products with complete functions and corresponding services in accordance with this technical specification and industrial standards.</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eastAsia="zh-CN"/>
        </w:rPr>
        <w:t>3</w:t>
      </w:r>
      <w:r>
        <w:rPr>
          <w:rFonts w:hint="eastAsia" w:ascii="宋体" w:hAnsi="宋体" w:eastAsia="宋体" w:cs="宋体"/>
          <w:b/>
          <w:bCs/>
          <w:color w:val="auto"/>
          <w:sz w:val="24"/>
          <w:szCs w:val="24"/>
          <w:highlight w:val="none"/>
          <w:lang w:eastAsia="zh-CN"/>
        </w:rPr>
        <w:t xml:space="preserve"> </w:t>
      </w:r>
      <w:r>
        <w:rPr>
          <w:rFonts w:hint="eastAsia" w:ascii="宋体" w:hAnsi="宋体" w:eastAsia="宋体" w:cs="宋体"/>
          <w:sz w:val="24"/>
          <w:szCs w:val="24"/>
          <w:highlight w:val="none"/>
          <w:lang w:eastAsia="zh-CN"/>
        </w:rPr>
        <w:t>从签订合同之后至服务方开始</w:t>
      </w:r>
      <w:r>
        <w:rPr>
          <w:rFonts w:hint="eastAsia" w:ascii="宋体" w:hAnsi="宋体" w:eastAsia="宋体" w:cs="宋体"/>
          <w:sz w:val="24"/>
          <w:szCs w:val="24"/>
          <w:highlight w:val="none"/>
          <w:lang w:val="en-US" w:eastAsia="zh-CN"/>
        </w:rPr>
        <w:t>工作</w:t>
      </w:r>
      <w:r>
        <w:rPr>
          <w:rFonts w:hint="eastAsia" w:ascii="宋体" w:hAnsi="宋体" w:eastAsia="宋体" w:cs="宋体"/>
          <w:sz w:val="24"/>
          <w:szCs w:val="24"/>
          <w:highlight w:val="none"/>
          <w:lang w:eastAsia="zh-CN"/>
        </w:rPr>
        <w:t>之日的这段时期内，采购方有权提出因规程、规范和标准发生变化而产生的一些补充修改要求，服务方</w:t>
      </w:r>
      <w:r>
        <w:rPr>
          <w:rFonts w:hint="eastAsia" w:ascii="宋体" w:hAnsi="宋体" w:eastAsia="宋体" w:cs="宋体"/>
          <w:sz w:val="24"/>
          <w:szCs w:val="24"/>
          <w:highlight w:val="none"/>
          <w:lang w:val="en-US" w:eastAsia="zh-CN"/>
        </w:rPr>
        <w:t>应</w:t>
      </w:r>
      <w:r>
        <w:rPr>
          <w:rFonts w:hint="eastAsia" w:ascii="宋体" w:hAnsi="宋体" w:eastAsia="宋体" w:cs="宋体"/>
          <w:sz w:val="24"/>
          <w:szCs w:val="24"/>
          <w:highlight w:val="none"/>
          <w:lang w:eastAsia="zh-CN"/>
        </w:rPr>
        <w:t>遵守这些要求。</w:t>
      </w:r>
      <w:r>
        <w:rPr>
          <w:rFonts w:hint="eastAsia" w:ascii="宋体" w:hAnsi="宋体" w:cs="宋体"/>
          <w:sz w:val="24"/>
          <w:szCs w:val="24"/>
          <w:highlight w:val="none"/>
          <w:lang w:val="en-US" w:eastAsia="zh-CN"/>
        </w:rPr>
        <w:t xml:space="preserve">1.3 </w:t>
      </w:r>
      <w:r>
        <w:rPr>
          <w:rFonts w:hint="eastAsia" w:ascii="宋体" w:hAnsi="宋体" w:eastAsia="宋体" w:cs="宋体"/>
          <w:sz w:val="24"/>
          <w:szCs w:val="24"/>
          <w:highlight w:val="none"/>
          <w:lang w:eastAsia="zh-CN"/>
        </w:rPr>
        <w:t>During the period between the execution of the contract and the commencement of work by the Service Provider, the Purchaser shall have the right to make supplemental modification requirements arising from changes in regulations, specifications and standards, which shall be complied with by the Service Provider.</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4 服务方须执行本规范所列标准。有矛盾时，按较高标准执行。本技术规范书中未提及的内容均应满足或优于本规范所列的国家标准、电力行业标准和有关国际标准。</w:t>
      </w:r>
    </w:p>
    <w:p>
      <w:pPr>
        <w:spacing w:line="360" w:lineRule="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 xml:space="preserve">1.4 </w:t>
      </w:r>
      <w:r>
        <w:rPr>
          <w:rFonts w:hint="eastAsia" w:ascii="宋体" w:hAnsi="宋体" w:eastAsia="宋体" w:cs="宋体"/>
          <w:sz w:val="24"/>
          <w:szCs w:val="24"/>
          <w:highlight w:val="none"/>
          <w:lang w:eastAsia="zh-CN"/>
        </w:rPr>
        <w:t>The service provider shall comply with the standards specified in this specification. In case of conflict, the higher standard shall prevail. All content not mentioned in this technical specification shall meet or exceed the national standards, power industry standards, and relevant international standards specified herein.</w:t>
      </w:r>
    </w:p>
    <w:p>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 xml:space="preserve">5 </w:t>
      </w:r>
      <w:r>
        <w:rPr>
          <w:rFonts w:hint="eastAsia" w:ascii="宋体" w:hAnsi="宋体" w:eastAsia="宋体" w:cs="宋体"/>
          <w:color w:val="auto"/>
          <w:sz w:val="24"/>
          <w:szCs w:val="24"/>
          <w:highlight w:val="none"/>
          <w:lang w:eastAsia="zh-CN"/>
        </w:rPr>
        <w:t>服务方</w:t>
      </w:r>
      <w:r>
        <w:rPr>
          <w:rFonts w:hint="eastAsia" w:ascii="宋体" w:hAnsi="宋体" w:cs="宋体"/>
          <w:color w:val="auto"/>
          <w:sz w:val="24"/>
          <w:szCs w:val="24"/>
          <w:highlight w:val="none"/>
          <w:lang w:val="en-US" w:eastAsia="zh-CN"/>
        </w:rPr>
        <w:t>对玻雅分公司</w:t>
      </w:r>
      <w:r>
        <w:rPr>
          <w:rFonts w:hint="eastAsia" w:ascii="宋体" w:hAnsi="宋体" w:eastAsia="宋体" w:cs="宋体"/>
          <w:sz w:val="24"/>
          <w:szCs w:val="24"/>
          <w:highlight w:val="none"/>
          <w:lang w:eastAsia="zh-CN"/>
        </w:rPr>
        <w:t>2×6</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CN"/>
        </w:rPr>
        <w:t>0MW</w:t>
      </w:r>
      <w:r>
        <w:rPr>
          <w:rFonts w:hint="eastAsia" w:ascii="宋体" w:hAnsi="宋体" w:eastAsia="宋体" w:cs="宋体"/>
          <w:sz w:val="24"/>
          <w:szCs w:val="24"/>
          <w:highlight w:val="none"/>
          <w:lang w:val="en-US" w:eastAsia="zh-CN"/>
        </w:rPr>
        <w:t>燃煤</w:t>
      </w:r>
      <w:r>
        <w:rPr>
          <w:rFonts w:hint="eastAsia" w:ascii="宋体" w:hAnsi="宋体" w:eastAsia="宋体" w:cs="宋体"/>
          <w:sz w:val="24"/>
          <w:szCs w:val="24"/>
          <w:highlight w:val="none"/>
          <w:lang w:eastAsia="zh-CN"/>
        </w:rPr>
        <w:t>机组</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#2锅炉高温再热器管道235吊点加固</w:t>
      </w:r>
      <w:r>
        <w:rPr>
          <w:rFonts w:hint="eastAsia" w:ascii="宋体" w:hAnsi="宋体" w:eastAsia="宋体" w:cs="宋体"/>
          <w:sz w:val="24"/>
          <w:szCs w:val="24"/>
          <w:highlight w:val="none"/>
          <w:lang w:val="en-US" w:eastAsia="zh-CN"/>
        </w:rPr>
        <w:t>工作</w:t>
      </w:r>
      <w:r>
        <w:rPr>
          <w:rFonts w:hint="eastAsia" w:ascii="宋体" w:hAnsi="宋体" w:eastAsia="宋体" w:cs="宋体"/>
          <w:color w:val="auto"/>
          <w:sz w:val="24"/>
          <w:szCs w:val="24"/>
          <w:highlight w:val="none"/>
          <w:lang w:eastAsia="zh-CN"/>
        </w:rPr>
        <w:t>质量负有全责。</w:t>
      </w:r>
    </w:p>
    <w:p>
      <w:pPr>
        <w:spacing w:line="360"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1.5 </w:t>
      </w:r>
      <w:r>
        <w:rPr>
          <w:rFonts w:hint="eastAsia" w:ascii="宋体" w:hAnsi="宋体" w:eastAsia="宋体" w:cs="宋体"/>
          <w:color w:val="auto"/>
          <w:sz w:val="24"/>
          <w:szCs w:val="24"/>
          <w:highlight w:val="none"/>
          <w:lang w:eastAsia="zh-CN"/>
        </w:rPr>
        <w:t>The service party shall be fully responsible for the quality of the reinforcement work of the high temperature reheat pipe 235 lifting point of #2 boiler in the 2×660MW coal-fired unit of Boya Branch.</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6</w:t>
      </w:r>
      <w:r>
        <w:rPr>
          <w:rFonts w:hint="eastAsia" w:ascii="宋体" w:hAnsi="宋体" w:eastAsia="宋体" w:cs="宋体"/>
          <w:color w:val="auto"/>
          <w:sz w:val="24"/>
          <w:szCs w:val="24"/>
          <w:highlight w:val="none"/>
        </w:rPr>
        <w:t xml:space="preserve"> 在签订合同之后，</w:t>
      </w:r>
      <w:r>
        <w:rPr>
          <w:rFonts w:hint="eastAsia" w:ascii="宋体" w:hAnsi="宋体" w:eastAsia="宋体" w:cs="宋体"/>
          <w:color w:val="auto"/>
          <w:sz w:val="24"/>
          <w:szCs w:val="24"/>
          <w:highlight w:val="none"/>
          <w:lang w:eastAsia="zh-CN"/>
        </w:rPr>
        <w:t>服务方</w:t>
      </w:r>
      <w:r>
        <w:rPr>
          <w:rFonts w:hint="eastAsia" w:ascii="宋体" w:hAnsi="宋体" w:eastAsia="宋体" w:cs="宋体"/>
          <w:color w:val="auto"/>
          <w:sz w:val="24"/>
          <w:szCs w:val="24"/>
          <w:highlight w:val="none"/>
        </w:rPr>
        <w:t>因规范标准和规程发生变化而产生的一些补充要求，具体项目由</w:t>
      </w:r>
      <w:r>
        <w:rPr>
          <w:rFonts w:hint="eastAsia" w:ascii="宋体" w:hAnsi="宋体" w:eastAsia="宋体" w:cs="宋体"/>
          <w:color w:val="auto"/>
          <w:sz w:val="24"/>
          <w:szCs w:val="24"/>
          <w:highlight w:val="none"/>
          <w:lang w:eastAsia="zh-CN"/>
        </w:rPr>
        <w:t>甲乙</w:t>
      </w:r>
      <w:r>
        <w:rPr>
          <w:rFonts w:hint="eastAsia" w:ascii="宋体" w:hAnsi="宋体" w:eastAsia="宋体" w:cs="宋体"/>
          <w:color w:val="auto"/>
          <w:sz w:val="24"/>
          <w:szCs w:val="24"/>
          <w:highlight w:val="none"/>
        </w:rPr>
        <w:t>双方共同商定。但合同价格不会因这些补充要求而有任何增加。</w:t>
      </w:r>
      <w:r>
        <w:rPr>
          <w:rFonts w:hint="eastAsia" w:ascii="宋体" w:hAnsi="宋体" w:cs="宋体"/>
          <w:color w:val="auto"/>
          <w:sz w:val="24"/>
          <w:szCs w:val="24"/>
          <w:highlight w:val="none"/>
          <w:lang w:val="en-US" w:eastAsia="zh-CN"/>
        </w:rPr>
        <w:t xml:space="preserve">1.6 </w:t>
      </w:r>
      <w:r>
        <w:rPr>
          <w:rFonts w:hint="eastAsia" w:ascii="宋体" w:hAnsi="宋体" w:eastAsia="宋体" w:cs="宋体"/>
          <w:color w:val="auto"/>
          <w:sz w:val="24"/>
          <w:szCs w:val="24"/>
          <w:highlight w:val="none"/>
        </w:rPr>
        <w:t>After the signing of the contract, some supplementary requirements arising from changes in norms, standards and procedures of the service party shall be agreed by both parties. However, the contract price shall not increase due to these supplementary requirements.</w:t>
      </w:r>
    </w:p>
    <w:p>
      <w:pPr>
        <w:spacing w:line="360" w:lineRule="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w:t>
      </w:r>
      <w:r>
        <w:rPr>
          <w:rFonts w:hint="eastAsia" w:ascii="宋体" w:hAnsi="宋体" w:cs="宋体"/>
          <w:b w:val="0"/>
          <w:bCs w:val="0"/>
          <w:sz w:val="24"/>
          <w:szCs w:val="24"/>
          <w:highlight w:val="none"/>
          <w:lang w:val="en-US" w:eastAsia="zh-CN"/>
        </w:rPr>
        <w:t xml:space="preserve">7 </w:t>
      </w:r>
      <w:r>
        <w:rPr>
          <w:rFonts w:hint="eastAsia" w:ascii="宋体" w:hAnsi="宋体" w:eastAsia="宋体" w:cs="宋体"/>
          <w:b w:val="0"/>
          <w:bCs w:val="0"/>
          <w:sz w:val="24"/>
          <w:szCs w:val="24"/>
          <w:highlight w:val="none"/>
          <w:lang w:val="en-US" w:eastAsia="zh-CN"/>
        </w:rPr>
        <w:t>#</w:t>
      </w:r>
      <w:r>
        <w:rPr>
          <w:rFonts w:hint="eastAsia" w:ascii="宋体" w:hAnsi="宋体" w:cs="宋体"/>
          <w:b w:val="0"/>
          <w:bCs w:val="0"/>
          <w:sz w:val="24"/>
          <w:szCs w:val="24"/>
          <w:highlight w:val="none"/>
          <w:lang w:val="en-US" w:eastAsia="zh-CN"/>
        </w:rPr>
        <w:t>2锅炉</w:t>
      </w:r>
      <w:r>
        <w:rPr>
          <w:rFonts w:hint="eastAsia" w:ascii="宋体" w:hAnsi="宋体" w:eastAsia="宋体" w:cs="宋体"/>
          <w:b w:val="0"/>
          <w:bCs w:val="0"/>
          <w:sz w:val="24"/>
          <w:szCs w:val="24"/>
          <w:highlight w:val="none"/>
          <w:lang w:val="en-US" w:eastAsia="zh-CN"/>
        </w:rPr>
        <w:t>已经于2023年</w:t>
      </w:r>
      <w:r>
        <w:rPr>
          <w:rFonts w:hint="eastAsia" w:ascii="宋体" w:hAnsi="宋体" w:cs="宋体"/>
          <w:b w:val="0"/>
          <w:bCs w:val="0"/>
          <w:sz w:val="24"/>
          <w:szCs w:val="24"/>
          <w:highlight w:val="none"/>
          <w:lang w:val="en-US" w:eastAsia="zh-CN"/>
        </w:rPr>
        <w:t>10</w:t>
      </w:r>
      <w:r>
        <w:rPr>
          <w:rFonts w:hint="eastAsia" w:ascii="宋体" w:hAnsi="宋体" w:eastAsia="宋体" w:cs="宋体"/>
          <w:b w:val="0"/>
          <w:bCs w:val="0"/>
          <w:sz w:val="24"/>
          <w:szCs w:val="24"/>
          <w:highlight w:val="none"/>
          <w:lang w:val="en-US" w:eastAsia="zh-CN"/>
        </w:rPr>
        <w:t>月投入商业运行，</w:t>
      </w:r>
      <w:r>
        <w:rPr>
          <w:rFonts w:hint="eastAsia" w:ascii="宋体" w:hAnsi="宋体" w:cs="宋体"/>
          <w:b w:val="0"/>
          <w:bCs w:val="0"/>
          <w:sz w:val="24"/>
          <w:szCs w:val="24"/>
          <w:highlight w:val="none"/>
          <w:lang w:val="en-US" w:eastAsia="zh-CN"/>
        </w:rPr>
        <w:t>服务方</w:t>
      </w:r>
      <w:r>
        <w:rPr>
          <w:rFonts w:hint="eastAsia" w:ascii="宋体" w:hAnsi="宋体" w:eastAsia="宋体" w:cs="宋体"/>
          <w:b w:val="0"/>
          <w:bCs w:val="0"/>
          <w:sz w:val="24"/>
          <w:szCs w:val="24"/>
          <w:highlight w:val="none"/>
          <w:lang w:val="en-US" w:eastAsia="zh-CN"/>
        </w:rPr>
        <w:t>应该充分考虑现场施工条件。</w:t>
      </w:r>
    </w:p>
    <w:p>
      <w:pPr>
        <w:spacing w:line="360" w:lineRule="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1.7 </w:t>
      </w:r>
      <w:r>
        <w:rPr>
          <w:rFonts w:hint="eastAsia" w:ascii="宋体" w:hAnsi="宋体" w:eastAsia="宋体" w:cs="宋体"/>
          <w:b w:val="0"/>
          <w:bCs w:val="0"/>
          <w:sz w:val="24"/>
          <w:szCs w:val="24"/>
          <w:highlight w:val="none"/>
          <w:lang w:val="en-US" w:eastAsia="zh-CN"/>
        </w:rPr>
        <w:t>Boiler #2 has been put into commercial operation in October 2023, and the service party should fully consider the on-site construction conditions.</w:t>
      </w:r>
    </w:p>
    <w:p>
      <w:pPr>
        <w:spacing w:line="360" w:lineRule="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w:t>
      </w:r>
      <w:r>
        <w:rPr>
          <w:rFonts w:hint="eastAsia" w:ascii="宋体" w:hAnsi="宋体" w:cs="宋体"/>
          <w:b w:val="0"/>
          <w:bCs w:val="0"/>
          <w:sz w:val="24"/>
          <w:szCs w:val="24"/>
          <w:highlight w:val="none"/>
          <w:lang w:val="en-US" w:eastAsia="zh-CN"/>
        </w:rPr>
        <w:t>8采购</w:t>
      </w:r>
      <w:r>
        <w:rPr>
          <w:rFonts w:hint="eastAsia" w:ascii="宋体" w:hAnsi="宋体" w:eastAsia="宋体" w:cs="宋体"/>
          <w:b w:val="0"/>
          <w:bCs w:val="0"/>
          <w:sz w:val="24"/>
          <w:szCs w:val="24"/>
          <w:highlight w:val="none"/>
          <w:lang w:val="en-US" w:eastAsia="zh-CN"/>
        </w:rPr>
        <w:t>方不组织现场踏勘，需要现场踏勘</w:t>
      </w:r>
      <w:r>
        <w:rPr>
          <w:rFonts w:hint="eastAsia" w:ascii="宋体" w:hAnsi="宋体" w:cs="宋体"/>
          <w:b w:val="0"/>
          <w:bCs w:val="0"/>
          <w:sz w:val="24"/>
          <w:szCs w:val="24"/>
          <w:highlight w:val="none"/>
          <w:lang w:val="en-US" w:eastAsia="zh-CN"/>
        </w:rPr>
        <w:t>服务</w:t>
      </w:r>
      <w:r>
        <w:rPr>
          <w:rFonts w:hint="eastAsia" w:ascii="宋体" w:hAnsi="宋体" w:eastAsia="宋体" w:cs="宋体"/>
          <w:b w:val="0"/>
          <w:bCs w:val="0"/>
          <w:sz w:val="24"/>
          <w:szCs w:val="24"/>
          <w:highlight w:val="none"/>
          <w:lang w:val="en-US" w:eastAsia="zh-CN"/>
        </w:rPr>
        <w:t>方自行负责。</w:t>
      </w:r>
    </w:p>
    <w:p>
      <w:pPr>
        <w:spacing w:line="360" w:lineRule="auto"/>
        <w:rPr>
          <w:rFonts w:hint="eastAsia" w:ascii="宋体" w:hAnsi="宋体" w:cs="宋体"/>
          <w:color w:val="auto"/>
          <w:sz w:val="24"/>
          <w:szCs w:val="24"/>
          <w:highlight w:val="none"/>
          <w:lang w:val="en-US" w:eastAsia="zh-CN"/>
        </w:rPr>
      </w:pPr>
      <w:r>
        <w:rPr>
          <w:rFonts w:hint="eastAsia" w:ascii="宋体" w:hAnsi="宋体" w:cs="宋体"/>
          <w:b w:val="0"/>
          <w:bCs w:val="0"/>
          <w:sz w:val="24"/>
          <w:szCs w:val="24"/>
          <w:highlight w:val="none"/>
          <w:lang w:val="en-US" w:eastAsia="zh-CN"/>
        </w:rPr>
        <w:t xml:space="preserve">1.8 </w:t>
      </w:r>
      <w:r>
        <w:rPr>
          <w:rFonts w:hint="eastAsia" w:ascii="宋体" w:hAnsi="宋体" w:eastAsia="宋体" w:cs="宋体"/>
          <w:b w:val="0"/>
          <w:bCs w:val="0"/>
          <w:sz w:val="24"/>
          <w:szCs w:val="24"/>
          <w:highlight w:val="none"/>
          <w:lang w:val="en-US" w:eastAsia="zh-CN"/>
        </w:rPr>
        <w:t>The purchaser shall not organize the site survey, and the service party shall be responsible for the site survey.</w:t>
      </w:r>
    </w:p>
    <w:p>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1.9</w:t>
      </w:r>
      <w:r>
        <w:rPr>
          <w:rFonts w:hint="eastAsia" w:ascii="宋体" w:hAnsi="宋体" w:eastAsia="宋体" w:cs="宋体"/>
          <w:color w:val="auto"/>
          <w:sz w:val="24"/>
          <w:szCs w:val="24"/>
          <w:highlight w:val="none"/>
          <w:lang w:eastAsia="zh-CN"/>
        </w:rPr>
        <w:t>本技术规范</w:t>
      </w:r>
      <w:r>
        <w:rPr>
          <w:rFonts w:hint="eastAsia" w:ascii="宋体" w:hAnsi="宋体" w:eastAsia="宋体" w:cs="宋体"/>
          <w:color w:val="auto"/>
          <w:sz w:val="24"/>
          <w:szCs w:val="24"/>
          <w:highlight w:val="none"/>
        </w:rPr>
        <w:t>为合同的附件，与合同正文具有同等效力。</w:t>
      </w:r>
    </w:p>
    <w:p>
      <w:pPr>
        <w:spacing w:line="360" w:lineRule="auto"/>
        <w:rPr>
          <w:rFonts w:hint="eastAsia" w:ascii="宋体" w:hAnsi="宋体" w:eastAsia="宋体" w:cs="宋体"/>
          <w:color w:val="auto"/>
          <w:sz w:val="28"/>
          <w:szCs w:val="28"/>
          <w:highlight w:val="none"/>
        </w:rPr>
      </w:pPr>
      <w:r>
        <w:rPr>
          <w:rFonts w:hint="eastAsia" w:ascii="宋体" w:hAnsi="宋体" w:cs="宋体"/>
          <w:color w:val="auto"/>
          <w:sz w:val="24"/>
          <w:szCs w:val="24"/>
          <w:highlight w:val="none"/>
          <w:lang w:val="en-US" w:eastAsia="zh-CN"/>
        </w:rPr>
        <w:t xml:space="preserve">1.9 </w:t>
      </w:r>
      <w:r>
        <w:rPr>
          <w:rFonts w:hint="eastAsia" w:ascii="宋体" w:hAnsi="宋体" w:eastAsia="宋体" w:cs="宋体"/>
          <w:color w:val="auto"/>
          <w:sz w:val="24"/>
          <w:szCs w:val="24"/>
          <w:highlight w:val="none"/>
        </w:rPr>
        <w:t>This technical specification is an appendix to the contract and has the same effect as the text of the contract.</w:t>
      </w:r>
    </w:p>
    <w:p>
      <w:pPr>
        <w:spacing w:line="360" w:lineRule="auto"/>
        <w:outlineLvl w:val="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2.电厂概况</w:t>
      </w:r>
    </w:p>
    <w:p>
      <w:pPr>
        <w:spacing w:line="360" w:lineRule="auto"/>
        <w:outlineLvl w:val="0"/>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 xml:space="preserve">2. </w:t>
      </w:r>
      <w:r>
        <w:rPr>
          <w:rFonts w:hint="eastAsia" w:ascii="宋体" w:hAnsi="宋体" w:eastAsia="宋体" w:cs="宋体"/>
          <w:b/>
          <w:bCs/>
          <w:color w:val="auto"/>
          <w:sz w:val="28"/>
          <w:szCs w:val="28"/>
          <w:highlight w:val="none"/>
          <w:lang w:val="en-US" w:eastAsia="zh-CN"/>
        </w:rPr>
        <w:t>Power plant profile</w:t>
      </w:r>
    </w:p>
    <w:p>
      <w:pPr>
        <w:spacing w:line="360" w:lineRule="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2.1厂址</w:t>
      </w:r>
      <w:r>
        <w:rPr>
          <w:rFonts w:hint="eastAsia" w:ascii="宋体" w:hAnsi="宋体" w:cs="宋体"/>
          <w:color w:val="auto"/>
          <w:sz w:val="24"/>
          <w:szCs w:val="24"/>
          <w:highlight w:val="none"/>
          <w:lang w:val="en-US" w:eastAsia="zh-CN"/>
        </w:rPr>
        <w:t>：</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2.1 the site [location] of a factory </w:t>
      </w:r>
    </w:p>
    <w:p>
      <w:pPr>
        <w:spacing w:line="360" w:lineRule="auto"/>
        <w:ind w:firstLine="240" w:firstLineChars="100"/>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厂址位于MUARA ENIM县以南Darmo镇东南约3.5km处。</w:t>
      </w:r>
    </w:p>
    <w:p>
      <w:pPr>
        <w:spacing w:line="360" w:lineRule="auto"/>
        <w:ind w:firstLine="240" w:firstLineChars="100"/>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The factory is located approximately 3.5km southeast of Darmo town, in the southern part of MUARA ENIM district.</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2.2</w:t>
      </w:r>
      <w:r>
        <w:rPr>
          <w:rFonts w:hint="eastAsia" w:ascii="宋体" w:hAnsi="宋体" w:cs="宋体"/>
          <w:b w:val="0"/>
          <w:color w:val="auto"/>
          <w:kern w:val="2"/>
          <w:sz w:val="24"/>
          <w:szCs w:val="24"/>
          <w:highlight w:val="none"/>
          <w:lang w:val="en-US" w:eastAsia="zh-CN" w:bidi="ar-SA"/>
        </w:rPr>
        <w:t>设备概况：</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cs="宋体"/>
          <w:b w:val="0"/>
          <w:color w:val="auto"/>
          <w:kern w:val="2"/>
          <w:sz w:val="24"/>
          <w:szCs w:val="24"/>
          <w:highlight w:val="none"/>
          <w:lang w:val="en-US" w:eastAsia="zh-CN" w:bidi="ar-SA"/>
        </w:rPr>
      </w:pPr>
      <w:r>
        <w:rPr>
          <w:rFonts w:hint="eastAsia" w:ascii="宋体" w:hAnsi="宋体" w:cs="宋体"/>
          <w:b w:val="0"/>
          <w:color w:val="auto"/>
          <w:kern w:val="2"/>
          <w:sz w:val="24"/>
          <w:szCs w:val="24"/>
          <w:highlight w:val="none"/>
          <w:lang w:val="en-US" w:eastAsia="zh-CN" w:bidi="ar-SA"/>
        </w:rPr>
        <w:t>2.2 Device Overview</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cs="宋体"/>
          <w:b w:val="0"/>
          <w:color w:val="auto"/>
          <w:kern w:val="2"/>
          <w:sz w:val="24"/>
          <w:szCs w:val="24"/>
          <w:highlight w:val="none"/>
          <w:lang w:val="en-US" w:eastAsia="zh-CN" w:bidi="ar-SA"/>
        </w:rPr>
      </w:pPr>
      <w:r>
        <w:rPr>
          <w:rFonts w:hint="eastAsia" w:ascii="宋体" w:hAnsi="宋体" w:cs="宋体"/>
          <w:b w:val="0"/>
          <w:color w:val="auto"/>
          <w:kern w:val="2"/>
          <w:sz w:val="24"/>
          <w:szCs w:val="24"/>
          <w:highlight w:val="none"/>
          <w:lang w:val="en-US" w:eastAsia="zh-CN" w:bidi="ar-SA"/>
        </w:rPr>
        <w:t>#2锅炉高温再热器管道235吊点，因为设计原因，在锅炉运行期间管道发生晃动，危及机组安全运行，与原设计单位江苏电力装备有限公司联系，江苏电力装备有限公司出具235吊点改造加固方案。</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color w:val="auto"/>
          <w:kern w:val="2"/>
          <w:sz w:val="24"/>
          <w:szCs w:val="24"/>
          <w:highlight w:val="none"/>
          <w:lang w:val="en-US" w:eastAsia="zh-CN" w:bidi="ar-SA"/>
        </w:rPr>
      </w:pPr>
      <w:r>
        <w:rPr>
          <w:rFonts w:hint="eastAsia" w:ascii="宋体" w:hAnsi="宋体" w:cs="宋体"/>
          <w:b w:val="0"/>
          <w:color w:val="auto"/>
          <w:kern w:val="2"/>
          <w:sz w:val="24"/>
          <w:szCs w:val="24"/>
          <w:highlight w:val="none"/>
          <w:lang w:val="en-US" w:eastAsia="zh-CN" w:bidi="ar-SA"/>
        </w:rPr>
        <w:t>#2 boiler high-temperature reheater pipeline 235 lifting point. Due to design reasons, the pipeline swayed during boiler operation, endangering the safe operation of the unit. Contact was made with the original design unit Jiangsu Electric Power Equipment Co., Ltd., which issued a reinforcement plan for the 235 lifting point.</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color w:val="auto"/>
          <w:sz w:val="24"/>
          <w:szCs w:val="24"/>
          <w:highlight w:val="none"/>
          <w:lang w:eastAsia="zh-CN"/>
        </w:rPr>
      </w:pPr>
    </w:p>
    <w:p>
      <w:pPr>
        <w:numPr>
          <w:ilvl w:val="0"/>
          <w:numId w:val="6"/>
        </w:numPr>
        <w:spacing w:line="360" w:lineRule="auto"/>
        <w:outlineLvl w:val="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工程范围及工作内容</w:t>
      </w:r>
    </w:p>
    <w:p>
      <w:pPr>
        <w:numPr>
          <w:ilvl w:val="-1"/>
          <w:numId w:val="0"/>
        </w:numPr>
        <w:spacing w:line="360" w:lineRule="auto"/>
        <w:outlineLvl w:val="0"/>
        <w:rPr>
          <w:rFonts w:hint="eastAsia" w:ascii="宋体" w:hAnsi="宋体" w:eastAsia="宋体" w:cs="宋体"/>
          <w:b/>
          <w:bCs/>
          <w:color w:val="auto"/>
          <w:sz w:val="28"/>
          <w:szCs w:val="28"/>
          <w:highlight w:val="none"/>
          <w:lang w:val="en-US" w:eastAsia="zh-CN"/>
        </w:rPr>
      </w:pPr>
      <w:r>
        <w:rPr>
          <w:rFonts w:hint="eastAsia" w:ascii="宋体" w:hAnsi="宋体" w:cs="宋体"/>
          <w:b/>
          <w:color w:val="auto"/>
          <w:sz w:val="28"/>
          <w:szCs w:val="28"/>
          <w:highlight w:val="none"/>
          <w:lang w:val="en-US" w:eastAsia="zh-CN"/>
        </w:rPr>
        <w:t>3.</w:t>
      </w:r>
      <w:r>
        <w:rPr>
          <w:rFonts w:hint="eastAsia" w:ascii="宋体" w:hAnsi="宋体" w:eastAsia="宋体" w:cs="宋体"/>
          <w:b/>
          <w:color w:val="auto"/>
          <w:sz w:val="28"/>
          <w:szCs w:val="28"/>
          <w:highlight w:val="none"/>
          <w:lang w:val="en-US" w:eastAsia="zh-CN"/>
        </w:rPr>
        <w:t>Project scope and work content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3.1工程范围</w:t>
      </w:r>
      <w:r>
        <w:rPr>
          <w:rFonts w:hint="eastAsia" w:ascii="宋体" w:hAnsi="宋体" w:cs="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3.1 works scope </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sz w:val="24"/>
          <w:szCs w:val="24"/>
          <w:highlight w:val="none"/>
          <w:lang w:val="en-US" w:eastAsia="zh-CN"/>
        </w:rPr>
        <w:t>玻雅分公司</w:t>
      </w:r>
      <w:r>
        <w:rPr>
          <w:rFonts w:hint="eastAsia" w:ascii="宋体" w:hAnsi="宋体" w:eastAsia="宋体" w:cs="宋体"/>
          <w:sz w:val="24"/>
          <w:szCs w:val="24"/>
          <w:highlight w:val="none"/>
          <w:lang w:eastAsia="zh-CN"/>
        </w:rPr>
        <w:t>2×6</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CN"/>
        </w:rPr>
        <w:t>0MW</w:t>
      </w:r>
      <w:r>
        <w:rPr>
          <w:rFonts w:hint="eastAsia" w:ascii="宋体" w:hAnsi="宋体" w:eastAsia="宋体" w:cs="宋体"/>
          <w:sz w:val="24"/>
          <w:szCs w:val="24"/>
          <w:highlight w:val="none"/>
          <w:lang w:val="en-US" w:eastAsia="zh-CN"/>
        </w:rPr>
        <w:t>燃煤</w:t>
      </w:r>
      <w:r>
        <w:rPr>
          <w:rFonts w:hint="eastAsia" w:ascii="宋体" w:hAnsi="宋体" w:eastAsia="宋体" w:cs="宋体"/>
          <w:sz w:val="24"/>
          <w:szCs w:val="24"/>
          <w:highlight w:val="none"/>
          <w:lang w:eastAsia="zh-CN"/>
        </w:rPr>
        <w:t>机组</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#2锅炉高温再热器管道235吊点加固</w:t>
      </w:r>
      <w:r>
        <w:rPr>
          <w:rFonts w:hint="eastAsia" w:ascii="宋体" w:hAnsi="宋体" w:eastAsia="宋体" w:cs="宋体"/>
          <w:sz w:val="24"/>
          <w:szCs w:val="24"/>
          <w:highlight w:val="none"/>
          <w:lang w:val="en-US" w:eastAsia="zh-CN"/>
        </w:rPr>
        <w:t>工作</w:t>
      </w:r>
      <w:r>
        <w:rPr>
          <w:rFonts w:hint="eastAsia" w:ascii="宋体" w:hAnsi="宋体" w:cs="宋体"/>
          <w:b w:val="0"/>
          <w:bCs w:val="0"/>
          <w:color w:val="auto"/>
          <w:sz w:val="24"/>
          <w:szCs w:val="24"/>
          <w:highlight w:val="none"/>
          <w:lang w:val="en-US" w:eastAsia="zh-CN"/>
        </w:rPr>
        <w:t>。The high temperature reheat pipe of boiler #2 in the 2×660MW coal-fired unit of Boga Branch was reinforced at 235 lifting points.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3.2主要工作内容</w:t>
      </w:r>
      <w:r>
        <w:rPr>
          <w:rFonts w:hint="eastAsia" w:ascii="宋体" w:hAnsi="宋体" w:cs="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3.2 Main work content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4"/>
          <w:szCs w:val="24"/>
          <w:highlight w:val="none"/>
          <w:lang w:val="en-US" w:eastAsia="zh-CN"/>
        </w:rPr>
      </w:pPr>
      <w:r>
        <w:rPr>
          <w:rFonts w:hint="eastAsia" w:ascii="宋体" w:hAnsi="宋体" w:eastAsia="宋体" w:cs="宋体"/>
          <w:color w:val="auto"/>
          <w:sz w:val="24"/>
          <w:szCs w:val="24"/>
          <w:highlight w:val="none"/>
          <w:lang w:val="en-US" w:eastAsia="zh-CN"/>
        </w:rPr>
        <w:t>3.2.1</w:t>
      </w:r>
      <w:r>
        <w:rPr>
          <w:rFonts w:hint="eastAsia" w:ascii="宋体" w:hAnsi="宋体" w:cs="宋体"/>
          <w:color w:val="auto"/>
          <w:sz w:val="24"/>
          <w:szCs w:val="24"/>
          <w:highlight w:val="none"/>
          <w:lang w:val="en-US" w:eastAsia="zh-CN"/>
        </w:rPr>
        <w:t>玻雅分公司</w:t>
      </w:r>
      <w:r>
        <w:rPr>
          <w:rFonts w:hint="eastAsia" w:ascii="宋体" w:hAnsi="宋体" w:eastAsia="宋体" w:cs="宋体"/>
          <w:sz w:val="24"/>
          <w:szCs w:val="24"/>
          <w:highlight w:val="none"/>
          <w:lang w:eastAsia="zh-CN"/>
        </w:rPr>
        <w:t>2×6</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CN"/>
        </w:rPr>
        <w:t>0MW</w:t>
      </w:r>
      <w:r>
        <w:rPr>
          <w:rFonts w:hint="eastAsia" w:ascii="宋体" w:hAnsi="宋体" w:eastAsia="宋体" w:cs="宋体"/>
          <w:sz w:val="24"/>
          <w:szCs w:val="24"/>
          <w:highlight w:val="none"/>
          <w:lang w:val="en-US" w:eastAsia="zh-CN"/>
        </w:rPr>
        <w:t>燃煤</w:t>
      </w:r>
      <w:r>
        <w:rPr>
          <w:rFonts w:hint="eastAsia" w:ascii="宋体" w:hAnsi="宋体" w:eastAsia="宋体" w:cs="宋体"/>
          <w:sz w:val="24"/>
          <w:szCs w:val="24"/>
          <w:highlight w:val="none"/>
          <w:lang w:eastAsia="zh-CN"/>
        </w:rPr>
        <w:t>机组</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#2锅炉高温再热器管道235吊点加固工作。235吊点位于锅炉侧标高约44.9m处，在41m～45m工作范围内，使用H型钢（H200mm</w:t>
      </w:r>
      <w:r>
        <w:rPr>
          <w:rFonts w:hint="eastAsia" w:ascii="宋体" w:hAnsi="宋体" w:cs="宋体"/>
          <w:sz w:val="24"/>
          <w:highlight w:val="none"/>
        </w:rPr>
        <w:t>×</w:t>
      </w:r>
      <w:r>
        <w:rPr>
          <w:rFonts w:hint="eastAsia" w:ascii="宋体" w:hAnsi="宋体" w:cs="宋体"/>
          <w:sz w:val="24"/>
          <w:highlight w:val="none"/>
          <w:lang w:val="en-US" w:eastAsia="zh-CN"/>
        </w:rPr>
        <w:t>200mm</w:t>
      </w:r>
      <w:r>
        <w:rPr>
          <w:rFonts w:hint="eastAsia" w:ascii="宋体" w:hAnsi="宋体" w:cs="宋体"/>
          <w:sz w:val="24"/>
          <w:highlight w:val="none"/>
        </w:rPr>
        <w:t>×</w:t>
      </w:r>
      <w:r>
        <w:rPr>
          <w:rFonts w:hint="eastAsia" w:ascii="宋体" w:hAnsi="宋体" w:cs="宋体"/>
          <w:sz w:val="24"/>
          <w:highlight w:val="none"/>
          <w:lang w:val="en-US" w:eastAsia="zh-CN"/>
        </w:rPr>
        <w:t>8mm</w:t>
      </w:r>
      <w:r>
        <w:rPr>
          <w:rFonts w:hint="eastAsia" w:ascii="宋体" w:hAnsi="宋体" w:cs="宋体"/>
          <w:sz w:val="24"/>
          <w:highlight w:val="none"/>
        </w:rPr>
        <w:t>×</w:t>
      </w:r>
      <w:r>
        <w:rPr>
          <w:rFonts w:hint="eastAsia" w:ascii="宋体" w:hAnsi="宋体" w:cs="宋体"/>
          <w:sz w:val="24"/>
          <w:highlight w:val="none"/>
          <w:lang w:val="en-US" w:eastAsia="zh-CN"/>
        </w:rPr>
        <w:t>12mm</w:t>
      </w:r>
      <w:r>
        <w:rPr>
          <w:rFonts w:hint="eastAsia" w:ascii="宋体" w:hAnsi="宋体" w:cs="宋体"/>
          <w:sz w:val="24"/>
          <w:szCs w:val="24"/>
          <w:highlight w:val="none"/>
          <w:lang w:val="en-US" w:eastAsia="zh-CN"/>
        </w:rPr>
        <w:t>），按设计加固方案（见附件）对235吊点进行加固。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sz w:val="24"/>
          <w:szCs w:val="24"/>
          <w:highlight w:val="none"/>
          <w:lang w:val="en-US" w:eastAsia="zh-CN"/>
        </w:rPr>
        <w:t>3.2.1 In the 2×660MW coal-fired unit of Boga Branch, the reinforcement work of the high-temperature reheater pipeline No.2 boiler was carried out. The 235 lifting point is located at the elevation of about 44.9m on the boiler side, within the working range of 41m～45m. H-shaped steel (H200mm×200mm×8mm×12mm) was used to reinforce the 235 lifting point according to the design reinforcement plan (see attachment).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3.2.2凡工作范围不清楚或有遗漏之处，以采购方生产技术部解释为准。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3.2.2 </w:t>
      </w:r>
      <w:r>
        <w:rPr>
          <w:rFonts w:hint="eastAsia" w:ascii="宋体" w:hAnsi="宋体" w:eastAsia="宋体" w:cs="宋体"/>
          <w:color w:val="auto"/>
          <w:sz w:val="24"/>
          <w:szCs w:val="24"/>
          <w:highlight w:val="none"/>
          <w:lang w:val="en-US" w:eastAsia="zh-CN"/>
        </w:rPr>
        <w:t>In case of any unclear or omitted scope of work, the explanation of the production and technology department of the purchaser shall prevail.</w:t>
      </w:r>
    </w:p>
    <w:p>
      <w:pPr>
        <w:spacing w:line="360" w:lineRule="auto"/>
        <w:outlineLvl w:val="0"/>
        <w:rPr>
          <w:rFonts w:hint="eastAsia" w:ascii="宋体" w:hAnsi="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4.服务期限</w:t>
      </w:r>
      <w:r>
        <w:rPr>
          <w:rFonts w:hint="eastAsia" w:ascii="宋体" w:hAnsi="宋体" w:cs="宋体"/>
          <w:b/>
          <w:color w:val="auto"/>
          <w:sz w:val="28"/>
          <w:szCs w:val="28"/>
          <w:highlight w:val="none"/>
          <w:lang w:val="en-US" w:eastAsia="zh-CN"/>
        </w:rPr>
        <w:t>及承包形式</w:t>
      </w:r>
    </w:p>
    <w:p>
      <w:pPr>
        <w:spacing w:line="360" w:lineRule="auto"/>
        <w:outlineLvl w:val="0"/>
        <w:rPr>
          <w:rFonts w:hint="default"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4.Service period and contracting form</w:t>
      </w:r>
    </w:p>
    <w:p>
      <w:pPr>
        <w:pageBreakBefore w:val="0"/>
        <w:kinsoku/>
        <w:wordWrap/>
        <w:overflowPunct/>
        <w:topLinePunct w:val="0"/>
        <w:autoSpaceDE/>
        <w:autoSpaceDN/>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4.1</w:t>
      </w:r>
      <w:r>
        <w:rPr>
          <w:rFonts w:hint="eastAsia" w:ascii="宋体" w:hAnsi="宋体" w:eastAsia="宋体" w:cs="宋体"/>
          <w:color w:val="auto"/>
          <w:sz w:val="24"/>
          <w:szCs w:val="24"/>
          <w:highlight w:val="none"/>
          <w:lang w:val="en-US" w:eastAsia="zh-CN"/>
        </w:rPr>
        <w:t>服务时间：</w:t>
      </w:r>
    </w:p>
    <w:p>
      <w:pPr>
        <w:pageBreakBefore w:val="0"/>
        <w:kinsoku/>
        <w:wordWrap/>
        <w:overflowPunct/>
        <w:topLinePunct w:val="0"/>
        <w:autoSpaceDE/>
        <w:autoSpaceDN/>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4.1</w:t>
      </w:r>
      <w:r>
        <w:rPr>
          <w:rFonts w:hint="eastAsia" w:ascii="宋体" w:hAnsi="宋体" w:eastAsia="宋体" w:cs="宋体"/>
          <w:color w:val="auto"/>
          <w:sz w:val="24"/>
          <w:szCs w:val="24"/>
          <w:highlight w:val="none"/>
          <w:lang w:val="en-US" w:eastAsia="zh-CN"/>
        </w:rPr>
        <w:t xml:space="preserve"> service time </w:t>
      </w:r>
    </w:p>
    <w:p>
      <w:pPr>
        <w:spacing w:line="360" w:lineRule="auto"/>
        <w:outlineLvl w:val="9"/>
        <w:rPr>
          <w:rFonts w:hint="eastAsia" w:ascii="宋体" w:hAnsi="宋体" w:cs="宋体"/>
          <w:sz w:val="24"/>
          <w:szCs w:val="24"/>
          <w:highlight w:val="none"/>
          <w:lang w:val="en-US" w:eastAsia="zh-CN"/>
        </w:rPr>
      </w:pPr>
      <w:r>
        <w:rPr>
          <w:rFonts w:hint="eastAsia" w:ascii="宋体" w:hAnsi="宋体" w:cs="宋体"/>
          <w:color w:val="auto"/>
          <w:sz w:val="24"/>
          <w:szCs w:val="24"/>
          <w:highlight w:val="none"/>
          <w:lang w:val="en-US" w:eastAsia="zh-CN"/>
        </w:rPr>
        <w:t>4.1.1合同签订后服务方立即准备所需工器具</w:t>
      </w:r>
      <w:r>
        <w:rPr>
          <w:rFonts w:hint="eastAsia" w:ascii="宋体" w:hAnsi="宋体" w:cs="宋体"/>
          <w:sz w:val="24"/>
          <w:szCs w:val="24"/>
          <w:highlight w:val="none"/>
          <w:lang w:val="en-US" w:eastAsia="zh-CN"/>
        </w:rPr>
        <w:t>，如焊机、手拉葫芦、钢丝绳、角磨机、工作电源、现场照明等。</w:t>
      </w:r>
    </w:p>
    <w:p>
      <w:pPr>
        <w:spacing w:line="360" w:lineRule="auto"/>
        <w:outlineLvl w:val="9"/>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4.1.1 After the contract is signed, the service provider will immediately prepare the required tools and equipment, such as welding machine, hand crane, steel wire rope, angle grinder, working power supply, site lighting, etc.</w:t>
      </w:r>
    </w:p>
    <w:p>
      <w:pPr>
        <w:spacing w:line="360" w:lineRule="auto"/>
        <w:outlineLvl w:val="9"/>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4.1.2 计划2025年12月，#2锅炉检查性大修期间开始高温再热器管道235吊点加固工作，工期10天。</w:t>
      </w:r>
    </w:p>
    <w:p>
      <w:pPr>
        <w:spacing w:line="360" w:lineRule="auto"/>
        <w:outlineLvl w:val="9"/>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4.1.2 It is planned that the reinforcement of 235 lifting points of high temperature reheat pipe will be started during the inspection overhaul of #2 boiler in December 2025, and the construction period will be 10 days.</w:t>
      </w:r>
    </w:p>
    <w:p>
      <w:pPr>
        <w:spacing w:line="360" w:lineRule="auto"/>
        <w:outlineLvl w:val="9"/>
        <w:rPr>
          <w:rFonts w:hint="eastAsia" w:ascii="宋体" w:hAnsi="宋体" w:eastAsia="宋体" w:cs="宋体"/>
          <w:color w:val="auto"/>
          <w:sz w:val="24"/>
          <w:szCs w:val="24"/>
          <w:highlight w:val="none"/>
        </w:rPr>
      </w:pPr>
      <w:r>
        <w:rPr>
          <w:rFonts w:hint="eastAsia" w:ascii="宋体" w:hAnsi="宋体" w:cs="宋体"/>
          <w:sz w:val="24"/>
          <w:szCs w:val="24"/>
          <w:highlight w:val="none"/>
          <w:lang w:val="en-US" w:eastAsia="zh-CN"/>
        </w:rPr>
        <w:t>4.1.3</w:t>
      </w:r>
      <w:r>
        <w:rPr>
          <w:rFonts w:hint="eastAsia" w:ascii="宋体" w:hAnsi="宋体" w:eastAsia="宋体" w:cs="宋体"/>
          <w:color w:val="auto"/>
          <w:sz w:val="24"/>
          <w:szCs w:val="24"/>
          <w:highlight w:val="none"/>
        </w:rPr>
        <w:t>具体起始日期以</w:t>
      </w:r>
      <w:r>
        <w:rPr>
          <w:rFonts w:hint="eastAsia" w:ascii="宋体" w:hAnsi="宋体" w:eastAsia="宋体" w:cs="宋体"/>
          <w:color w:val="auto"/>
          <w:sz w:val="24"/>
          <w:szCs w:val="24"/>
          <w:highlight w:val="none"/>
          <w:lang w:val="en-US" w:eastAsia="zh-CN"/>
        </w:rPr>
        <w:t>采购方</w:t>
      </w:r>
      <w:r>
        <w:rPr>
          <w:rFonts w:hint="eastAsia" w:ascii="宋体" w:hAnsi="宋体" w:eastAsia="宋体" w:cs="宋体"/>
          <w:color w:val="auto"/>
          <w:sz w:val="24"/>
          <w:szCs w:val="24"/>
          <w:highlight w:val="none"/>
        </w:rPr>
        <w:t>通知的日期为准。</w:t>
      </w:r>
    </w:p>
    <w:p>
      <w:pPr>
        <w:spacing w:line="360" w:lineRule="auto"/>
        <w:outlineLvl w:val="9"/>
        <w:rPr>
          <w:rFonts w:hint="default" w:ascii="宋体" w:hAnsi="宋体" w:cs="宋体"/>
          <w:sz w:val="24"/>
          <w:szCs w:val="24"/>
          <w:highlight w:val="none"/>
          <w:lang w:val="en-US" w:eastAsia="zh-CN"/>
        </w:rPr>
      </w:pPr>
      <w:r>
        <w:rPr>
          <w:rFonts w:hint="eastAsia" w:ascii="宋体" w:hAnsi="宋体" w:cs="宋体"/>
          <w:color w:val="auto"/>
          <w:sz w:val="24"/>
          <w:szCs w:val="24"/>
          <w:highlight w:val="none"/>
          <w:lang w:val="en-US" w:eastAsia="zh-CN"/>
        </w:rPr>
        <w:t xml:space="preserve">4.1.3 </w:t>
      </w:r>
      <w:r>
        <w:rPr>
          <w:rFonts w:hint="eastAsia" w:ascii="宋体" w:hAnsi="宋体" w:eastAsia="宋体" w:cs="宋体"/>
          <w:color w:val="auto"/>
          <w:sz w:val="24"/>
          <w:szCs w:val="24"/>
          <w:highlight w:val="none"/>
        </w:rPr>
        <w:t>The specific start date shall be subject to the date notified by the purchaser.</w:t>
      </w:r>
    </w:p>
    <w:p>
      <w:pPr>
        <w:spacing w:line="360" w:lineRule="auto"/>
        <w:outlineLvl w:val="0"/>
        <w:rPr>
          <w:rFonts w:hint="eastAsia" w:ascii="宋体" w:hAnsi="宋体" w:eastAsia="宋体" w:cs="宋体"/>
          <w:color w:val="auto"/>
          <w:sz w:val="24"/>
          <w:szCs w:val="24"/>
          <w:highlight w:val="none"/>
          <w:lang w:val="en-US" w:eastAsia="zh-CN"/>
        </w:rPr>
      </w:pPr>
      <w:r>
        <w:rPr>
          <w:rFonts w:hint="eastAsia" w:ascii="宋体" w:hAnsi="宋体" w:cs="宋体"/>
          <w:b w:val="0"/>
          <w:bCs/>
          <w:color w:val="auto"/>
          <w:sz w:val="24"/>
          <w:szCs w:val="24"/>
          <w:highlight w:val="none"/>
          <w:lang w:val="en-US" w:eastAsia="zh-CN"/>
        </w:rPr>
        <w:t>4.2</w:t>
      </w:r>
      <w:r>
        <w:rPr>
          <w:rFonts w:hint="eastAsia" w:ascii="宋体" w:hAnsi="宋体" w:eastAsia="宋体" w:cs="宋体"/>
          <w:b w:val="0"/>
          <w:bCs/>
          <w:color w:val="auto"/>
          <w:sz w:val="24"/>
          <w:szCs w:val="24"/>
          <w:highlight w:val="none"/>
          <w:lang w:val="en-US" w:eastAsia="zh-CN"/>
        </w:rPr>
        <w:t>承包形式：</w:t>
      </w:r>
      <w:r>
        <w:rPr>
          <w:rFonts w:hint="eastAsia" w:ascii="宋体" w:hAnsi="宋体" w:cs="宋体"/>
          <w:b w:val="0"/>
          <w:bCs/>
          <w:color w:val="auto"/>
          <w:sz w:val="24"/>
          <w:szCs w:val="24"/>
          <w:highlight w:val="none"/>
          <w:lang w:val="en-US" w:eastAsia="zh-CN"/>
        </w:rPr>
        <w:t>施工用</w:t>
      </w:r>
      <w:r>
        <w:rPr>
          <w:rFonts w:hint="eastAsia" w:ascii="宋体" w:hAnsi="宋体" w:cs="宋体"/>
          <w:color w:val="auto"/>
          <w:sz w:val="24"/>
          <w:szCs w:val="24"/>
          <w:highlight w:val="none"/>
          <w:lang w:val="en-US" w:eastAsia="zh-CN"/>
        </w:rPr>
        <w:t>材料H型钢</w:t>
      </w:r>
      <w:r>
        <w:rPr>
          <w:rFonts w:hint="eastAsia" w:ascii="宋体" w:hAnsi="宋体" w:cs="宋体"/>
          <w:sz w:val="24"/>
          <w:szCs w:val="24"/>
          <w:highlight w:val="none"/>
          <w:lang w:val="en-US" w:eastAsia="zh-CN"/>
        </w:rPr>
        <w:t>（H200mm</w:t>
      </w:r>
      <w:r>
        <w:rPr>
          <w:rFonts w:hint="eastAsia" w:ascii="宋体" w:hAnsi="宋体" w:cs="宋体"/>
          <w:sz w:val="24"/>
          <w:highlight w:val="none"/>
        </w:rPr>
        <w:t>×</w:t>
      </w:r>
      <w:r>
        <w:rPr>
          <w:rFonts w:hint="eastAsia" w:ascii="宋体" w:hAnsi="宋体" w:cs="宋体"/>
          <w:sz w:val="24"/>
          <w:highlight w:val="none"/>
          <w:lang w:val="en-US" w:eastAsia="zh-CN"/>
        </w:rPr>
        <w:t>200mm</w:t>
      </w:r>
      <w:r>
        <w:rPr>
          <w:rFonts w:hint="eastAsia" w:ascii="宋体" w:hAnsi="宋体" w:cs="宋体"/>
          <w:sz w:val="24"/>
          <w:highlight w:val="none"/>
        </w:rPr>
        <w:t>×</w:t>
      </w:r>
      <w:r>
        <w:rPr>
          <w:rFonts w:hint="eastAsia" w:ascii="宋体" w:hAnsi="宋体" w:cs="宋体"/>
          <w:sz w:val="24"/>
          <w:highlight w:val="none"/>
          <w:lang w:val="en-US" w:eastAsia="zh-CN"/>
        </w:rPr>
        <w:t>8mm</w:t>
      </w:r>
      <w:r>
        <w:rPr>
          <w:rFonts w:hint="eastAsia" w:ascii="宋体" w:hAnsi="宋体" w:cs="宋体"/>
          <w:sz w:val="24"/>
          <w:highlight w:val="none"/>
        </w:rPr>
        <w:t>×</w:t>
      </w:r>
      <w:r>
        <w:rPr>
          <w:rFonts w:hint="eastAsia" w:ascii="宋体" w:hAnsi="宋体" w:cs="宋体"/>
          <w:sz w:val="24"/>
          <w:highlight w:val="none"/>
          <w:lang w:val="en-US" w:eastAsia="zh-CN"/>
        </w:rPr>
        <w:t>12mm</w:t>
      </w:r>
      <w:r>
        <w:rPr>
          <w:rFonts w:hint="eastAsia" w:ascii="宋体" w:hAnsi="宋体" w:cs="宋体"/>
          <w:sz w:val="24"/>
          <w:szCs w:val="24"/>
          <w:highlight w:val="none"/>
          <w:lang w:val="en-US" w:eastAsia="zh-CN"/>
        </w:rPr>
        <w:t>）</w:t>
      </w:r>
      <w:r>
        <w:rPr>
          <w:rFonts w:hint="eastAsia" w:ascii="宋体" w:hAnsi="宋体" w:cs="宋体"/>
          <w:color w:val="auto"/>
          <w:sz w:val="24"/>
          <w:szCs w:val="24"/>
          <w:highlight w:val="none"/>
          <w:lang w:val="en-US" w:eastAsia="zh-CN"/>
        </w:rPr>
        <w:t>由采购方提供。施工用</w:t>
      </w:r>
      <w:r>
        <w:rPr>
          <w:rFonts w:hint="eastAsia" w:ascii="宋体" w:hAnsi="宋体" w:eastAsia="宋体" w:cs="宋体"/>
          <w:color w:val="auto"/>
          <w:sz w:val="24"/>
          <w:szCs w:val="24"/>
          <w:highlight w:val="none"/>
          <w:lang w:val="en-US" w:eastAsia="zh-CN"/>
        </w:rPr>
        <w:t>工器具</w:t>
      </w:r>
      <w:r>
        <w:rPr>
          <w:rFonts w:hint="eastAsia" w:ascii="宋体" w:hAnsi="宋体" w:cs="宋体"/>
          <w:color w:val="auto"/>
          <w:sz w:val="24"/>
          <w:szCs w:val="24"/>
          <w:highlight w:val="none"/>
          <w:lang w:val="en-US" w:eastAsia="zh-CN"/>
        </w:rPr>
        <w:t>、脚手架、</w:t>
      </w:r>
      <w:r>
        <w:rPr>
          <w:rFonts w:hint="eastAsia" w:ascii="宋体" w:hAnsi="宋体" w:cs="宋体"/>
          <w:sz w:val="24"/>
          <w:szCs w:val="24"/>
          <w:highlight w:val="none"/>
          <w:lang w:val="en-US" w:eastAsia="zh-CN"/>
        </w:rPr>
        <w:t>焊材、</w:t>
      </w:r>
      <w:r>
        <w:rPr>
          <w:rFonts w:hint="eastAsia" w:ascii="宋体" w:hAnsi="宋体" w:cs="宋体"/>
          <w:color w:val="auto"/>
          <w:sz w:val="24"/>
          <w:szCs w:val="24"/>
          <w:highlight w:val="none"/>
          <w:lang w:val="en-US" w:eastAsia="zh-CN"/>
        </w:rPr>
        <w:t>耗材、油漆等由服务方自理</w:t>
      </w:r>
      <w:r>
        <w:rPr>
          <w:rFonts w:hint="eastAsia" w:ascii="宋体" w:hAnsi="宋体" w:eastAsia="宋体" w:cs="宋体"/>
          <w:color w:val="auto"/>
          <w:sz w:val="24"/>
          <w:szCs w:val="24"/>
          <w:highlight w:val="none"/>
          <w:lang w:val="en-US" w:eastAsia="zh-CN"/>
        </w:rPr>
        <w:t>，劳保及安全防护用品自理，食宿自理。</w:t>
      </w:r>
    </w:p>
    <w:p>
      <w:pPr>
        <w:spacing w:line="360" w:lineRule="auto"/>
        <w:outlineLvl w:val="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4.2 </w:t>
      </w:r>
      <w:r>
        <w:rPr>
          <w:rFonts w:hint="eastAsia" w:ascii="宋体" w:hAnsi="宋体" w:eastAsia="宋体" w:cs="宋体"/>
          <w:color w:val="auto"/>
          <w:sz w:val="24"/>
          <w:szCs w:val="24"/>
          <w:highlight w:val="none"/>
          <w:lang w:val="en-US" w:eastAsia="zh-CN"/>
        </w:rPr>
        <w:t>Contract form: The H-beam steel (H200mm×200mm×8mm×12mm) for construction shall be provided by the purchaser. The service provider shall provide its own construction tools, scaffolding, welding materials, consumables, paint, labor protection and safety protective equipment, as well as self-provided accommodation and meals.</w:t>
      </w:r>
    </w:p>
    <w:p>
      <w:pPr>
        <w:spacing w:line="360" w:lineRule="auto"/>
        <w:outlineLvl w:val="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5.资质要求</w:t>
      </w:r>
    </w:p>
    <w:p>
      <w:pPr>
        <w:spacing w:line="360" w:lineRule="auto"/>
        <w:outlineLvl w:val="0"/>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 xml:space="preserve">5. </w:t>
      </w:r>
      <w:r>
        <w:rPr>
          <w:rFonts w:hint="eastAsia" w:ascii="宋体" w:hAnsi="宋体" w:eastAsia="宋体" w:cs="宋体"/>
          <w:b/>
          <w:color w:val="auto"/>
          <w:sz w:val="28"/>
          <w:szCs w:val="28"/>
          <w:highlight w:val="none"/>
          <w:lang w:val="en-US" w:eastAsia="zh-CN"/>
        </w:rPr>
        <w:t>Qualifications</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right="0" w:rightChars="0"/>
        <w:jc w:val="both"/>
        <w:textAlignment w:val="auto"/>
        <w:outlineLvl w:val="9"/>
        <w:rPr>
          <w:rFonts w:hint="eastAsia" w:ascii="宋体" w:hAnsi="宋体" w:cs="宋体"/>
          <w:b w:val="0"/>
          <w:bCs w:val="0"/>
          <w:sz w:val="24"/>
          <w:szCs w:val="24"/>
          <w:highlight w:val="none"/>
          <w:lang w:eastAsia="zh-CN"/>
        </w:rPr>
      </w:pPr>
      <w:r>
        <w:rPr>
          <w:rFonts w:hint="eastAsia" w:ascii="宋体" w:hAnsi="宋体" w:eastAsia="宋体" w:cs="宋体"/>
          <w:b w:val="0"/>
          <w:bCs w:val="0"/>
          <w:sz w:val="24"/>
          <w:szCs w:val="24"/>
          <w:highlight w:val="none"/>
          <w:lang w:val="en-US" w:eastAsia="zh-CN"/>
        </w:rPr>
        <w:t>5.1</w:t>
      </w:r>
      <w:r>
        <w:rPr>
          <w:rFonts w:hint="eastAsia" w:ascii="宋体" w:hAnsi="宋体" w:eastAsia="宋体" w:cs="宋体"/>
          <w:b w:val="0"/>
          <w:bCs w:val="0"/>
          <w:sz w:val="24"/>
          <w:szCs w:val="24"/>
          <w:highlight w:val="none"/>
          <w:lang w:eastAsia="zh-CN"/>
        </w:rPr>
        <w:t>服务方</w:t>
      </w:r>
      <w:r>
        <w:rPr>
          <w:rFonts w:hint="eastAsia" w:ascii="宋体" w:hAnsi="宋体" w:eastAsia="宋体" w:cs="宋体"/>
          <w:b w:val="0"/>
          <w:bCs w:val="0"/>
          <w:sz w:val="24"/>
          <w:szCs w:val="24"/>
          <w:highlight w:val="none"/>
          <w:lang w:val="en-US" w:eastAsia="zh-CN"/>
        </w:rPr>
        <w:t>资质</w:t>
      </w:r>
      <w:r>
        <w:rPr>
          <w:rFonts w:hint="eastAsia" w:ascii="宋体" w:hAnsi="宋体" w:eastAsia="宋体" w:cs="宋体"/>
          <w:b w:val="0"/>
          <w:bCs w:val="0"/>
          <w:sz w:val="24"/>
          <w:szCs w:val="24"/>
          <w:highlight w:val="none"/>
        </w:rPr>
        <w:t>要求</w:t>
      </w:r>
      <w:r>
        <w:rPr>
          <w:rFonts w:hint="eastAsia" w:ascii="宋体" w:hAnsi="宋体" w:cs="宋体"/>
          <w:b w:val="0"/>
          <w:bCs w:val="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0" w:right="0" w:rightChars="0"/>
        <w:jc w:val="both"/>
        <w:textAlignment w:val="auto"/>
        <w:outlineLvl w:val="9"/>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 xml:space="preserve">5.1 </w:t>
      </w:r>
      <w:r>
        <w:rPr>
          <w:rFonts w:hint="eastAsia" w:ascii="宋体" w:hAnsi="宋体" w:cs="宋体"/>
          <w:b w:val="0"/>
          <w:bCs w:val="0"/>
          <w:sz w:val="24"/>
          <w:szCs w:val="24"/>
          <w:highlight w:val="none"/>
          <w:lang w:eastAsia="zh-CN"/>
        </w:rPr>
        <w:t>Service provider qualification requirements</w:t>
      </w:r>
    </w:p>
    <w:p>
      <w:pPr>
        <w:adjustRightInd w:val="0"/>
        <w:snapToGrid w:val="0"/>
        <w:spacing w:line="360" w:lineRule="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5.1.1</w:t>
      </w:r>
      <w:r>
        <w:rPr>
          <w:rFonts w:hint="eastAsia" w:ascii="宋体" w:hAnsi="宋体" w:cs="宋体"/>
          <w:color w:val="auto"/>
          <w:sz w:val="24"/>
          <w:szCs w:val="24"/>
          <w:highlight w:val="none"/>
          <w:lang w:val="en-US" w:eastAsia="zh-CN"/>
        </w:rPr>
        <w:t>为印度尼西亚注册公司，具有独立法人资格，印尼境内注册的企业法人，能够独立承担民事责任。</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5.1.1 The company is a registered company in Indonesia, with independent legal personality, and a registered corporate entity in Indonesia, which can independently bear civil liability.</w:t>
      </w:r>
    </w:p>
    <w:p>
      <w:pPr>
        <w:adjustRightInd w:val="0"/>
        <w:snapToGrid w:val="0"/>
        <w:spacing w:line="360" w:lineRule="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5.1.2具有</w:t>
      </w:r>
      <w:r>
        <w:rPr>
          <w:rFonts w:hint="eastAsia" w:ascii="宋体" w:hAnsi="宋体" w:cs="宋体"/>
          <w:color w:val="auto"/>
          <w:sz w:val="24"/>
          <w:szCs w:val="24"/>
          <w:highlight w:val="none"/>
          <w:lang w:val="en-US" w:eastAsia="zh-CN"/>
        </w:rPr>
        <w:t>机电安装工程专业承包资质。</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5.1.2 Have the qualification of mechanical and electrical installation engineering professional contractor.</w:t>
      </w:r>
    </w:p>
    <w:p>
      <w:pPr>
        <w:spacing w:line="360" w:lineRule="auto"/>
        <w:outlineLvl w:val="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6.</w:t>
      </w:r>
      <w:r>
        <w:rPr>
          <w:rFonts w:hint="eastAsia" w:ascii="宋体" w:hAnsi="宋体" w:eastAsia="宋体" w:cs="宋体"/>
          <w:b/>
          <w:bCs/>
          <w:color w:val="auto"/>
          <w:sz w:val="28"/>
          <w:szCs w:val="28"/>
          <w:highlight w:val="none"/>
        </w:rPr>
        <w:t>遵循规范及要求</w:t>
      </w:r>
    </w:p>
    <w:p>
      <w:pPr>
        <w:spacing w:line="360" w:lineRule="auto"/>
        <w:outlineLvl w:val="0"/>
        <w:rPr>
          <w:rFonts w:hint="eastAsia" w:ascii="宋体" w:hAnsi="宋体" w:eastAsia="宋体" w:cs="宋体"/>
          <w:b/>
          <w:bCs/>
          <w:color w:val="auto"/>
          <w:sz w:val="28"/>
          <w:szCs w:val="28"/>
          <w:highlight w:val="none"/>
        </w:rPr>
      </w:pPr>
      <w:r>
        <w:rPr>
          <w:rFonts w:hint="eastAsia" w:ascii="宋体" w:hAnsi="宋体" w:cs="宋体"/>
          <w:b/>
          <w:bCs/>
          <w:color w:val="auto"/>
          <w:sz w:val="28"/>
          <w:szCs w:val="28"/>
          <w:highlight w:val="none"/>
          <w:lang w:val="en-US" w:eastAsia="zh-CN"/>
        </w:rPr>
        <w:t xml:space="preserve">6. </w:t>
      </w:r>
      <w:r>
        <w:rPr>
          <w:rFonts w:hint="eastAsia" w:ascii="宋体" w:hAnsi="宋体" w:eastAsia="宋体" w:cs="宋体"/>
          <w:b/>
          <w:bCs/>
          <w:color w:val="auto"/>
          <w:sz w:val="28"/>
          <w:szCs w:val="28"/>
          <w:highlight w:val="none"/>
        </w:rPr>
        <w:t>Follow specifications and requirements</w:t>
      </w:r>
    </w:p>
    <w:p>
      <w:pPr>
        <w:spacing w:line="360" w:lineRule="auto"/>
        <w:ind w:firstLine="480" w:firstLineChars="200"/>
        <w:rPr>
          <w:rFonts w:hint="eastAsia"/>
          <w:sz w:val="24"/>
          <w:szCs w:val="24"/>
          <w:highlight w:val="none"/>
        </w:rPr>
      </w:pPr>
      <w:r>
        <w:rPr>
          <w:rFonts w:hint="eastAsia"/>
          <w:sz w:val="24"/>
          <w:szCs w:val="24"/>
          <w:highlight w:val="none"/>
        </w:rPr>
        <w:t>本技术规范书提出的是最低限度的技术要求，并未对一切技术细节作出明确规定，也未充分引述有关标准和规范的条文。</w:t>
      </w:r>
      <w:r>
        <w:rPr>
          <w:rFonts w:hint="eastAsia"/>
          <w:sz w:val="24"/>
          <w:szCs w:val="24"/>
          <w:highlight w:val="none"/>
          <w:lang w:eastAsia="zh-CN"/>
        </w:rPr>
        <w:t>服务方</w:t>
      </w:r>
      <w:r>
        <w:rPr>
          <w:rFonts w:hint="eastAsia"/>
          <w:sz w:val="24"/>
          <w:szCs w:val="24"/>
          <w:highlight w:val="none"/>
        </w:rPr>
        <w:t>应遵守中华人民共和国及中华人民共和国相关行业下列规程、规范的规定，并以本技术规范书所确定的招标范围、内容和条件编写投标书面文件。</w:t>
      </w:r>
    </w:p>
    <w:p>
      <w:pPr>
        <w:spacing w:line="360" w:lineRule="auto"/>
        <w:ind w:firstLine="480" w:firstLineChars="200"/>
        <w:rPr>
          <w:rFonts w:hint="eastAsia"/>
          <w:sz w:val="24"/>
          <w:szCs w:val="24"/>
          <w:highlight w:val="none"/>
        </w:rPr>
      </w:pPr>
      <w:r>
        <w:rPr>
          <w:rFonts w:hint="eastAsia"/>
          <w:sz w:val="24"/>
          <w:szCs w:val="24"/>
          <w:highlight w:val="none"/>
        </w:rPr>
        <w:t>This technical specification outlines minimum technical requirements without specifying all technical details or fully referencing relevant standards and specifications. The service provider shall comply with the regulations of the People's Republic of China and its relevant industry standards, and prepare written tender documents in accordance with the scope, content, and conditions specified in this technical specification.</w:t>
      </w:r>
    </w:p>
    <w:p>
      <w:pPr>
        <w:spacing w:line="360" w:lineRule="auto"/>
        <w:rPr>
          <w:rFonts w:hint="eastAsia"/>
          <w:sz w:val="24"/>
          <w:szCs w:val="24"/>
          <w:highlight w:val="none"/>
        </w:rPr>
      </w:pPr>
      <w:r>
        <w:rPr>
          <w:rFonts w:hint="eastAsia"/>
          <w:sz w:val="24"/>
          <w:szCs w:val="24"/>
          <w:highlight w:val="none"/>
        </w:rPr>
        <w:t>应遵循国家、相关行业现行规程规范有：</w:t>
      </w:r>
    </w:p>
    <w:p>
      <w:pPr>
        <w:spacing w:line="360" w:lineRule="auto"/>
        <w:rPr>
          <w:rFonts w:hint="eastAsia"/>
          <w:sz w:val="24"/>
          <w:szCs w:val="24"/>
          <w:highlight w:val="none"/>
        </w:rPr>
      </w:pPr>
      <w:r>
        <w:rPr>
          <w:rFonts w:hint="eastAsia"/>
          <w:sz w:val="24"/>
          <w:szCs w:val="24"/>
          <w:highlight w:val="none"/>
        </w:rPr>
        <w:t>It shall comply with the current national and industry regulations</w:t>
      </w:r>
    </w:p>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DL/T 869-20</w:t>
      </w:r>
      <w:r>
        <w:rPr>
          <w:rFonts w:hint="eastAsia" w:ascii="宋体" w:hAnsi="宋体" w:cs="宋体"/>
          <w:sz w:val="24"/>
          <w:szCs w:val="24"/>
          <w:highlight w:val="none"/>
          <w:lang w:val="en-US" w:eastAsia="zh-CN"/>
        </w:rPr>
        <w:t>21</w:t>
      </w: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火力</w:t>
      </w:r>
      <w:r>
        <w:rPr>
          <w:rFonts w:hint="eastAsia" w:ascii="宋体" w:hAnsi="宋体" w:eastAsia="宋体" w:cs="宋体"/>
          <w:sz w:val="24"/>
          <w:szCs w:val="24"/>
          <w:highlight w:val="none"/>
        </w:rPr>
        <w:t>发电厂焊接技术规程》</w:t>
      </w:r>
    </w:p>
    <w:p>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DL</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 xml:space="preserve"> T 869-2021 Welding Technical Regulations for Thermal Power Plants</w:t>
      </w:r>
    </w:p>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DL/T 679-</w:t>
      </w:r>
      <w:r>
        <w:rPr>
          <w:rFonts w:hint="eastAsia" w:ascii="宋体" w:hAnsi="宋体" w:cs="宋体"/>
          <w:sz w:val="24"/>
          <w:szCs w:val="24"/>
          <w:highlight w:val="none"/>
          <w:lang w:val="en-US" w:eastAsia="zh-CN"/>
        </w:rPr>
        <w:t>2012</w:t>
      </w: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《焊工技术考核规程》</w:t>
      </w:r>
    </w:p>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DL</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 xml:space="preserve"> T 679-2012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Welding Technology Assessment Regulations</w:t>
      </w:r>
    </w:p>
    <w:p>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DL/T 868-2004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lang w:val="en-US" w:eastAsia="zh-CN"/>
        </w:rPr>
        <w:t>《焊接工艺评定规程》</w:t>
      </w:r>
    </w:p>
    <w:p>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DL</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 xml:space="preserve"> T 868-2004</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lang w:val="en-US" w:eastAsia="zh-CN"/>
        </w:rPr>
        <w:t xml:space="preserve"> Welding Process Assessment Code</w:t>
      </w:r>
    </w:p>
    <w:p>
      <w:pPr>
        <w:spacing w:line="360" w:lineRule="auto"/>
        <w:rPr>
          <w:rFonts w:hint="eastAsia" w:ascii="宋体" w:eastAsia="宋体" w:cs="宋体"/>
          <w:sz w:val="24"/>
          <w:szCs w:val="24"/>
          <w:highlight w:val="none"/>
          <w:lang w:val="en-US" w:eastAsia="zh-CN"/>
        </w:rPr>
      </w:pPr>
      <w:r>
        <w:rPr>
          <w:rFonts w:hint="eastAsia" w:ascii="宋体" w:eastAsia="宋体" w:cs="宋体"/>
          <w:sz w:val="24"/>
          <w:szCs w:val="24"/>
          <w:highlight w:val="none"/>
          <w:lang w:val="en-US" w:eastAsia="zh-CN"/>
        </w:rPr>
        <w:t xml:space="preserve">TSG51-2023       </w:t>
      </w:r>
      <w:r>
        <w:rPr>
          <w:rFonts w:hint="eastAsia" w:ascii="宋体" w:cs="宋体"/>
          <w:sz w:val="24"/>
          <w:szCs w:val="24"/>
          <w:highlight w:val="none"/>
          <w:lang w:val="en-US" w:eastAsia="zh-CN"/>
        </w:rPr>
        <w:t xml:space="preserve"> </w:t>
      </w:r>
      <w:r>
        <w:rPr>
          <w:rFonts w:hint="eastAsia" w:ascii="宋体" w:eastAsia="宋体" w:cs="宋体"/>
          <w:sz w:val="24"/>
          <w:szCs w:val="24"/>
          <w:highlight w:val="none"/>
          <w:lang w:val="en-US" w:eastAsia="zh-CN"/>
        </w:rPr>
        <w:t>《起重机械安全技术规程》</w:t>
      </w:r>
    </w:p>
    <w:p>
      <w:pPr>
        <w:spacing w:line="360" w:lineRule="auto"/>
        <w:rPr>
          <w:rFonts w:hint="default"/>
          <w:lang w:val="en-US" w:eastAsia="zh-CN"/>
        </w:rPr>
      </w:pPr>
      <w:r>
        <w:rPr>
          <w:rFonts w:hint="eastAsia" w:ascii="宋体" w:eastAsia="宋体" w:cs="宋体"/>
          <w:sz w:val="24"/>
          <w:szCs w:val="24"/>
          <w:highlight w:val="none"/>
          <w:lang w:val="en-US" w:eastAsia="zh-CN"/>
        </w:rPr>
        <w:t>TSG51-2023 Safety Technical Regulations for Lifting Machinery</w:t>
      </w:r>
    </w:p>
    <w:p>
      <w:pPr>
        <w:spacing w:line="360" w:lineRule="auto"/>
        <w:ind w:firstLine="0" w:firstLineChars="0"/>
        <w:rPr>
          <w:rFonts w:hint="eastAsia" w:ascii="宋体" w:hAnsi="宋体" w:cs="宋体"/>
          <w:sz w:val="24"/>
          <w:highlight w:val="none"/>
        </w:rPr>
      </w:pPr>
      <w:r>
        <w:rPr>
          <w:rFonts w:hint="eastAsia" w:ascii="宋体" w:hAnsi="宋体" w:cs="宋体"/>
          <w:sz w:val="24"/>
          <w:szCs w:val="24"/>
          <w:highlight w:val="none"/>
          <w:lang w:val="en-US" w:eastAsia="zh-CN"/>
        </w:rPr>
        <w:t xml:space="preserve">DL/T 616-2023     </w:t>
      </w:r>
      <w:r>
        <w:rPr>
          <w:rFonts w:hint="eastAsia" w:ascii="宋体" w:hAnsi="宋体" w:cs="宋体"/>
          <w:sz w:val="24"/>
          <w:highlight w:val="none"/>
        </w:rPr>
        <w:t>《</w:t>
      </w:r>
      <w:r>
        <w:rPr>
          <w:rFonts w:hint="eastAsia" w:ascii="宋体" w:hAnsi="宋体" w:cs="宋体"/>
          <w:sz w:val="24"/>
          <w:highlight w:val="none"/>
          <w:lang w:val="en-US" w:eastAsia="zh-CN"/>
        </w:rPr>
        <w:t>火力发电厂汽水管道与支吊架维修调整导则</w:t>
      </w:r>
      <w:r>
        <w:rPr>
          <w:rFonts w:hint="eastAsia" w:ascii="宋体" w:hAnsi="宋体" w:cs="宋体"/>
          <w:sz w:val="24"/>
          <w:highlight w:val="none"/>
        </w:rPr>
        <w:t>》</w:t>
      </w:r>
    </w:p>
    <w:p>
      <w:pPr>
        <w:spacing w:line="360" w:lineRule="auto"/>
        <w:ind w:firstLine="0" w:firstLineChars="0"/>
        <w:rPr>
          <w:rFonts w:hint="eastAsia" w:ascii="宋体" w:hAnsi="宋体" w:eastAsia="宋体" w:cs="宋体"/>
          <w:sz w:val="24"/>
          <w:szCs w:val="24"/>
          <w:highlight w:val="none"/>
          <w:lang w:val="en-US" w:eastAsia="zh-CN"/>
        </w:rPr>
      </w:pPr>
      <w:r>
        <w:rPr>
          <w:rFonts w:hint="eastAsia" w:ascii="宋体" w:hAnsi="宋体" w:cs="宋体"/>
          <w:sz w:val="24"/>
          <w:highlight w:val="none"/>
        </w:rPr>
        <w:t>DL/T 616-2023 Guidelines for Maintenance and Adjustment of Steam and Water Pipelines and Supports in Thermal Power Plants</w:t>
      </w:r>
    </w:p>
    <w:p>
      <w:pPr>
        <w:spacing w:line="360" w:lineRule="auto"/>
        <w:ind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《电业安全工作规程》（热力和机械部分）</w:t>
      </w:r>
    </w:p>
    <w:p>
      <w:pPr>
        <w:spacing w:line="360" w:lineRule="auto"/>
        <w:ind w:firstLine="0" w:firstLineChars="0"/>
        <w:rPr>
          <w:rFonts w:hint="eastAsia"/>
          <w:lang w:val="en-US" w:eastAsia="zh-CN"/>
        </w:rPr>
      </w:pPr>
      <w:r>
        <w:rPr>
          <w:rFonts w:hint="eastAsia" w:ascii="宋体" w:hAnsi="宋体" w:eastAsia="宋体" w:cs="宋体"/>
          <w:sz w:val="24"/>
          <w:szCs w:val="24"/>
          <w:highlight w:val="none"/>
          <w:lang w:val="en-US" w:eastAsia="zh-CN"/>
        </w:rPr>
        <w:t>Electric Power Safety Work Regulations (Thermal and Mechanical)</w:t>
      </w:r>
    </w:p>
    <w:p>
      <w:pPr>
        <w:numPr>
          <w:ilvl w:val="0"/>
          <w:numId w:val="0"/>
        </w:numPr>
        <w:spacing w:line="360" w:lineRule="auto"/>
        <w:outlineLvl w:val="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kern w:val="2"/>
          <w:sz w:val="28"/>
          <w:szCs w:val="28"/>
          <w:lang w:val="en-US" w:eastAsia="zh-CN" w:bidi="ar-SA"/>
        </w:rPr>
        <w:t>7.</w:t>
      </w:r>
      <w:r>
        <w:rPr>
          <w:rFonts w:hint="eastAsia" w:ascii="宋体" w:hAnsi="宋体" w:eastAsia="宋体" w:cs="宋体"/>
          <w:b/>
          <w:bCs/>
          <w:color w:val="auto"/>
          <w:sz w:val="28"/>
          <w:szCs w:val="28"/>
          <w:highlight w:val="none"/>
          <w:lang w:val="en-US" w:eastAsia="zh-CN"/>
        </w:rPr>
        <w:t xml:space="preserve">技术要求 </w:t>
      </w:r>
    </w:p>
    <w:p>
      <w:pPr>
        <w:numPr>
          <w:ilvl w:val="0"/>
          <w:numId w:val="0"/>
        </w:numPr>
        <w:spacing w:line="360" w:lineRule="auto"/>
        <w:outlineLvl w:val="0"/>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7.</w:t>
      </w:r>
      <w:r>
        <w:rPr>
          <w:rFonts w:hint="eastAsia" w:ascii="宋体" w:hAnsi="宋体" w:eastAsia="宋体" w:cs="宋体"/>
          <w:b/>
          <w:bCs/>
          <w:color w:val="auto"/>
          <w:sz w:val="28"/>
          <w:szCs w:val="28"/>
          <w:highlight w:val="none"/>
          <w:lang w:val="en-US" w:eastAsia="zh-CN"/>
        </w:rPr>
        <w:t xml:space="preserve"> technical requirement</w:t>
      </w:r>
    </w:p>
    <w:p>
      <w:pPr>
        <w:numPr>
          <w:ilvl w:val="0"/>
          <w:numId w:val="0"/>
        </w:numPr>
        <w:spacing w:line="360" w:lineRule="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7.1人员及检修队伍要求</w:t>
      </w:r>
      <w:r>
        <w:rPr>
          <w:rFonts w:hint="eastAsia" w:ascii="宋体" w:hAnsi="宋体" w:cs="宋体"/>
          <w:color w:val="auto"/>
          <w:sz w:val="24"/>
          <w:szCs w:val="24"/>
          <w:highlight w:val="none"/>
          <w:lang w:val="en-US" w:eastAsia="zh-CN"/>
        </w:rPr>
        <w:t>：</w:t>
      </w:r>
    </w:p>
    <w:p>
      <w:pPr>
        <w:numPr>
          <w:ilvl w:val="0"/>
          <w:numId w:val="0"/>
        </w:num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7.1 Personnel and maintenance team requirements</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7.1.1</w:t>
      </w:r>
      <w:r>
        <w:rPr>
          <w:rFonts w:hint="eastAsia" w:ascii="宋体" w:hAnsi="宋体" w:cs="宋体"/>
          <w:color w:val="auto"/>
          <w:sz w:val="24"/>
          <w:szCs w:val="24"/>
          <w:highlight w:val="none"/>
          <w:lang w:val="en-US" w:eastAsia="zh-CN"/>
        </w:rPr>
        <w:t>服务方</w:t>
      </w:r>
      <w:r>
        <w:rPr>
          <w:rFonts w:hint="eastAsia" w:ascii="宋体" w:hAnsi="宋体" w:eastAsia="宋体" w:cs="宋体"/>
          <w:color w:val="auto"/>
          <w:sz w:val="24"/>
          <w:szCs w:val="24"/>
          <w:highlight w:val="none"/>
          <w:lang w:val="en-US" w:eastAsia="zh-CN"/>
        </w:rPr>
        <w:t>工程技术人员和工作人员的素质符合本项目性质要求，</w:t>
      </w:r>
      <w:r>
        <w:rPr>
          <w:rFonts w:hint="eastAsia" w:ascii="宋体" w:hAnsi="宋体" w:cs="宋体"/>
          <w:color w:val="auto"/>
          <w:sz w:val="24"/>
          <w:szCs w:val="24"/>
          <w:highlight w:val="none"/>
          <w:lang w:val="en-US" w:eastAsia="zh-CN"/>
        </w:rPr>
        <w:t>服务方</w:t>
      </w:r>
      <w:r>
        <w:rPr>
          <w:rFonts w:hint="eastAsia" w:ascii="宋体" w:hAnsi="宋体" w:eastAsia="宋体" w:cs="宋体"/>
          <w:color w:val="auto"/>
          <w:sz w:val="24"/>
          <w:szCs w:val="24"/>
          <w:highlight w:val="none"/>
          <w:lang w:val="en-US" w:eastAsia="zh-CN"/>
        </w:rPr>
        <w:t>所有人员应具备一定的安全基础知识，能独立完成</w:t>
      </w: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lang w:val="en-US" w:eastAsia="zh-CN"/>
        </w:rPr>
        <w:t>方组织的各项培训、考试。</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7.1.1 </w:t>
      </w:r>
      <w:r>
        <w:rPr>
          <w:rFonts w:hint="eastAsia" w:ascii="宋体" w:hAnsi="宋体" w:eastAsia="宋体" w:cs="宋体"/>
          <w:color w:val="auto"/>
          <w:sz w:val="24"/>
          <w:szCs w:val="24"/>
          <w:highlight w:val="none"/>
          <w:lang w:val="en-US" w:eastAsia="zh-CN"/>
        </w:rPr>
        <w:t>The quality of the service provider's engineers and technicians meets the requirements of the nature of the project. All personnel of the service provider shall have a certain basic knowledge of safety, and be able to independently complete various training and examinations organized by the tenderee</w:t>
      </w:r>
    </w:p>
    <w:p>
      <w:pPr>
        <w:pStyle w:val="24"/>
        <w:widowControl/>
        <w:spacing w:line="360" w:lineRule="auto"/>
        <w:jc w:val="left"/>
        <w:rPr>
          <w:rFonts w:hint="eastAsia"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7.1.</w:t>
      </w:r>
      <w:r>
        <w:rPr>
          <w:rFonts w:hint="eastAsia" w:cs="宋体"/>
          <w:color w:val="auto"/>
          <w:sz w:val="24"/>
          <w:szCs w:val="24"/>
          <w:highlight w:val="none"/>
          <w:lang w:val="en-US" w:eastAsia="zh-CN"/>
        </w:rPr>
        <w:t>2</w:t>
      </w:r>
      <w:r>
        <w:rPr>
          <w:rFonts w:hint="eastAsia" w:eastAsia="宋体" w:cs="宋体"/>
          <w:color w:val="auto"/>
          <w:kern w:val="2"/>
          <w:sz w:val="24"/>
          <w:szCs w:val="24"/>
          <w:highlight w:val="none"/>
          <w:lang w:val="en-US" w:eastAsia="zh-CN" w:bidi="ar-SA"/>
        </w:rPr>
        <w:t>服务方</w:t>
      </w:r>
      <w:r>
        <w:rPr>
          <w:rFonts w:hint="eastAsia" w:cs="宋体"/>
          <w:color w:val="auto"/>
          <w:kern w:val="2"/>
          <w:sz w:val="24"/>
          <w:szCs w:val="24"/>
          <w:highlight w:val="none"/>
          <w:lang w:val="en-US" w:eastAsia="zh-CN" w:bidi="ar-SA"/>
        </w:rPr>
        <w:t>施工</w:t>
      </w:r>
      <w:r>
        <w:rPr>
          <w:rFonts w:hint="eastAsia" w:ascii="宋体" w:hAnsi="宋体" w:eastAsia="宋体" w:cs="宋体"/>
          <w:color w:val="auto"/>
          <w:kern w:val="2"/>
          <w:sz w:val="24"/>
          <w:szCs w:val="24"/>
          <w:highlight w:val="none"/>
          <w:lang w:val="en-US" w:eastAsia="zh-CN" w:bidi="ar-SA"/>
        </w:rPr>
        <w:t>人员数量必须满足现场工作需要。</w:t>
      </w:r>
      <w:r>
        <w:rPr>
          <w:rFonts w:hint="eastAsia" w:cs="宋体"/>
          <w:color w:val="auto"/>
          <w:kern w:val="2"/>
          <w:sz w:val="24"/>
          <w:szCs w:val="24"/>
          <w:highlight w:val="none"/>
          <w:lang w:val="en-US" w:eastAsia="zh-CN" w:bidi="ar-SA"/>
        </w:rPr>
        <w:t>施工</w:t>
      </w:r>
      <w:r>
        <w:rPr>
          <w:rFonts w:hint="eastAsia" w:ascii="宋体" w:hAnsi="宋体" w:eastAsia="宋体" w:cs="宋体"/>
          <w:color w:val="auto"/>
          <w:kern w:val="2"/>
          <w:sz w:val="24"/>
          <w:szCs w:val="24"/>
          <w:highlight w:val="none"/>
          <w:lang w:val="en-US" w:eastAsia="zh-CN" w:bidi="ar-SA"/>
        </w:rPr>
        <w:t>人员应具有丰富施工经验，掌握相关施工标准</w:t>
      </w:r>
      <w:r>
        <w:rPr>
          <w:rFonts w:hint="eastAsia" w:cs="宋体"/>
          <w:color w:val="auto"/>
          <w:kern w:val="2"/>
          <w:sz w:val="24"/>
          <w:szCs w:val="24"/>
          <w:highlight w:val="none"/>
          <w:lang w:val="en-US" w:eastAsia="zh-CN" w:bidi="ar-SA"/>
        </w:rPr>
        <w:t>。</w:t>
      </w:r>
    </w:p>
    <w:p>
      <w:pPr>
        <w:pStyle w:val="24"/>
        <w:widowControl/>
        <w:spacing w:line="360" w:lineRule="auto"/>
        <w:jc w:val="left"/>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val="en-US" w:eastAsia="zh-CN" w:bidi="ar-SA"/>
        </w:rPr>
        <w:t>7.1.2 The number of construction personnel on the service side must meet the needs of the site work. The construction personnel should have rich construction experience and master the relevant construction standards.</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w:t>
      </w:r>
      <w:r>
        <w:rPr>
          <w:rFonts w:hint="eastAsia" w:ascii="宋体" w:hAnsi="宋体" w:cs="宋体"/>
          <w:color w:val="auto"/>
          <w:sz w:val="24"/>
          <w:szCs w:val="24"/>
          <w:highlight w:val="none"/>
          <w:lang w:val="en-US" w:eastAsia="zh-CN"/>
        </w:rPr>
        <w:t>3服务方根据工作内容，合理安排</w:t>
      </w:r>
      <w:r>
        <w:rPr>
          <w:rFonts w:hint="eastAsia" w:ascii="宋体" w:hAnsi="宋体" w:eastAsia="宋体" w:cs="宋体"/>
          <w:color w:val="auto"/>
          <w:sz w:val="24"/>
          <w:szCs w:val="24"/>
          <w:highlight w:val="none"/>
          <w:lang w:val="en-US" w:eastAsia="zh-CN"/>
        </w:rPr>
        <w:t>相关专业技术的</w:t>
      </w:r>
      <w:r>
        <w:rPr>
          <w:rFonts w:hint="eastAsia" w:ascii="宋体" w:hAnsi="宋体" w:cs="宋体"/>
          <w:color w:val="auto"/>
          <w:sz w:val="24"/>
          <w:szCs w:val="24"/>
          <w:highlight w:val="none"/>
          <w:lang w:val="en-US" w:eastAsia="zh-CN"/>
        </w:rPr>
        <w:t>焊</w:t>
      </w:r>
      <w:r>
        <w:rPr>
          <w:rFonts w:hint="eastAsia" w:ascii="宋体" w:hAnsi="宋体" w:eastAsia="宋体" w:cs="宋体"/>
          <w:color w:val="auto"/>
          <w:sz w:val="24"/>
          <w:szCs w:val="24"/>
          <w:highlight w:val="none"/>
          <w:lang w:val="en-US" w:eastAsia="zh-CN"/>
        </w:rPr>
        <w:t>工</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起重工</w:t>
      </w:r>
      <w:r>
        <w:rPr>
          <w:rFonts w:hint="eastAsia" w:ascii="宋体" w:hAnsi="宋体" w:eastAsia="宋体" w:cs="宋体"/>
          <w:color w:val="auto"/>
          <w:sz w:val="24"/>
          <w:szCs w:val="24"/>
          <w:highlight w:val="none"/>
          <w:lang w:val="en-US" w:eastAsia="zh-CN"/>
        </w:rPr>
        <w:t>，并提供人员构成情况表，</w:t>
      </w:r>
      <w:r>
        <w:rPr>
          <w:rFonts w:hint="eastAsia" w:ascii="宋体" w:hAnsi="宋体" w:cs="宋体"/>
          <w:color w:val="auto"/>
          <w:sz w:val="24"/>
          <w:szCs w:val="24"/>
          <w:highlight w:val="none"/>
          <w:lang w:val="en-US" w:eastAsia="zh-CN"/>
        </w:rPr>
        <w:t>报采购方审批。</w:t>
      </w:r>
      <w:r>
        <w:rPr>
          <w:rFonts w:hint="eastAsia" w:ascii="宋体" w:hAnsi="宋体" w:eastAsia="宋体" w:cs="宋体"/>
          <w:color w:val="auto"/>
          <w:sz w:val="24"/>
          <w:szCs w:val="24"/>
          <w:highlight w:val="none"/>
          <w:lang w:val="en-US" w:eastAsia="zh-CN"/>
        </w:rPr>
        <w:t>特殊工种人员应附资质证书。</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7.1.3 </w:t>
      </w:r>
      <w:r>
        <w:rPr>
          <w:rFonts w:hint="eastAsia" w:ascii="宋体" w:hAnsi="宋体" w:eastAsia="宋体" w:cs="宋体"/>
          <w:color w:val="auto"/>
          <w:sz w:val="24"/>
          <w:szCs w:val="24"/>
          <w:highlight w:val="none"/>
          <w:lang w:val="en-US" w:eastAsia="zh-CN"/>
        </w:rPr>
        <w:t>According to the work content, the service provider shall reasonably arrange the welders and riggers with relevant professional skills, and provide the personnel composition table for approval by the purchaser. The special workers shall be attached with qualification certificates.</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从业施工人员</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 xml:space="preserve"> 男 55 周岁以内、女50 周岁以内、登高作业人员年龄不超过 50周岁。</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7.1.4 </w:t>
      </w:r>
      <w:r>
        <w:rPr>
          <w:rFonts w:hint="eastAsia" w:ascii="宋体" w:hAnsi="宋体" w:eastAsia="宋体" w:cs="宋体"/>
          <w:color w:val="auto"/>
          <w:sz w:val="24"/>
          <w:szCs w:val="24"/>
          <w:highlight w:val="none"/>
          <w:lang w:val="en-US" w:eastAsia="zh-CN"/>
        </w:rPr>
        <w:t>Construction personnel: male under 55 years old, female under 50 years old, high-altitude workers under 50 years old.</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检修工器具工作前到达现场，并向</w:t>
      </w:r>
      <w:r>
        <w:rPr>
          <w:rFonts w:hint="eastAsia" w:ascii="宋体" w:hAnsi="宋体" w:cs="宋体"/>
          <w:color w:val="auto"/>
          <w:sz w:val="24"/>
          <w:szCs w:val="24"/>
          <w:highlight w:val="none"/>
          <w:lang w:val="en-US" w:eastAsia="zh-CN"/>
        </w:rPr>
        <w:t>采购方</w:t>
      </w:r>
      <w:r>
        <w:rPr>
          <w:rFonts w:hint="eastAsia" w:ascii="宋体" w:hAnsi="宋体" w:eastAsia="宋体" w:cs="宋体"/>
          <w:color w:val="auto"/>
          <w:sz w:val="24"/>
          <w:szCs w:val="24"/>
          <w:highlight w:val="none"/>
          <w:lang w:val="en-US" w:eastAsia="zh-CN"/>
        </w:rPr>
        <w:t>提供检修工器具清册、检查检验报告，接受采购方检查、抽查。</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7.1.5 </w:t>
      </w:r>
      <w:r>
        <w:rPr>
          <w:rFonts w:hint="eastAsia" w:ascii="宋体" w:hAnsi="宋体" w:eastAsia="宋体" w:cs="宋体"/>
          <w:color w:val="auto"/>
          <w:sz w:val="24"/>
          <w:szCs w:val="24"/>
          <w:highlight w:val="none"/>
          <w:lang w:val="en-US" w:eastAsia="zh-CN"/>
        </w:rPr>
        <w:t>The maintenance tools shall arrive at the site before work, and provide the maintenance tools list and inspection report to the purchaser for inspection and spot check.</w:t>
      </w:r>
    </w:p>
    <w:p>
      <w:pP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7.1.6 服务方明确工作负责人及施工人员、人力资源配置表、施工方案，报采购方审批。项目经理和技术人员由中方人员承担。</w:t>
      </w:r>
    </w:p>
    <w:p>
      <w:pP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7.1.6 The service provider shall specify the project leader, construction personnel, human resource allocation table, and construction plan, and submit them to the purchaser for approval. The project manager and technical personnel shall be Chinese personnel.</w:t>
      </w:r>
    </w:p>
    <w:p>
      <w:pPr>
        <w:pStyle w:val="22"/>
        <w:ind w:firstLine="2880" w:firstLineChars="1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人力资源配置表</w:t>
      </w:r>
    </w:p>
    <w:p>
      <w:pPr>
        <w:pStyle w:val="22"/>
        <w:ind w:firstLine="1920" w:firstLineChars="8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Human resources staffing table</w:t>
      </w:r>
    </w:p>
    <w:tbl>
      <w:tblPr>
        <w:tblStyle w:val="18"/>
        <w:tblpPr w:leftFromText="180" w:rightFromText="180" w:vertAnchor="text" w:tblpX="358" w:tblpY="330"/>
        <w:tblOverlap w:val="never"/>
        <w:tblW w:w="6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
        <w:gridCol w:w="1388"/>
        <w:gridCol w:w="1287"/>
        <w:gridCol w:w="1450"/>
        <w:gridCol w:w="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1312"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岗位 Position</w:t>
            </w:r>
          </w:p>
        </w:tc>
        <w:tc>
          <w:tcPr>
            <w:tcW w:w="1388"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人员资质Personnel qualifications</w:t>
            </w:r>
          </w:p>
        </w:tc>
        <w:tc>
          <w:tcPr>
            <w:tcW w:w="1287"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中方人数Number of Chinese Personnel</w:t>
            </w:r>
          </w:p>
        </w:tc>
        <w:tc>
          <w:tcPr>
            <w:tcW w:w="1450"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印尼方人数Number of Indonesian Personnel</w:t>
            </w:r>
          </w:p>
        </w:tc>
        <w:tc>
          <w:tcPr>
            <w:tcW w:w="988"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备注 Remark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1312"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项目经理project manager</w:t>
            </w:r>
          </w:p>
        </w:tc>
        <w:tc>
          <w:tcPr>
            <w:tcW w:w="1388" w:type="dxa"/>
          </w:tcPr>
          <w:p>
            <w:pPr>
              <w:pStyle w:val="22"/>
              <w:jc w:val="both"/>
              <w:rPr>
                <w:rFonts w:hint="default" w:ascii="宋体" w:hAnsi="宋体" w:cs="宋体"/>
                <w:color w:val="auto"/>
                <w:sz w:val="24"/>
                <w:szCs w:val="24"/>
                <w:highlight w:val="none"/>
                <w:lang w:val="en-US" w:eastAsia="zh-CN"/>
              </w:rPr>
            </w:pPr>
          </w:p>
        </w:tc>
        <w:tc>
          <w:tcPr>
            <w:tcW w:w="1287" w:type="dxa"/>
          </w:tcPr>
          <w:p>
            <w:pPr>
              <w:pStyle w:val="22"/>
              <w:jc w:val="both"/>
              <w:rPr>
                <w:rFonts w:hint="default" w:ascii="宋体" w:hAnsi="宋体" w:cs="宋体"/>
                <w:color w:val="auto"/>
                <w:sz w:val="24"/>
                <w:szCs w:val="24"/>
                <w:highlight w:val="none"/>
                <w:lang w:val="en-US" w:eastAsia="zh-CN"/>
              </w:rPr>
            </w:pPr>
          </w:p>
        </w:tc>
        <w:tc>
          <w:tcPr>
            <w:tcW w:w="1450" w:type="dxa"/>
          </w:tcPr>
          <w:p>
            <w:pPr>
              <w:pStyle w:val="22"/>
              <w:jc w:val="both"/>
              <w:rPr>
                <w:rFonts w:hint="default" w:ascii="宋体" w:hAnsi="宋体" w:cs="宋体"/>
                <w:color w:val="auto"/>
                <w:sz w:val="24"/>
                <w:szCs w:val="24"/>
                <w:highlight w:val="none"/>
                <w:lang w:val="en-US" w:eastAsia="zh-CN"/>
              </w:rPr>
            </w:pPr>
          </w:p>
        </w:tc>
        <w:tc>
          <w:tcPr>
            <w:tcW w:w="988" w:type="dxa"/>
          </w:tcPr>
          <w:p>
            <w:pPr>
              <w:pStyle w:val="22"/>
              <w:jc w:val="both"/>
              <w:rPr>
                <w:rFonts w:hint="default" w:ascii="宋体" w:hAnsi="宋体" w:cs="宋体"/>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1312"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技术员Technician</w:t>
            </w:r>
          </w:p>
        </w:tc>
        <w:tc>
          <w:tcPr>
            <w:tcW w:w="1388" w:type="dxa"/>
          </w:tcPr>
          <w:p>
            <w:pPr>
              <w:pStyle w:val="22"/>
              <w:jc w:val="both"/>
              <w:rPr>
                <w:rFonts w:hint="default" w:ascii="宋体" w:hAnsi="宋体" w:cs="宋体"/>
                <w:color w:val="auto"/>
                <w:sz w:val="24"/>
                <w:szCs w:val="24"/>
                <w:highlight w:val="none"/>
                <w:lang w:val="en-US" w:eastAsia="zh-CN"/>
              </w:rPr>
            </w:pPr>
          </w:p>
        </w:tc>
        <w:tc>
          <w:tcPr>
            <w:tcW w:w="1287" w:type="dxa"/>
          </w:tcPr>
          <w:p>
            <w:pPr>
              <w:pStyle w:val="22"/>
              <w:jc w:val="both"/>
              <w:rPr>
                <w:rFonts w:hint="default" w:ascii="宋体" w:hAnsi="宋体" w:cs="宋体"/>
                <w:color w:val="auto"/>
                <w:sz w:val="24"/>
                <w:szCs w:val="24"/>
                <w:highlight w:val="none"/>
                <w:lang w:val="en-US" w:eastAsia="zh-CN"/>
              </w:rPr>
            </w:pPr>
          </w:p>
        </w:tc>
        <w:tc>
          <w:tcPr>
            <w:tcW w:w="1450" w:type="dxa"/>
          </w:tcPr>
          <w:p>
            <w:pPr>
              <w:pStyle w:val="22"/>
              <w:jc w:val="both"/>
              <w:rPr>
                <w:rFonts w:hint="default" w:ascii="宋体" w:hAnsi="宋体" w:cs="宋体"/>
                <w:color w:val="auto"/>
                <w:sz w:val="24"/>
                <w:szCs w:val="24"/>
                <w:highlight w:val="none"/>
                <w:lang w:val="en-US" w:eastAsia="zh-CN"/>
              </w:rPr>
            </w:pPr>
          </w:p>
        </w:tc>
        <w:tc>
          <w:tcPr>
            <w:tcW w:w="988" w:type="dxa"/>
          </w:tcPr>
          <w:p>
            <w:pPr>
              <w:pStyle w:val="22"/>
              <w:jc w:val="both"/>
              <w:rPr>
                <w:rFonts w:hint="default" w:ascii="宋体" w:hAnsi="宋体" w:cs="宋体"/>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1312"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焊工Welder</w:t>
            </w:r>
          </w:p>
        </w:tc>
        <w:tc>
          <w:tcPr>
            <w:tcW w:w="1388" w:type="dxa"/>
          </w:tcPr>
          <w:p>
            <w:pPr>
              <w:pStyle w:val="22"/>
              <w:jc w:val="both"/>
              <w:rPr>
                <w:rFonts w:hint="default" w:ascii="宋体" w:hAnsi="宋体" w:cs="宋体"/>
                <w:color w:val="auto"/>
                <w:sz w:val="24"/>
                <w:szCs w:val="24"/>
                <w:highlight w:val="none"/>
                <w:lang w:val="en-US" w:eastAsia="zh-CN"/>
              </w:rPr>
            </w:pPr>
          </w:p>
        </w:tc>
        <w:tc>
          <w:tcPr>
            <w:tcW w:w="1287" w:type="dxa"/>
          </w:tcPr>
          <w:p>
            <w:pPr>
              <w:pStyle w:val="22"/>
              <w:jc w:val="both"/>
              <w:rPr>
                <w:rFonts w:hint="default" w:ascii="宋体" w:hAnsi="宋体" w:cs="宋体"/>
                <w:color w:val="auto"/>
                <w:sz w:val="24"/>
                <w:szCs w:val="24"/>
                <w:highlight w:val="none"/>
                <w:lang w:val="en-US" w:eastAsia="zh-CN"/>
              </w:rPr>
            </w:pPr>
          </w:p>
        </w:tc>
        <w:tc>
          <w:tcPr>
            <w:tcW w:w="1450" w:type="dxa"/>
          </w:tcPr>
          <w:p>
            <w:pPr>
              <w:pStyle w:val="22"/>
              <w:jc w:val="both"/>
              <w:rPr>
                <w:rFonts w:hint="default" w:ascii="宋体" w:hAnsi="宋体" w:cs="宋体"/>
                <w:color w:val="auto"/>
                <w:sz w:val="24"/>
                <w:szCs w:val="24"/>
                <w:highlight w:val="none"/>
                <w:lang w:val="en-US" w:eastAsia="zh-CN"/>
              </w:rPr>
            </w:pPr>
          </w:p>
        </w:tc>
        <w:tc>
          <w:tcPr>
            <w:tcW w:w="988" w:type="dxa"/>
          </w:tcPr>
          <w:p>
            <w:pPr>
              <w:pStyle w:val="22"/>
              <w:jc w:val="both"/>
              <w:rPr>
                <w:rFonts w:hint="default" w:ascii="宋体" w:hAnsi="宋体" w:cs="宋体"/>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1312"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起重工Rigger</w:t>
            </w:r>
          </w:p>
        </w:tc>
        <w:tc>
          <w:tcPr>
            <w:tcW w:w="1388" w:type="dxa"/>
          </w:tcPr>
          <w:p>
            <w:pPr>
              <w:pStyle w:val="22"/>
              <w:jc w:val="both"/>
              <w:rPr>
                <w:rFonts w:hint="default" w:ascii="宋体" w:hAnsi="宋体" w:cs="宋体"/>
                <w:color w:val="auto"/>
                <w:sz w:val="24"/>
                <w:szCs w:val="24"/>
                <w:highlight w:val="none"/>
                <w:lang w:val="en-US" w:eastAsia="zh-CN"/>
              </w:rPr>
            </w:pPr>
          </w:p>
        </w:tc>
        <w:tc>
          <w:tcPr>
            <w:tcW w:w="1287" w:type="dxa"/>
          </w:tcPr>
          <w:p>
            <w:pPr>
              <w:pStyle w:val="22"/>
              <w:jc w:val="both"/>
              <w:rPr>
                <w:rFonts w:hint="default" w:ascii="宋体" w:hAnsi="宋体" w:cs="宋体"/>
                <w:color w:val="auto"/>
                <w:sz w:val="24"/>
                <w:szCs w:val="24"/>
                <w:highlight w:val="none"/>
                <w:lang w:val="en-US" w:eastAsia="zh-CN"/>
              </w:rPr>
            </w:pPr>
          </w:p>
        </w:tc>
        <w:tc>
          <w:tcPr>
            <w:tcW w:w="1450" w:type="dxa"/>
          </w:tcPr>
          <w:p>
            <w:pPr>
              <w:pStyle w:val="22"/>
              <w:jc w:val="both"/>
              <w:rPr>
                <w:rFonts w:hint="default" w:ascii="宋体" w:hAnsi="宋体" w:cs="宋体"/>
                <w:color w:val="auto"/>
                <w:sz w:val="24"/>
                <w:szCs w:val="24"/>
                <w:highlight w:val="none"/>
                <w:lang w:val="en-US" w:eastAsia="zh-CN"/>
              </w:rPr>
            </w:pPr>
          </w:p>
        </w:tc>
        <w:tc>
          <w:tcPr>
            <w:tcW w:w="988" w:type="dxa"/>
          </w:tcPr>
          <w:p>
            <w:pPr>
              <w:pStyle w:val="22"/>
              <w:jc w:val="both"/>
              <w:rPr>
                <w:rFonts w:hint="default" w:ascii="宋体" w:hAnsi="宋体" w:cs="宋体"/>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1312"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电工Electrician</w:t>
            </w:r>
          </w:p>
        </w:tc>
        <w:tc>
          <w:tcPr>
            <w:tcW w:w="1388" w:type="dxa"/>
          </w:tcPr>
          <w:p>
            <w:pPr>
              <w:pStyle w:val="22"/>
              <w:jc w:val="both"/>
              <w:rPr>
                <w:rFonts w:hint="default" w:ascii="宋体" w:hAnsi="宋体" w:cs="宋体"/>
                <w:color w:val="auto"/>
                <w:sz w:val="24"/>
                <w:szCs w:val="24"/>
                <w:highlight w:val="none"/>
                <w:lang w:val="en-US" w:eastAsia="zh-CN"/>
              </w:rPr>
            </w:pPr>
          </w:p>
        </w:tc>
        <w:tc>
          <w:tcPr>
            <w:tcW w:w="1287" w:type="dxa"/>
          </w:tcPr>
          <w:p>
            <w:pPr>
              <w:pStyle w:val="22"/>
              <w:jc w:val="both"/>
              <w:rPr>
                <w:rFonts w:hint="default" w:ascii="宋体" w:hAnsi="宋体" w:cs="宋体"/>
                <w:color w:val="auto"/>
                <w:sz w:val="24"/>
                <w:szCs w:val="24"/>
                <w:highlight w:val="none"/>
                <w:lang w:val="en-US" w:eastAsia="zh-CN"/>
              </w:rPr>
            </w:pPr>
          </w:p>
        </w:tc>
        <w:tc>
          <w:tcPr>
            <w:tcW w:w="1450" w:type="dxa"/>
          </w:tcPr>
          <w:p>
            <w:pPr>
              <w:pStyle w:val="22"/>
              <w:jc w:val="both"/>
              <w:rPr>
                <w:rFonts w:hint="default" w:ascii="宋体" w:hAnsi="宋体" w:cs="宋体"/>
                <w:color w:val="auto"/>
                <w:sz w:val="24"/>
                <w:szCs w:val="24"/>
                <w:highlight w:val="none"/>
                <w:lang w:val="en-US" w:eastAsia="zh-CN"/>
              </w:rPr>
            </w:pPr>
          </w:p>
        </w:tc>
        <w:tc>
          <w:tcPr>
            <w:tcW w:w="988" w:type="dxa"/>
          </w:tcPr>
          <w:p>
            <w:pPr>
              <w:pStyle w:val="22"/>
              <w:jc w:val="both"/>
              <w:rPr>
                <w:rFonts w:hint="default" w:ascii="宋体" w:hAnsi="宋体" w:cs="宋体"/>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1312" w:type="dxa"/>
          </w:tcPr>
          <w:p>
            <w:pPr>
              <w:pStyle w:val="22"/>
              <w:jc w:val="both"/>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钳工Fitter</w:t>
            </w:r>
          </w:p>
        </w:tc>
        <w:tc>
          <w:tcPr>
            <w:tcW w:w="1388" w:type="dxa"/>
          </w:tcPr>
          <w:p>
            <w:pPr>
              <w:pStyle w:val="22"/>
              <w:jc w:val="both"/>
              <w:rPr>
                <w:rFonts w:hint="default" w:ascii="宋体" w:hAnsi="宋体" w:cs="宋体"/>
                <w:color w:val="auto"/>
                <w:sz w:val="24"/>
                <w:szCs w:val="24"/>
                <w:highlight w:val="none"/>
                <w:lang w:val="en-US" w:eastAsia="zh-CN"/>
              </w:rPr>
            </w:pPr>
          </w:p>
        </w:tc>
        <w:tc>
          <w:tcPr>
            <w:tcW w:w="1287" w:type="dxa"/>
          </w:tcPr>
          <w:p>
            <w:pPr>
              <w:pStyle w:val="22"/>
              <w:jc w:val="both"/>
              <w:rPr>
                <w:rFonts w:hint="default" w:ascii="宋体" w:hAnsi="宋体" w:cs="宋体"/>
                <w:color w:val="auto"/>
                <w:sz w:val="24"/>
                <w:szCs w:val="24"/>
                <w:highlight w:val="none"/>
                <w:lang w:val="en-US" w:eastAsia="zh-CN"/>
              </w:rPr>
            </w:pPr>
          </w:p>
        </w:tc>
        <w:tc>
          <w:tcPr>
            <w:tcW w:w="1450" w:type="dxa"/>
          </w:tcPr>
          <w:p>
            <w:pPr>
              <w:pStyle w:val="22"/>
              <w:jc w:val="both"/>
              <w:rPr>
                <w:rFonts w:hint="default" w:ascii="宋体" w:hAnsi="宋体" w:cs="宋体"/>
                <w:color w:val="auto"/>
                <w:sz w:val="24"/>
                <w:szCs w:val="24"/>
                <w:highlight w:val="none"/>
                <w:lang w:val="en-US" w:eastAsia="zh-CN"/>
              </w:rPr>
            </w:pPr>
          </w:p>
        </w:tc>
        <w:tc>
          <w:tcPr>
            <w:tcW w:w="988" w:type="dxa"/>
          </w:tcPr>
          <w:p>
            <w:pPr>
              <w:pStyle w:val="22"/>
              <w:jc w:val="both"/>
              <w:rPr>
                <w:rFonts w:hint="default" w:ascii="宋体" w:hAnsi="宋体" w:cs="宋体"/>
                <w:color w:val="auto"/>
                <w:sz w:val="24"/>
                <w:szCs w:val="24"/>
                <w:highlight w:val="none"/>
                <w:lang w:val="en-US" w:eastAsia="zh-CN"/>
              </w:rPr>
            </w:pPr>
          </w:p>
        </w:tc>
      </w:tr>
    </w:tbl>
    <w:p>
      <w:pPr>
        <w:pStyle w:val="22"/>
        <w:rPr>
          <w:rFonts w:hint="default" w:ascii="宋体" w:hAnsi="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sz w:val="24"/>
          <w:szCs w:val="24"/>
          <w:highlight w:val="none"/>
          <w:lang w:val="en-US" w:eastAsia="zh-CN"/>
        </w:rPr>
      </w:pPr>
    </w:p>
    <w:p>
      <w:pP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7.2</w:t>
      </w:r>
      <w:r>
        <w:rPr>
          <w:rFonts w:hint="eastAsia" w:ascii="宋体" w:hAnsi="宋体" w:cs="宋体"/>
          <w:color w:val="auto"/>
          <w:sz w:val="24"/>
          <w:szCs w:val="24"/>
          <w:highlight w:val="none"/>
          <w:lang w:val="en-US" w:eastAsia="zh-CN"/>
        </w:rPr>
        <w:t>高温再热器管道235吊点技术措施及要求</w:t>
      </w:r>
    </w:p>
    <w:p>
      <w:pP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7.2 Technical measures and requirements for lifting point of high temperature reheat pipe 235</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7.2.1</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机组停运，管道</w:t>
      </w:r>
      <w:r>
        <w:rPr>
          <w:rFonts w:hint="eastAsia" w:ascii="宋体" w:hAnsi="宋体" w:cs="宋体"/>
          <w:b w:val="0"/>
          <w:bCs w:val="0"/>
          <w:color w:val="auto"/>
          <w:sz w:val="24"/>
          <w:szCs w:val="24"/>
          <w:highlight w:val="none"/>
          <w:lang w:val="en-US" w:eastAsia="zh-CN"/>
        </w:rPr>
        <w:t>状态为冷态</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开工申请审批完成，办理好工作票后方可施工。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7.2.1 #2 unit is out of service, the pipeline is cold, the application for starting work is approved, and the work ticket can be handled before construction.</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7.2.2采购方</w:t>
      </w:r>
      <w:r>
        <w:rPr>
          <w:rFonts w:hint="eastAsia" w:ascii="宋体" w:hAnsi="宋体" w:eastAsia="宋体" w:cs="宋体"/>
          <w:b w:val="0"/>
          <w:bCs w:val="0"/>
          <w:color w:val="auto"/>
          <w:sz w:val="24"/>
          <w:szCs w:val="24"/>
          <w:highlight w:val="none"/>
          <w:lang w:val="en-US" w:eastAsia="zh-CN"/>
        </w:rPr>
        <w:t>派安全监督人员对参加检修作业的所有人员进行安全技术交底；检修单位工作负责人开工前现场对工作</w:t>
      </w:r>
      <w:r>
        <w:rPr>
          <w:rFonts w:hint="eastAsia" w:ascii="宋体" w:hAnsi="宋体" w:cs="宋体"/>
          <w:b w:val="0"/>
          <w:bCs w:val="0"/>
          <w:color w:val="auto"/>
          <w:sz w:val="24"/>
          <w:szCs w:val="24"/>
          <w:highlight w:val="none"/>
          <w:lang w:val="en-US" w:eastAsia="zh-CN"/>
        </w:rPr>
        <w:t>组人</w:t>
      </w:r>
      <w:r>
        <w:rPr>
          <w:rFonts w:hint="eastAsia" w:ascii="宋体" w:hAnsi="宋体" w:eastAsia="宋体" w:cs="宋体"/>
          <w:b w:val="0"/>
          <w:bCs w:val="0"/>
          <w:color w:val="auto"/>
          <w:sz w:val="24"/>
          <w:szCs w:val="24"/>
          <w:highlight w:val="none"/>
          <w:lang w:val="en-US" w:eastAsia="zh-CN"/>
        </w:rPr>
        <w:t>员进行二次交底；</w:t>
      </w:r>
      <w:r>
        <w:rPr>
          <w:rFonts w:hint="eastAsia" w:ascii="宋体" w:hAnsi="宋体" w:cs="宋体"/>
          <w:b w:val="0"/>
          <w:bCs w:val="0"/>
          <w:color w:val="auto"/>
          <w:sz w:val="24"/>
          <w:szCs w:val="24"/>
          <w:highlight w:val="none"/>
          <w:lang w:val="en-US" w:eastAsia="zh-CN"/>
        </w:rPr>
        <w:t>采购方</w:t>
      </w:r>
      <w:r>
        <w:rPr>
          <w:rFonts w:hint="eastAsia" w:ascii="宋体" w:hAnsi="宋体" w:eastAsia="宋体" w:cs="宋体"/>
          <w:b w:val="0"/>
          <w:bCs w:val="0"/>
          <w:color w:val="auto"/>
          <w:sz w:val="24"/>
          <w:szCs w:val="24"/>
          <w:highlight w:val="none"/>
          <w:lang w:val="en-US" w:eastAsia="zh-CN"/>
        </w:rPr>
        <w:t>安全监督人员，全程进行安全监督，发现违章行为，立即制止。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7.2.2 </w:t>
      </w:r>
      <w:r>
        <w:rPr>
          <w:rFonts w:hint="eastAsia" w:ascii="宋体" w:hAnsi="宋体" w:eastAsia="宋体" w:cs="宋体"/>
          <w:b w:val="0"/>
          <w:bCs w:val="0"/>
          <w:color w:val="auto"/>
          <w:sz w:val="24"/>
          <w:szCs w:val="24"/>
          <w:highlight w:val="none"/>
          <w:lang w:val="en-US" w:eastAsia="zh-CN"/>
        </w:rPr>
        <w:t>The purchasing party shall dispatch safety supervisors to conduct safety briefings for all maintenance personnel. The maintenance unit's supervisor shall provide a second briefing to the team before work commencement. The purchasing party's safety supervisors shall monitor the entire process and immediately halt any violations.</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7.2.3</w:t>
      </w:r>
      <w:r>
        <w:rPr>
          <w:rFonts w:hint="eastAsia" w:ascii="宋体" w:hAnsi="宋体" w:eastAsia="宋体" w:cs="宋体"/>
          <w:b w:val="0"/>
          <w:bCs w:val="0"/>
          <w:color w:val="auto"/>
          <w:sz w:val="24"/>
          <w:szCs w:val="24"/>
          <w:highlight w:val="none"/>
          <w:lang w:val="en-US" w:eastAsia="zh-CN"/>
        </w:rPr>
        <w:t>将H型钢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H200×200×8×12</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运输至锅炉5楼炉前侧平台上。</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7.2.3 </w:t>
      </w:r>
      <w:r>
        <w:rPr>
          <w:rFonts w:hint="eastAsia" w:ascii="宋体" w:hAnsi="宋体" w:eastAsia="宋体" w:cs="宋体"/>
          <w:b w:val="0"/>
          <w:bCs w:val="0"/>
          <w:color w:val="auto"/>
          <w:sz w:val="24"/>
          <w:szCs w:val="24"/>
          <w:highlight w:val="none"/>
          <w:lang w:val="en-US" w:eastAsia="zh-CN"/>
        </w:rPr>
        <w:t>Transport the H-beam (H200×200×8×12) to the front platform of Boiler 5.</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7.2.4 </w:t>
      </w:r>
      <w:r>
        <w:rPr>
          <w:rFonts w:hint="eastAsia" w:ascii="宋体" w:hAnsi="宋体" w:eastAsia="宋体" w:cs="宋体"/>
          <w:b w:val="0"/>
          <w:bCs w:val="0"/>
          <w:color w:val="auto"/>
          <w:sz w:val="24"/>
          <w:szCs w:val="24"/>
          <w:highlight w:val="none"/>
          <w:lang w:val="en-US" w:eastAsia="zh-CN"/>
        </w:rPr>
        <w:t>H型钢吊装。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7.2.4 </w:t>
      </w:r>
      <w:r>
        <w:rPr>
          <w:rFonts w:hint="eastAsia" w:ascii="宋体" w:hAnsi="宋体" w:eastAsia="宋体" w:cs="宋体"/>
          <w:b w:val="0"/>
          <w:bCs w:val="0"/>
          <w:color w:val="auto"/>
          <w:sz w:val="24"/>
          <w:szCs w:val="24"/>
          <w:highlight w:val="none"/>
          <w:lang w:val="en-US" w:eastAsia="zh-CN"/>
        </w:rPr>
        <w:t>H-beam lifting</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7.2.4.1</w:t>
      </w:r>
      <w:r>
        <w:rPr>
          <w:rFonts w:hint="eastAsia" w:ascii="宋体" w:hAnsi="宋体" w:eastAsia="宋体" w:cs="宋体"/>
          <w:b w:val="0"/>
          <w:bCs w:val="0"/>
          <w:color w:val="auto"/>
          <w:sz w:val="24"/>
          <w:szCs w:val="24"/>
          <w:highlight w:val="none"/>
          <w:lang w:val="en-US" w:eastAsia="zh-CN"/>
        </w:rPr>
        <w:t>吊装前，检查吊装索具合格，正确捆绑，观察、了解吊装环境。</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7.2.4.1 </w:t>
      </w:r>
      <w:r>
        <w:rPr>
          <w:rFonts w:hint="eastAsia" w:ascii="宋体" w:hAnsi="宋体" w:eastAsia="宋体" w:cs="宋体"/>
          <w:b w:val="0"/>
          <w:bCs w:val="0"/>
          <w:color w:val="auto"/>
          <w:sz w:val="24"/>
          <w:szCs w:val="24"/>
          <w:highlight w:val="none"/>
          <w:lang w:val="en-US" w:eastAsia="zh-CN"/>
        </w:rPr>
        <w:t>Before lifting, check that the lifting rig is qualified and correctly tied, observe and understand the lifting environment.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7.2.4.2</w:t>
      </w:r>
      <w:r>
        <w:rPr>
          <w:rFonts w:hint="eastAsia" w:ascii="宋体" w:hAnsi="宋体" w:eastAsia="宋体" w:cs="宋体"/>
          <w:b w:val="0"/>
          <w:bCs w:val="0"/>
          <w:color w:val="auto"/>
          <w:sz w:val="24"/>
          <w:szCs w:val="24"/>
          <w:highlight w:val="none"/>
          <w:lang w:val="en-US" w:eastAsia="zh-CN"/>
        </w:rPr>
        <w:t>钢丝绳外观，打结或扭曲、散股或断丝超出规定要求的不得使用。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7.2.4.2 </w:t>
      </w:r>
      <w:r>
        <w:rPr>
          <w:rFonts w:hint="eastAsia" w:ascii="宋体" w:hAnsi="宋体" w:eastAsia="宋体" w:cs="宋体"/>
          <w:b w:val="0"/>
          <w:bCs w:val="0"/>
          <w:color w:val="auto"/>
          <w:sz w:val="24"/>
          <w:szCs w:val="24"/>
          <w:highlight w:val="none"/>
          <w:lang w:val="en-US" w:eastAsia="zh-CN"/>
        </w:rPr>
        <w:t xml:space="preserve">The steel wire rope shall not be used if it is knotted or twisted, loose or broken beyond the specified requirements.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7.2.4.3</w:t>
      </w:r>
      <w:r>
        <w:rPr>
          <w:rFonts w:hint="eastAsia" w:ascii="宋体" w:hAnsi="宋体" w:eastAsia="宋体" w:cs="宋体"/>
          <w:b w:val="0"/>
          <w:bCs w:val="0"/>
          <w:color w:val="auto"/>
          <w:sz w:val="24"/>
          <w:szCs w:val="24"/>
          <w:highlight w:val="none"/>
          <w:lang w:val="en-US" w:eastAsia="zh-CN"/>
        </w:rPr>
        <w:t>吊装前确认脚手架搭设合格，并签字验收。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7.2.4.3 </w:t>
      </w:r>
      <w:r>
        <w:rPr>
          <w:rFonts w:hint="eastAsia" w:ascii="宋体" w:hAnsi="宋体" w:eastAsia="宋体" w:cs="宋体"/>
          <w:b w:val="0"/>
          <w:bCs w:val="0"/>
          <w:color w:val="auto"/>
          <w:sz w:val="24"/>
          <w:szCs w:val="24"/>
          <w:highlight w:val="none"/>
          <w:lang w:val="en-US" w:eastAsia="zh-CN"/>
        </w:rPr>
        <w:t>Confirm that the scaffolding is qualified before lifting, and sign for acceptance.</w:t>
      </w:r>
    </w:p>
    <w:p>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7.2.4.4</w:t>
      </w:r>
      <w:r>
        <w:rPr>
          <w:rFonts w:hint="eastAsia" w:ascii="宋体" w:hAnsi="宋体" w:eastAsia="宋体" w:cs="宋体"/>
          <w:b w:val="0"/>
          <w:bCs w:val="0"/>
          <w:color w:val="auto"/>
          <w:sz w:val="24"/>
          <w:szCs w:val="24"/>
          <w:highlight w:val="none"/>
          <w:lang w:val="en-US" w:eastAsia="zh-CN"/>
        </w:rPr>
        <w:t>吊装及检修作业人员必须正确佩戴合格的安全带，并高挂低用。</w:t>
      </w:r>
    </w:p>
    <w:p>
      <w:pPr>
        <w:spacing w:line="360" w:lineRule="auto"/>
        <w:rPr>
          <w:rFonts w:hint="eastAsia" w:ascii="宋体" w:hAnsi="宋体" w:cs="宋体"/>
          <w:color w:val="auto"/>
          <w:sz w:val="24"/>
          <w:highlight w:val="none"/>
          <w:lang w:val="en-US" w:eastAsia="zh-CN"/>
        </w:rPr>
      </w:pPr>
      <w:r>
        <w:rPr>
          <w:rFonts w:hint="eastAsia" w:ascii="宋体" w:hAnsi="宋体" w:cs="宋体"/>
          <w:b w:val="0"/>
          <w:bCs w:val="0"/>
          <w:color w:val="auto"/>
          <w:sz w:val="24"/>
          <w:szCs w:val="24"/>
          <w:highlight w:val="none"/>
          <w:lang w:val="en-US" w:eastAsia="zh-CN"/>
        </w:rPr>
        <w:t xml:space="preserve">7.2.4.4 </w:t>
      </w:r>
      <w:r>
        <w:rPr>
          <w:rFonts w:hint="eastAsia" w:ascii="宋体" w:hAnsi="宋体" w:eastAsia="宋体" w:cs="宋体"/>
          <w:b w:val="0"/>
          <w:bCs w:val="0"/>
          <w:color w:val="auto"/>
          <w:sz w:val="24"/>
          <w:szCs w:val="24"/>
          <w:highlight w:val="none"/>
          <w:lang w:val="en-US" w:eastAsia="zh-CN"/>
        </w:rPr>
        <w:t>The lifting and maintenance personnel must wear the qualified safety belt correctly, and use it high and low.</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7.2.4.5</w:t>
      </w:r>
      <w:r>
        <w:rPr>
          <w:rFonts w:hint="eastAsia" w:ascii="宋体" w:hAnsi="宋体" w:eastAsia="宋体" w:cs="宋体"/>
          <w:b w:val="0"/>
          <w:bCs w:val="0"/>
          <w:color w:val="auto"/>
          <w:sz w:val="24"/>
          <w:szCs w:val="24"/>
          <w:highlight w:val="none"/>
          <w:lang w:val="en-US" w:eastAsia="zh-CN"/>
        </w:rPr>
        <w:t>吊装过程中使用牵引绳，防止H型钢摆动过大。</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7.2.4.5 </w:t>
      </w:r>
      <w:r>
        <w:rPr>
          <w:rFonts w:hint="eastAsia" w:ascii="宋体" w:hAnsi="宋体" w:eastAsia="宋体" w:cs="宋体"/>
          <w:b w:val="0"/>
          <w:bCs w:val="0"/>
          <w:color w:val="auto"/>
          <w:sz w:val="24"/>
          <w:szCs w:val="24"/>
          <w:highlight w:val="none"/>
          <w:lang w:val="en-US" w:eastAsia="zh-CN"/>
        </w:rPr>
        <w:t>Use a tow rope during the lifting process to prevent excessive swing of the H-beam.</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7.2.4.6</w:t>
      </w:r>
      <w:r>
        <w:rPr>
          <w:rFonts w:hint="eastAsia" w:ascii="宋体" w:hAnsi="宋体" w:eastAsia="宋体" w:cs="宋体"/>
          <w:b w:val="0"/>
          <w:bCs w:val="0"/>
          <w:color w:val="auto"/>
          <w:sz w:val="24"/>
          <w:szCs w:val="24"/>
          <w:highlight w:val="none"/>
          <w:lang w:val="en-US" w:eastAsia="zh-CN"/>
        </w:rPr>
        <w:t>在H型钢的吊装作业过程中，手拉葫芦要挂在牢固可靠的钢结构上，禁止挂在设备、管道和不具备吊装点的地方。</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7.2.4.6 </w:t>
      </w:r>
      <w:r>
        <w:rPr>
          <w:rFonts w:hint="eastAsia" w:ascii="宋体" w:hAnsi="宋体" w:eastAsia="宋体" w:cs="宋体"/>
          <w:b w:val="0"/>
          <w:bCs w:val="0"/>
          <w:color w:val="auto"/>
          <w:sz w:val="24"/>
          <w:szCs w:val="24"/>
          <w:highlight w:val="none"/>
          <w:lang w:val="en-US" w:eastAsia="zh-CN"/>
        </w:rPr>
        <w:t>During the hoisting of H-shaped steel, the hand hoist should be hung on the firm and reliable steel structure, and should not be hung on equipment, pipelines or places without lifting points.</w:t>
      </w:r>
    </w:p>
    <w:p>
      <w:pPr>
        <w:keepNext w:val="0"/>
        <w:keepLines w:val="0"/>
        <w:pageBreakBefore w:val="0"/>
        <w:kinsoku/>
        <w:wordWrap/>
        <w:overflowPunct/>
        <w:topLinePunct w:val="0"/>
        <w:autoSpaceDE/>
        <w:autoSpaceDN/>
        <w:bidi w:val="0"/>
        <w:adjustRightInd/>
        <w:snapToGrid/>
        <w:spacing w:line="360" w:lineRule="auto"/>
        <w:ind w:right="0" w:rightChars="0" w:firstLine="0" w:firstLineChars="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7.2.5</w:t>
      </w:r>
      <w:r>
        <w:rPr>
          <w:rFonts w:hint="eastAsia" w:ascii="宋体" w:hAnsi="宋体" w:eastAsia="宋体" w:cs="宋体"/>
          <w:b w:val="0"/>
          <w:bCs w:val="0"/>
          <w:color w:val="auto"/>
          <w:sz w:val="24"/>
          <w:szCs w:val="24"/>
          <w:highlight w:val="none"/>
          <w:lang w:val="en-US" w:eastAsia="zh-CN"/>
        </w:rPr>
        <w:t>吊点支撑焊接</w:t>
      </w:r>
    </w:p>
    <w:p>
      <w:pPr>
        <w:keepNext w:val="0"/>
        <w:keepLines w:val="0"/>
        <w:pageBreakBefore w:val="0"/>
        <w:kinsoku/>
        <w:wordWrap/>
        <w:overflowPunct/>
        <w:topLinePunct w:val="0"/>
        <w:autoSpaceDE/>
        <w:autoSpaceDN/>
        <w:bidi w:val="0"/>
        <w:adjustRightInd/>
        <w:snapToGrid/>
        <w:spacing w:line="360" w:lineRule="auto"/>
        <w:ind w:right="0" w:rightChars="0" w:firstLine="0" w:firstLineChars="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7.2.5 </w:t>
      </w:r>
      <w:r>
        <w:rPr>
          <w:rFonts w:hint="eastAsia" w:ascii="宋体" w:hAnsi="宋体" w:eastAsia="宋体" w:cs="宋体"/>
          <w:b w:val="0"/>
          <w:bCs w:val="0"/>
          <w:color w:val="auto"/>
          <w:sz w:val="24"/>
          <w:szCs w:val="24"/>
          <w:highlight w:val="none"/>
          <w:lang w:val="en-US" w:eastAsia="zh-CN"/>
        </w:rPr>
        <w:t>Dip butt welding</w:t>
      </w:r>
    </w:p>
    <w:p>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cs="宋体"/>
          <w:i w:val="0"/>
          <w:caps w:val="0"/>
          <w:color w:val="auto"/>
          <w:spacing w:val="0"/>
          <w:sz w:val="24"/>
          <w:szCs w:val="24"/>
          <w:highlight w:val="none"/>
          <w:shd w:val="clear"/>
          <w:lang w:val="en-US" w:eastAsia="zh-CN"/>
        </w:rPr>
        <w:t>7.2.5.1</w:t>
      </w:r>
      <w:r>
        <w:rPr>
          <w:rFonts w:hint="eastAsia" w:ascii="宋体" w:hAnsi="宋体" w:eastAsia="宋体" w:cs="宋体"/>
          <w:i w:val="0"/>
          <w:caps w:val="0"/>
          <w:color w:val="auto"/>
          <w:spacing w:val="0"/>
          <w:sz w:val="24"/>
          <w:szCs w:val="24"/>
          <w:highlight w:val="none"/>
          <w:shd w:val="clear"/>
        </w:rPr>
        <w:t>钢支撑采用碳素钢制作，焊接材料应与钢材质量相匹配。在焊接前，需要对钢材</w:t>
      </w:r>
      <w:r>
        <w:rPr>
          <w:rFonts w:hint="eastAsia" w:ascii="宋体" w:hAnsi="宋体" w:eastAsia="宋体" w:cs="宋体"/>
          <w:i w:val="0"/>
          <w:caps w:val="0"/>
          <w:color w:val="auto"/>
          <w:spacing w:val="0"/>
          <w:sz w:val="24"/>
          <w:szCs w:val="24"/>
          <w:highlight w:val="none"/>
          <w:shd w:val="clear"/>
          <w:lang w:val="en-US" w:eastAsia="zh-CN"/>
        </w:rPr>
        <w:t>焊接点</w:t>
      </w:r>
      <w:r>
        <w:rPr>
          <w:rFonts w:hint="eastAsia" w:ascii="宋体" w:hAnsi="宋体" w:eastAsia="宋体" w:cs="宋体"/>
          <w:i w:val="0"/>
          <w:caps w:val="0"/>
          <w:color w:val="auto"/>
          <w:spacing w:val="0"/>
          <w:sz w:val="24"/>
          <w:szCs w:val="24"/>
          <w:highlight w:val="none"/>
          <w:shd w:val="clear"/>
        </w:rPr>
        <w:t>表面进行清理，</w:t>
      </w:r>
      <w:r>
        <w:rPr>
          <w:rFonts w:hint="eastAsia" w:ascii="宋体" w:hAnsi="宋体" w:eastAsia="宋体" w:cs="宋体"/>
          <w:i w:val="0"/>
          <w:caps w:val="0"/>
          <w:color w:val="auto"/>
          <w:spacing w:val="0"/>
          <w:sz w:val="24"/>
          <w:szCs w:val="24"/>
          <w:highlight w:val="none"/>
          <w:shd w:val="clear"/>
          <w:lang w:val="en-US" w:eastAsia="zh-CN"/>
        </w:rPr>
        <w:t>使用磨光机对焊接点进行打磨，去</w:t>
      </w:r>
      <w:r>
        <w:rPr>
          <w:rFonts w:hint="eastAsia" w:ascii="宋体" w:hAnsi="宋体" w:eastAsia="宋体" w:cs="宋体"/>
          <w:i w:val="0"/>
          <w:caps w:val="0"/>
          <w:color w:val="auto"/>
          <w:spacing w:val="0"/>
          <w:sz w:val="24"/>
          <w:szCs w:val="24"/>
          <w:highlight w:val="none"/>
          <w:shd w:val="clear"/>
        </w:rPr>
        <w:t>除污垢、氧化物和</w:t>
      </w:r>
      <w:r>
        <w:rPr>
          <w:rFonts w:hint="eastAsia" w:ascii="宋体" w:hAnsi="宋体" w:eastAsia="宋体" w:cs="宋体"/>
          <w:i w:val="0"/>
          <w:caps w:val="0"/>
          <w:color w:val="auto"/>
          <w:spacing w:val="0"/>
          <w:sz w:val="24"/>
          <w:szCs w:val="24"/>
          <w:highlight w:val="none"/>
          <w:shd w:val="clear"/>
          <w:lang w:val="en-US" w:eastAsia="zh-CN"/>
        </w:rPr>
        <w:t>油漆</w:t>
      </w:r>
      <w:r>
        <w:rPr>
          <w:rFonts w:hint="eastAsia" w:ascii="宋体" w:hAnsi="宋体" w:eastAsia="宋体" w:cs="宋体"/>
          <w:i w:val="0"/>
          <w:caps w:val="0"/>
          <w:color w:val="auto"/>
          <w:spacing w:val="0"/>
          <w:sz w:val="24"/>
          <w:szCs w:val="24"/>
          <w:highlight w:val="none"/>
          <w:shd w:val="clear"/>
        </w:rPr>
        <w:t>，以保证焊接接头的质量‌</w:t>
      </w:r>
      <w:r>
        <w:rPr>
          <w:rFonts w:hint="eastAsia" w:ascii="宋体" w:hAnsi="宋体" w:eastAsia="宋体" w:cs="宋体"/>
          <w:b w:val="0"/>
          <w:bCs w:val="0"/>
          <w:color w:val="auto"/>
          <w:sz w:val="24"/>
          <w:szCs w:val="24"/>
          <w:highlight w:val="none"/>
          <w:lang w:val="en-US" w:eastAsia="zh-CN"/>
        </w:rPr>
        <w:t>。</w:t>
      </w:r>
    </w:p>
    <w:p>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7.2.5.1 </w:t>
      </w:r>
      <w:r>
        <w:rPr>
          <w:rFonts w:hint="eastAsia" w:ascii="宋体" w:hAnsi="宋体" w:eastAsia="宋体" w:cs="宋体"/>
          <w:b w:val="0"/>
          <w:bCs w:val="0"/>
          <w:color w:val="auto"/>
          <w:sz w:val="24"/>
          <w:szCs w:val="24"/>
          <w:highlight w:val="none"/>
          <w:lang w:val="en-US" w:eastAsia="zh-CN"/>
        </w:rPr>
        <w:t>Steel supports are made of carbon steel, and the welding material should match the quality of the steel. Before welding, the surface of the steel welding point should be cleaned and polished with a polishing machine to remove dirt, oxide and paint to ensure the quality of the welding joint.</w:t>
      </w:r>
    </w:p>
    <w:p>
      <w:pPr>
        <w:spacing w:line="360"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7.2.5.2</w:t>
      </w:r>
      <w:r>
        <w:rPr>
          <w:rFonts w:hint="eastAsia" w:ascii="宋体" w:hAnsi="宋体" w:eastAsia="宋体" w:cs="宋体"/>
          <w:color w:val="auto"/>
          <w:sz w:val="24"/>
          <w:szCs w:val="24"/>
          <w:highlight w:val="none"/>
        </w:rPr>
        <w:t>将加强板、连接板按产品图纸尺寸及连接方式放于立柱规定位置上</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先将加强板、连接板与立柱/斜支撑主体点焊</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当平台上的一批立柱/斜支撑点焊完毕后，即可满焊</w:t>
      </w:r>
      <w:r>
        <w:rPr>
          <w:rFonts w:hint="eastAsia" w:ascii="宋体" w:hAnsi="宋体" w:eastAsia="宋体" w:cs="宋体"/>
          <w:color w:val="auto"/>
          <w:sz w:val="24"/>
          <w:szCs w:val="24"/>
          <w:highlight w:val="none"/>
          <w:lang w:eastAsia="zh-CN"/>
        </w:rPr>
        <w:t>。</w:t>
      </w:r>
    </w:p>
    <w:p>
      <w:pPr>
        <w:spacing w:line="360"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7.2.5.2 </w:t>
      </w:r>
      <w:r>
        <w:rPr>
          <w:rFonts w:hint="eastAsia" w:ascii="宋体" w:hAnsi="宋体" w:eastAsia="宋体" w:cs="宋体"/>
          <w:color w:val="auto"/>
          <w:sz w:val="24"/>
          <w:szCs w:val="24"/>
          <w:highlight w:val="none"/>
          <w:lang w:eastAsia="zh-CN"/>
        </w:rPr>
        <w:t>Install reinforcement plates and connection plates in the designated positions on the columns according to the product drawings' dimensions and connection methods. First, spot weld the reinforcement plates and connection plates to the main body of the columns or diagonal supports. Once a batch of columns or diagonal supports on the platform is spot welded, proceed to full welding.</w:t>
      </w:r>
    </w:p>
    <w:p>
      <w:pPr>
        <w:spacing w:line="360"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7.2.5.3</w:t>
      </w:r>
      <w:r>
        <w:rPr>
          <w:rFonts w:hint="eastAsia" w:ascii="宋体" w:hAnsi="宋体" w:eastAsia="宋体" w:cs="宋体"/>
          <w:color w:val="auto"/>
          <w:sz w:val="24"/>
          <w:szCs w:val="24"/>
          <w:highlight w:val="none"/>
        </w:rPr>
        <w:t>除焊接产生的药皮、飞溅等，如焊接过程中产生了较大变形，应对变形部位进行校正处理并达到图纸要求</w:t>
      </w:r>
      <w:r>
        <w:rPr>
          <w:rFonts w:hint="eastAsia" w:ascii="宋体" w:hAnsi="宋体" w:eastAsia="宋体" w:cs="宋体"/>
          <w:color w:val="auto"/>
          <w:sz w:val="24"/>
          <w:szCs w:val="24"/>
          <w:highlight w:val="none"/>
          <w:lang w:eastAsia="zh-CN"/>
        </w:rPr>
        <w:t>。</w:t>
      </w:r>
    </w:p>
    <w:p>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 xml:space="preserve">7.2.5.3 </w:t>
      </w:r>
      <w:r>
        <w:rPr>
          <w:rFonts w:hint="eastAsia" w:ascii="宋体" w:hAnsi="宋体" w:eastAsia="宋体" w:cs="宋体"/>
          <w:color w:val="auto"/>
          <w:sz w:val="24"/>
          <w:szCs w:val="24"/>
          <w:highlight w:val="none"/>
          <w:lang w:eastAsia="zh-CN"/>
        </w:rPr>
        <w:t>In addition to the welding flux coating and splashing, if there is a large deformation during the welding process, the deformed parts should be corrected and the drawing requirements should be met.</w:t>
      </w:r>
    </w:p>
    <w:p>
      <w:pPr>
        <w:spacing w:line="360"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7.2.5.4</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要求</w:t>
      </w:r>
      <w:r>
        <w:rPr>
          <w:rFonts w:hint="eastAsia" w:ascii="宋体" w:hAnsi="宋体" w:eastAsia="宋体" w:cs="宋体"/>
          <w:color w:val="auto"/>
          <w:sz w:val="24"/>
          <w:szCs w:val="24"/>
          <w:highlight w:val="none"/>
          <w:lang w:val="en-US" w:eastAsia="zh-CN"/>
        </w:rPr>
        <w:t>所有</w:t>
      </w:r>
      <w:r>
        <w:rPr>
          <w:rFonts w:hint="eastAsia" w:ascii="宋体" w:hAnsi="宋体" w:eastAsia="宋体" w:cs="宋体"/>
          <w:color w:val="auto"/>
          <w:sz w:val="24"/>
          <w:szCs w:val="24"/>
          <w:highlight w:val="none"/>
        </w:rPr>
        <w:t>焊接牢固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无夹渣、气孔、假焊等焊接缺陷产生</w:t>
      </w:r>
      <w:r>
        <w:rPr>
          <w:rFonts w:hint="eastAsia" w:ascii="宋体" w:hAnsi="宋体" w:eastAsia="宋体" w:cs="宋体"/>
          <w:color w:val="auto"/>
          <w:sz w:val="24"/>
          <w:szCs w:val="24"/>
          <w:highlight w:val="none"/>
          <w:lang w:eastAsia="zh-CN"/>
        </w:rPr>
        <w:t>。</w:t>
      </w:r>
    </w:p>
    <w:p>
      <w:pPr>
        <w:spacing w:line="360"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7.2.5.4 </w:t>
      </w:r>
      <w:r>
        <w:rPr>
          <w:rFonts w:hint="eastAsia" w:ascii="宋体" w:hAnsi="宋体" w:eastAsia="宋体" w:cs="宋体"/>
          <w:color w:val="auto"/>
          <w:sz w:val="24"/>
          <w:szCs w:val="24"/>
          <w:highlight w:val="none"/>
          <w:lang w:eastAsia="zh-CN"/>
        </w:rPr>
        <w:t>All welding must be firm and free from welding defects such as slag, porosity and false welding.</w:t>
      </w:r>
    </w:p>
    <w:p>
      <w:pPr>
        <w:pStyle w:val="16"/>
        <w:spacing w:after="0" w:afterLines="0"/>
        <w:ind w:left="0" w:leftChars="0" w:firstLine="0" w:firstLineChars="0"/>
        <w:textAlignment w:val="auto"/>
        <w:outlineLvl w:val="9"/>
        <w:rPr>
          <w:rFonts w:hint="eastAsia" w:ascii="宋体" w:hAnsi="宋体" w:cs="宋体"/>
          <w:kern w:val="2"/>
          <w:sz w:val="24"/>
          <w:highlight w:val="none"/>
          <w:lang w:val="en-US" w:eastAsia="zh-CN"/>
        </w:rPr>
      </w:pPr>
      <w:r>
        <w:rPr>
          <w:rFonts w:hint="eastAsia" w:ascii="宋体" w:hAnsi="宋体" w:cs="宋体"/>
          <w:kern w:val="2"/>
          <w:sz w:val="24"/>
          <w:highlight w:val="none"/>
          <w:lang w:val="en-US" w:eastAsia="zh-CN"/>
        </w:rPr>
        <w:t>7.2.6全部焊接工作完工后，由服务方通知采购方组织相关人员验收，采购方按照国家相关规定、规范要求进行验收。</w:t>
      </w:r>
    </w:p>
    <w:p>
      <w:pPr>
        <w:pStyle w:val="16"/>
        <w:spacing w:after="0" w:afterLines="0"/>
        <w:ind w:left="0" w:leftChars="0" w:firstLine="0" w:firstLineChars="0"/>
        <w:textAlignment w:val="auto"/>
        <w:outlineLvl w:val="9"/>
        <w:rPr>
          <w:rFonts w:hint="eastAsia" w:ascii="宋体" w:hAnsi="宋体" w:cs="宋体"/>
          <w:kern w:val="2"/>
          <w:sz w:val="24"/>
          <w:highlight w:val="none"/>
          <w:lang w:val="en-US" w:eastAsia="zh-CN"/>
        </w:rPr>
      </w:pPr>
      <w:r>
        <w:rPr>
          <w:rFonts w:hint="eastAsia" w:ascii="宋体" w:hAnsi="宋体" w:cs="宋体"/>
          <w:kern w:val="2"/>
          <w:sz w:val="24"/>
          <w:highlight w:val="none"/>
          <w:lang w:val="en-US" w:eastAsia="zh-CN"/>
        </w:rPr>
        <w:t>7.2.6 After all welding work is completed, the service party shall notify the purchaser to organize relevant personnel for acceptance, and the purchaser shall conduct acceptance in accordance with relevant national regulations and specifications.</w:t>
      </w:r>
    </w:p>
    <w:p>
      <w:pPr>
        <w:spacing w:line="360" w:lineRule="auto"/>
        <w:outlineLvl w:val="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7.2.7验收合格</w:t>
      </w:r>
      <w:r>
        <w:rPr>
          <w:rFonts w:hint="eastAsia" w:ascii="宋体" w:hAnsi="宋体" w:eastAsia="宋体" w:cs="宋体"/>
          <w:color w:val="auto"/>
          <w:sz w:val="24"/>
          <w:szCs w:val="24"/>
          <w:highlight w:val="none"/>
          <w:lang w:val="en-US" w:eastAsia="zh-CN"/>
        </w:rPr>
        <w:t>后，对新增加的支撑及焊缝进行</w:t>
      </w:r>
      <w:r>
        <w:rPr>
          <w:rFonts w:hint="eastAsia" w:ascii="宋体" w:hAnsi="宋体" w:cs="宋体"/>
          <w:color w:val="auto"/>
          <w:sz w:val="24"/>
          <w:szCs w:val="24"/>
          <w:highlight w:val="none"/>
          <w:lang w:val="en-US" w:eastAsia="zh-CN"/>
        </w:rPr>
        <w:t>刷漆。</w:t>
      </w:r>
    </w:p>
    <w:p>
      <w:pPr>
        <w:spacing w:line="360" w:lineRule="auto"/>
        <w:outlineLvl w:val="0"/>
        <w:rPr>
          <w:rFonts w:hint="default" w:ascii="宋体" w:hAnsi="宋体" w:eastAsia="宋体" w:cs="宋体"/>
          <w:b/>
          <w:bCs/>
          <w:color w:val="auto"/>
          <w:sz w:val="28"/>
          <w:szCs w:val="28"/>
          <w:highlight w:val="none"/>
          <w:lang w:val="en-US" w:eastAsia="zh-CN"/>
        </w:rPr>
      </w:pPr>
      <w:r>
        <w:rPr>
          <w:rFonts w:hint="eastAsia" w:ascii="宋体" w:hAnsi="宋体" w:cs="宋体"/>
          <w:color w:val="auto"/>
          <w:sz w:val="24"/>
          <w:szCs w:val="24"/>
          <w:highlight w:val="none"/>
          <w:lang w:val="en-US" w:eastAsia="zh-CN"/>
        </w:rPr>
        <w:t>7.2.7 After acceptance, paint the newly added supports and welds.</w:t>
      </w:r>
    </w:p>
    <w:p>
      <w:pPr>
        <w:spacing w:line="360" w:lineRule="auto"/>
        <w:outlineLvl w:val="0"/>
        <w:rPr>
          <w:rFonts w:hint="eastAsia" w:ascii="宋体" w:hAnsi="宋体" w:eastAsia="宋体" w:cs="宋体"/>
          <w:b/>
          <w:bCs/>
          <w:color w:val="auto"/>
          <w:sz w:val="28"/>
          <w:szCs w:val="28"/>
          <w:highlight w:val="none"/>
          <w:lang w:val="zh-CN" w:eastAsia="zh-CN"/>
        </w:rPr>
      </w:pPr>
      <w:r>
        <w:rPr>
          <w:rFonts w:hint="eastAsia" w:ascii="宋体" w:hAnsi="宋体" w:eastAsia="宋体" w:cs="宋体"/>
          <w:b/>
          <w:bCs/>
          <w:color w:val="auto"/>
          <w:sz w:val="28"/>
          <w:szCs w:val="28"/>
          <w:highlight w:val="none"/>
          <w:lang w:val="en-US" w:eastAsia="zh-CN"/>
        </w:rPr>
        <w:t>8.</w:t>
      </w:r>
      <w:r>
        <w:rPr>
          <w:rFonts w:hint="eastAsia" w:ascii="宋体" w:hAnsi="宋体" w:eastAsia="宋体" w:cs="宋体"/>
          <w:b/>
          <w:bCs/>
          <w:color w:val="auto"/>
          <w:sz w:val="28"/>
          <w:szCs w:val="28"/>
          <w:highlight w:val="none"/>
          <w:lang w:val="zh-CN" w:eastAsia="zh-CN"/>
        </w:rPr>
        <w:t>管理及考核</w:t>
      </w:r>
    </w:p>
    <w:p>
      <w:pPr>
        <w:spacing w:line="360" w:lineRule="auto"/>
        <w:outlineLvl w:val="0"/>
        <w:rPr>
          <w:rFonts w:hint="eastAsia" w:ascii="宋体" w:hAnsi="宋体" w:eastAsia="宋体" w:cs="宋体"/>
          <w:b/>
          <w:bCs/>
          <w:color w:val="auto"/>
          <w:sz w:val="28"/>
          <w:szCs w:val="28"/>
          <w:highlight w:val="none"/>
          <w:lang w:val="zh-CN" w:eastAsia="zh-CN"/>
        </w:rPr>
      </w:pPr>
      <w:r>
        <w:rPr>
          <w:rFonts w:hint="eastAsia" w:ascii="宋体" w:hAnsi="宋体" w:cs="宋体"/>
          <w:b/>
          <w:bCs/>
          <w:color w:val="auto"/>
          <w:sz w:val="28"/>
          <w:szCs w:val="28"/>
          <w:highlight w:val="none"/>
          <w:lang w:val="en-US" w:eastAsia="zh-CN"/>
        </w:rPr>
        <w:t>8.</w:t>
      </w:r>
      <w:r>
        <w:rPr>
          <w:rFonts w:hint="eastAsia" w:ascii="宋体" w:hAnsi="宋体" w:eastAsia="宋体" w:cs="宋体"/>
          <w:b/>
          <w:bCs/>
          <w:color w:val="auto"/>
          <w:sz w:val="28"/>
          <w:szCs w:val="28"/>
          <w:highlight w:val="none"/>
          <w:lang w:val="zh-CN" w:eastAsia="zh-CN"/>
        </w:rPr>
        <w:t>Management and assessment</w:t>
      </w:r>
    </w:p>
    <w:p>
      <w:pPr>
        <w:widowControl/>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8.1 </w:t>
      </w:r>
      <w:r>
        <w:rPr>
          <w:rFonts w:hint="eastAsia" w:ascii="宋体" w:hAnsi="宋体" w:cs="宋体"/>
          <w:color w:val="auto"/>
          <w:sz w:val="24"/>
          <w:szCs w:val="24"/>
          <w:highlight w:val="none"/>
          <w:lang w:val="en-US" w:eastAsia="zh-CN"/>
        </w:rPr>
        <w:t>服务方施工</w:t>
      </w:r>
      <w:r>
        <w:rPr>
          <w:rFonts w:hint="eastAsia" w:ascii="宋体" w:hAnsi="宋体" w:eastAsia="宋体" w:cs="宋体"/>
          <w:color w:val="auto"/>
          <w:sz w:val="24"/>
          <w:szCs w:val="24"/>
          <w:highlight w:val="none"/>
          <w:lang w:val="en-US" w:eastAsia="zh-CN"/>
        </w:rPr>
        <w:t>人员常驻现场，食宿由</w:t>
      </w:r>
      <w:r>
        <w:rPr>
          <w:rFonts w:hint="eastAsia" w:ascii="宋体" w:hAnsi="宋体" w:cs="宋体"/>
          <w:color w:val="auto"/>
          <w:sz w:val="24"/>
          <w:szCs w:val="24"/>
          <w:highlight w:val="none"/>
          <w:lang w:val="en-US" w:eastAsia="zh-CN"/>
        </w:rPr>
        <w:t>服务方</w:t>
      </w:r>
      <w:r>
        <w:rPr>
          <w:rFonts w:hint="eastAsia" w:ascii="宋体" w:hAnsi="宋体" w:eastAsia="宋体" w:cs="宋体"/>
          <w:color w:val="auto"/>
          <w:sz w:val="24"/>
          <w:szCs w:val="24"/>
          <w:highlight w:val="none"/>
          <w:lang w:val="en-US" w:eastAsia="zh-CN"/>
        </w:rPr>
        <w:t>自行解决，采购方提供办公、检修场所。</w:t>
      </w:r>
    </w:p>
    <w:p>
      <w:pPr>
        <w:widowControl/>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8.1 </w:t>
      </w:r>
      <w:r>
        <w:rPr>
          <w:rFonts w:hint="eastAsia" w:ascii="宋体" w:hAnsi="宋体" w:eastAsia="宋体" w:cs="宋体"/>
          <w:color w:val="auto"/>
          <w:sz w:val="24"/>
          <w:szCs w:val="24"/>
          <w:highlight w:val="none"/>
          <w:lang w:val="en-US" w:eastAsia="zh-CN"/>
        </w:rPr>
        <w:t>The service provider's construction staff will be stationed on site, and the accommodation will be arranged by the service provider. The purchaser will provide office and maintenance sites.</w:t>
      </w:r>
    </w:p>
    <w:p>
      <w:pPr>
        <w:adjustRightInd w:val="0"/>
        <w:snapToGrid w:val="0"/>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 xml:space="preserve">2 </w:t>
      </w:r>
      <w:r>
        <w:rPr>
          <w:rFonts w:hint="eastAsia" w:ascii="宋体" w:hAnsi="宋体" w:eastAsia="宋体" w:cs="宋体"/>
          <w:color w:val="auto"/>
          <w:sz w:val="24"/>
          <w:szCs w:val="24"/>
          <w:highlight w:val="none"/>
          <w:lang w:val="zh-CN" w:eastAsia="zh-CN"/>
        </w:rPr>
        <w:t>服务方应服从采购方现场（安全文明施工、施工工艺质量、工期控制、人员供应）管理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eastAsia="zh-CN"/>
        </w:rPr>
        <w:t>因服务方管理不善或因服务方员工违章操作造成的人身伤害，由服务方自行处理并承担全部责任</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eastAsia="zh-CN"/>
        </w:rPr>
        <w:t>因服务方员工人为原因造成的设备损坏由服务方承担由此引发的一切赔偿责任。</w:t>
      </w:r>
    </w:p>
    <w:p>
      <w:pPr>
        <w:adjustRightInd w:val="0"/>
        <w:snapToGrid w:val="0"/>
        <w:spacing w:line="360" w:lineRule="auto"/>
        <w:rPr>
          <w:rFonts w:hint="eastAsia" w:ascii="宋体" w:hAnsi="宋体" w:eastAsia="宋体" w:cs="宋体"/>
          <w:color w:val="auto"/>
          <w:sz w:val="24"/>
          <w:szCs w:val="24"/>
          <w:highlight w:val="none"/>
          <w:lang w:val="zh-CN" w:eastAsia="zh-CN"/>
        </w:rPr>
      </w:pPr>
      <w:r>
        <w:rPr>
          <w:rFonts w:hint="eastAsia" w:ascii="宋体" w:hAnsi="宋体" w:cs="宋体"/>
          <w:color w:val="auto"/>
          <w:sz w:val="24"/>
          <w:szCs w:val="24"/>
          <w:highlight w:val="none"/>
          <w:lang w:val="en-US" w:eastAsia="zh-CN"/>
        </w:rPr>
        <w:t xml:space="preserve">8.2 </w:t>
      </w:r>
      <w:r>
        <w:rPr>
          <w:rFonts w:hint="eastAsia" w:ascii="宋体" w:hAnsi="宋体" w:eastAsia="宋体" w:cs="宋体"/>
          <w:color w:val="auto"/>
          <w:sz w:val="24"/>
          <w:szCs w:val="24"/>
          <w:highlight w:val="none"/>
          <w:lang w:val="zh-CN" w:eastAsia="zh-CN"/>
        </w:rPr>
        <w:t>The Service Provider shall comply with the purchaser's on-site management requirements (including safety and civilized construction practices, construction quality control, schedule management, and personnel allocation). The Service Provider shall independently handle any personal injuries resulting from its own management deficiencies or employee violations of operating procedures, and assume full responsibility for such incidents. Furthermore, the Service Provider shall be solely liable for all compensation claims arising from equipment damage caused by its employees' intentional misconduct.</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8.3 </w:t>
      </w:r>
      <w:r>
        <w:rPr>
          <w:rFonts w:hint="eastAsia" w:ascii="宋体" w:hAnsi="宋体" w:eastAsia="宋体" w:cs="宋体"/>
          <w:color w:val="auto"/>
          <w:sz w:val="24"/>
          <w:szCs w:val="24"/>
          <w:highlight w:val="none"/>
          <w:lang w:val="zh-CN" w:eastAsia="zh-CN"/>
        </w:rPr>
        <w:t>服务方在工作中不服从采购方</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val="zh-CN" w:eastAsia="zh-CN"/>
        </w:rPr>
        <w:t>管理</w:t>
      </w:r>
      <w:r>
        <w:rPr>
          <w:rFonts w:hint="eastAsia" w:ascii="宋体" w:hAnsi="宋体" w:eastAsia="宋体" w:cs="宋体"/>
          <w:color w:val="auto"/>
          <w:sz w:val="24"/>
          <w:szCs w:val="24"/>
          <w:highlight w:val="none"/>
          <w:lang w:val="en-US" w:eastAsia="zh-CN"/>
        </w:rPr>
        <w:t>和工作安排，由此而影响</w:t>
      </w:r>
      <w:r>
        <w:rPr>
          <w:rFonts w:hint="eastAsia" w:ascii="宋体" w:hAnsi="宋体" w:cs="宋体"/>
          <w:color w:val="auto"/>
          <w:sz w:val="24"/>
          <w:szCs w:val="24"/>
          <w:highlight w:val="none"/>
          <w:lang w:val="en-US" w:eastAsia="zh-CN"/>
        </w:rPr>
        <w:t>现场正常维护</w:t>
      </w:r>
      <w:r>
        <w:rPr>
          <w:rFonts w:hint="eastAsia" w:ascii="宋体" w:hAnsi="宋体" w:eastAsia="宋体" w:cs="宋体"/>
          <w:color w:val="auto"/>
          <w:sz w:val="24"/>
          <w:szCs w:val="24"/>
          <w:highlight w:val="none"/>
          <w:lang w:val="en-US" w:eastAsia="zh-CN"/>
        </w:rPr>
        <w:t>工作的正常开展，视情节轻重每次考核Rp1,000,000-Rp10,000,000。</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8.3 </w:t>
      </w:r>
      <w:r>
        <w:rPr>
          <w:rFonts w:hint="eastAsia" w:ascii="宋体" w:hAnsi="宋体" w:eastAsia="宋体" w:cs="宋体"/>
          <w:color w:val="auto"/>
          <w:sz w:val="24"/>
          <w:szCs w:val="24"/>
          <w:highlight w:val="none"/>
          <w:lang w:val="en-US" w:eastAsia="zh-CN"/>
        </w:rPr>
        <w:t>If the service provider fails to comply with the purchaser's management and work arrangements during operations, thereby disrupting on-site maintenance activities, a penalty of Rp1,000,000 to Rp10,000,000 will be imposed per incident, depending on the severity.</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 xml:space="preserve"> 服务方严格按本规范要</w:t>
      </w:r>
      <w:r>
        <w:rPr>
          <w:rFonts w:hint="eastAsia" w:ascii="宋体" w:hAnsi="宋体" w:eastAsia="宋体" w:cs="宋体"/>
          <w:color w:val="auto"/>
          <w:sz w:val="24"/>
          <w:szCs w:val="24"/>
          <w:highlight w:val="none"/>
          <w:lang w:val="en-US" w:eastAsia="zh-CN"/>
        </w:rPr>
        <w:t>求配置管理人员，每少一人按Rp1,000</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000/天考核，并责令改正。</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8.4 </w:t>
      </w:r>
      <w:r>
        <w:rPr>
          <w:rFonts w:hint="eastAsia" w:ascii="宋体" w:hAnsi="宋体" w:eastAsia="宋体" w:cs="宋体"/>
          <w:color w:val="auto"/>
          <w:sz w:val="24"/>
          <w:szCs w:val="24"/>
          <w:highlight w:val="none"/>
          <w:lang w:val="en-US" w:eastAsia="zh-CN"/>
        </w:rPr>
        <w:t>The service provider must strictly assign management personnel in accordance with these regulations. Each person absent will incur a daily penalty of Rp1,000,000, and corrective measures will be ordered.</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8.5检修结束</w:t>
      </w:r>
      <w:r>
        <w:rPr>
          <w:rFonts w:hint="eastAsia" w:ascii="宋体" w:hAnsi="宋体" w:cs="宋体"/>
          <w:color w:val="auto"/>
          <w:sz w:val="24"/>
          <w:szCs w:val="24"/>
          <w:highlight w:val="none"/>
          <w:lang w:val="en-US" w:eastAsia="zh-CN"/>
        </w:rPr>
        <w:t>做到工完料净场地清</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不合格之处</w:t>
      </w:r>
      <w:r>
        <w:rPr>
          <w:rFonts w:hint="eastAsia" w:ascii="宋体" w:hAnsi="宋体" w:eastAsia="宋体" w:cs="宋体"/>
          <w:color w:val="auto"/>
          <w:sz w:val="24"/>
          <w:szCs w:val="24"/>
          <w:highlight w:val="none"/>
          <w:lang w:val="en-US" w:eastAsia="zh-CN"/>
        </w:rPr>
        <w:t>每处考核 Rp</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,000</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000。</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8.5 </w:t>
      </w:r>
      <w:r>
        <w:rPr>
          <w:rFonts w:hint="eastAsia" w:ascii="宋体" w:hAnsi="宋体" w:eastAsia="宋体" w:cs="宋体"/>
          <w:color w:val="auto"/>
          <w:sz w:val="24"/>
          <w:szCs w:val="24"/>
          <w:highlight w:val="none"/>
          <w:lang w:val="en-US" w:eastAsia="zh-CN"/>
        </w:rPr>
        <w:t>After maintenance, ensure all work is completed, materials are cleared, and the site is clean. Each non-compliant item will incur a penalty of Rp3,000,000.</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8.6</w:t>
      </w:r>
      <w:r>
        <w:rPr>
          <w:rFonts w:hint="eastAsia" w:ascii="宋体" w:hAnsi="宋体" w:cs="宋体"/>
          <w:color w:val="auto"/>
          <w:sz w:val="24"/>
          <w:szCs w:val="24"/>
          <w:highlight w:val="none"/>
          <w:lang w:val="en-US" w:eastAsia="zh-CN"/>
        </w:rPr>
        <w:t>施工材料如钢板、钢丝绳、手拉葫芦</w:t>
      </w:r>
      <w:r>
        <w:rPr>
          <w:rFonts w:hint="eastAsia" w:ascii="宋体" w:hAnsi="宋体" w:eastAsia="宋体" w:cs="宋体"/>
          <w:color w:val="auto"/>
          <w:sz w:val="24"/>
          <w:szCs w:val="24"/>
          <w:highlight w:val="none"/>
          <w:lang w:val="en-US" w:eastAsia="zh-CN"/>
        </w:rPr>
        <w:t>不准乱堆乱放，影响他人施工、堵塞通道的每处考核Rp</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,000</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000。</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8.6 </w:t>
      </w:r>
      <w:r>
        <w:rPr>
          <w:rFonts w:hint="eastAsia" w:ascii="宋体" w:hAnsi="宋体" w:eastAsia="宋体" w:cs="宋体"/>
          <w:color w:val="auto"/>
          <w:sz w:val="24"/>
          <w:szCs w:val="24"/>
          <w:highlight w:val="none"/>
          <w:lang w:val="en-US" w:eastAsia="zh-CN"/>
        </w:rPr>
        <w:t>Construction materials such as steel plates, steel wire ropes and hand hoists are not allowed to be piled up randomly, affecting the construction of others and blocking the passage. Each assessment Rp2,000,000 will be charged.</w:t>
      </w:r>
    </w:p>
    <w:p>
      <w:pPr>
        <w:adjustRightInd w:val="0"/>
        <w:snapToGrid w:val="0"/>
        <w:spacing w:line="360" w:lineRule="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施工中发生质量问题，自行处理并掩盖的，每次考核Rp</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,000</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000</w:t>
      </w:r>
      <w:r>
        <w:rPr>
          <w:rFonts w:hint="eastAsia" w:ascii="宋体" w:hAnsi="宋体" w:cs="宋体"/>
          <w:color w:val="auto"/>
          <w:sz w:val="24"/>
          <w:szCs w:val="24"/>
          <w:highlight w:val="none"/>
          <w:lang w:val="en-US" w:eastAsia="zh-CN"/>
        </w:rPr>
        <w:t>。</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8.7 If a quality issue occurs during construction and is self-handled and concealed, a penalty of Rp2,000,000 will be imposed for each occurrence.</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现场施工因措施不当、发生火灾、跑水、跑气现象，每项考Rp</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,000</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000。</w:t>
      </w:r>
      <w:r>
        <w:rPr>
          <w:rFonts w:hint="eastAsia" w:ascii="宋体" w:hAnsi="宋体" w:cs="宋体"/>
          <w:color w:val="auto"/>
          <w:sz w:val="24"/>
          <w:szCs w:val="24"/>
          <w:highlight w:val="none"/>
          <w:lang w:val="en-US" w:eastAsia="zh-CN"/>
        </w:rPr>
        <w:t xml:space="preserve">8.8 </w:t>
      </w:r>
      <w:r>
        <w:rPr>
          <w:rFonts w:hint="eastAsia" w:ascii="宋体" w:hAnsi="宋体" w:eastAsia="宋体" w:cs="宋体"/>
          <w:color w:val="auto"/>
          <w:sz w:val="24"/>
          <w:szCs w:val="24"/>
          <w:highlight w:val="none"/>
          <w:lang w:val="en-US" w:eastAsia="zh-CN"/>
        </w:rPr>
        <w:t>If improper measures during on-site construction lead to fire, water leakage, or gas leakage, each violation will incur a penalty of Rp4,000,000.</w:t>
      </w:r>
    </w:p>
    <w:p>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施工方在施工中如损坏设备、元件、仪表、仪器、电缆、电线等，每项考核Rp</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,000</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000。</w:t>
      </w:r>
    </w:p>
    <w:p>
      <w:pPr>
        <w:adjustRightInd w:val="0"/>
        <w:snapToGrid w:val="0"/>
        <w:spacing w:line="360" w:lineRule="auto"/>
        <w:rPr>
          <w:rFonts w:hint="eastAsia"/>
          <w:lang w:val="en-US" w:eastAsia="zh-CN"/>
        </w:rPr>
      </w:pPr>
      <w:r>
        <w:rPr>
          <w:rFonts w:hint="eastAsia" w:ascii="宋体" w:hAnsi="宋体" w:cs="宋体"/>
          <w:color w:val="auto"/>
          <w:sz w:val="24"/>
          <w:szCs w:val="24"/>
          <w:highlight w:val="none"/>
          <w:lang w:val="en-US" w:eastAsia="zh-CN"/>
        </w:rPr>
        <w:t xml:space="preserve">8.9 </w:t>
      </w:r>
      <w:r>
        <w:rPr>
          <w:rFonts w:hint="eastAsia" w:ascii="宋体" w:hAnsi="宋体" w:eastAsia="宋体" w:cs="宋体"/>
          <w:color w:val="auto"/>
          <w:sz w:val="24"/>
          <w:szCs w:val="24"/>
          <w:highlight w:val="none"/>
          <w:lang w:val="en-US" w:eastAsia="zh-CN"/>
        </w:rPr>
        <w:t>If the construction party damages equipment, components, instruments, cables, wires, etc. during construction, Rp4,000,000 will be assessed for each item.</w:t>
      </w:r>
    </w:p>
    <w:p>
      <w:pPr>
        <w:rPr>
          <w:rFonts w:hint="eastAsia"/>
          <w:lang w:val="en-US" w:eastAsia="zh-CN"/>
        </w:rPr>
      </w:pPr>
    </w:p>
    <w:p>
      <w:pPr>
        <w:rPr>
          <w:rFonts w:hint="default"/>
          <w:lang w:val="en-US" w:eastAsia="zh-CN"/>
        </w:rPr>
      </w:pPr>
      <w:r>
        <w:rPr>
          <w:rFonts w:hint="eastAsia"/>
          <w:lang w:val="en-US" w:eastAsia="zh-CN"/>
        </w:rPr>
        <w:t>附件：示意图</w:t>
      </w:r>
    </w:p>
    <w:p>
      <w:pPr>
        <w:pStyle w:val="8"/>
        <w:snapToGrid w:val="0"/>
        <w:spacing w:after="0" w:line="240" w:lineRule="auto"/>
        <w:jc w:val="both"/>
        <w:rPr>
          <w:rFonts w:eastAsia="FangSong_GB2312" w:cs="Times New Roman"/>
          <w:b/>
          <w:spacing w:val="40"/>
          <w:sz w:val="44"/>
          <w:szCs w:val="44"/>
        </w:rPr>
      </w:pPr>
      <w:r>
        <w:rPr>
          <w:rFonts w:hint="eastAsia"/>
          <w:lang w:val="en-US" w:eastAsia="zh-CN"/>
        </w:rPr>
        <w:drawing>
          <wp:inline distT="0" distB="0" distL="114300" distR="114300">
            <wp:extent cx="2520315" cy="2160270"/>
            <wp:effectExtent l="0" t="0" r="9525" b="3810"/>
            <wp:docPr id="6" name="图片 1" descr="1740818189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1740818189206"/>
                    <pic:cNvPicPr>
                      <a:picLocks noChangeAspect="1"/>
                    </pic:cNvPicPr>
                  </pic:nvPicPr>
                  <pic:blipFill>
                    <a:blip r:embed="rId11"/>
                    <a:stretch>
                      <a:fillRect/>
                    </a:stretch>
                  </pic:blipFill>
                  <pic:spPr>
                    <a:xfrm>
                      <a:off x="0" y="0"/>
                      <a:ext cx="2520315" cy="2160270"/>
                    </a:xfrm>
                    <a:prstGeom prst="rect">
                      <a:avLst/>
                    </a:prstGeom>
                    <a:noFill/>
                    <a:ln>
                      <a:noFill/>
                    </a:ln>
                  </pic:spPr>
                </pic:pic>
              </a:graphicData>
            </a:graphic>
          </wp:inline>
        </w:drawing>
      </w:r>
    </w:p>
    <w:sectPr>
      <w:headerReference r:id="rId7" w:type="default"/>
      <w:footerReference r:id="rId8" w:type="default"/>
      <w:pgSz w:w="11906" w:h="16838"/>
      <w:pgMar w:top="1440" w:right="1803" w:bottom="1440" w:left="1803" w:header="720" w:footer="720"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FangSong_GB2312">
    <w:altName w:val="仿宋"/>
    <w:panose1 w:val="00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eastAsia="宋体"/>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syDgEsQEA&#10;AEgDAAAOAAAAAAAAAAEAIAAAAB4BAABkcnMvZTJvRG9jLnhtbFBLBQYAAAAABgAGAFkBAABBBQAA&#10;AAA=&#10;">
              <v:fill on="f" focussize="0,0"/>
              <v:stroke on="f"/>
              <v:imagedata o:title=""/>
              <o:lock v:ext="edit" aspectratio="f"/>
              <v:textbox inset="0mm,0mm,0mm,0mm" style="mso-fit-shape-to-text:t;">
                <w:txbxContent>
                  <w:p>
                    <w:pPr>
                      <w:pStyle w:val="11"/>
                      <w:rPr>
                        <w:rFonts w:eastAsia="宋体"/>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jc w:val="right"/>
    </w:pPr>
    <w:r>
      <w:rPr>
        <w:rFonts w:hint="eastAsia"/>
        <w:color w:val="000000"/>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color w:val="366091"/>
        <w:szCs w:val="18"/>
      </w:rPr>
      <w:drawing>
        <wp:inline distT="0" distB="0" distL="0" distR="0">
          <wp:extent cx="2122170" cy="335915"/>
          <wp:effectExtent l="0" t="0" r="11430" b="6985"/>
          <wp:docPr id="5" name="图片 5" descr="C:\Users\ADMINI~1\AppData\Local\Temp\WeChat Files\9ba79ede0d738a90200e80295c62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WeChat Files\9ba79ede0d738a90200e80295c6297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22170" cy="335915"/>
                  </a:xfrm>
                  <a:prstGeom prst="rect">
                    <a:avLst/>
                  </a:prstGeom>
                  <a:noFill/>
                  <a:ln>
                    <a:noFill/>
                  </a:ln>
                </pic:spPr>
              </pic:pic>
            </a:graphicData>
          </a:graphic>
        </wp:inline>
      </w:drawing>
    </w:r>
    <w:r>
      <w:rPr>
        <w:rFonts w:hint="eastAsia"/>
        <w:color w:val="366091"/>
        <w:szCs w:val="18"/>
        <w:lang w:val="en-US" w:eastAsia="zh-CN"/>
      </w:rPr>
      <w:t xml:space="preserve">                         </w:t>
    </w:r>
    <w:r>
      <w:rPr>
        <w:rFonts w:hint="eastAsia"/>
        <w:color w:val="000000"/>
        <w:lang w:val="en-US" w:eastAsia="zh-CN"/>
      </w:rPr>
      <w:t>#2锅炉旁路烟道封堵技术规范书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rFonts w:hint="eastAsia"/>
        <w:color w:val="000000"/>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2"/>
      </w:pBdr>
      <w:tabs>
        <w:tab w:val="left" w:pos="5829"/>
        <w:tab w:val="clear" w:pos="8306"/>
      </w:tabs>
      <w:spacing w:after="200"/>
      <w:jc w:val="right"/>
      <w:rPr>
        <w:rFonts w:hint="eastAsia" w:ascii="宋体" w:hAnsi="宋体" w:eastAsia="宋体"/>
        <w:b/>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467AAC"/>
    <w:multiLevelType w:val="singleLevel"/>
    <w:tmpl w:val="B0467AAC"/>
    <w:lvl w:ilvl="0" w:tentative="0">
      <w:start w:val="3"/>
      <w:numFmt w:val="decimal"/>
      <w:lvlText w:val="%1."/>
      <w:lvlJc w:val="left"/>
      <w:pPr>
        <w:tabs>
          <w:tab w:val="left" w:pos="312"/>
        </w:tabs>
      </w:pPr>
    </w:lvl>
  </w:abstractNum>
  <w:abstractNum w:abstractNumId="1">
    <w:nsid w:val="D85B7598"/>
    <w:multiLevelType w:val="singleLevel"/>
    <w:tmpl w:val="D85B7598"/>
    <w:lvl w:ilvl="0" w:tentative="0">
      <w:start w:val="2"/>
      <w:numFmt w:val="decimal"/>
      <w:lvlText w:val="%1."/>
      <w:lvlJc w:val="left"/>
      <w:pPr>
        <w:tabs>
          <w:tab w:val="left" w:pos="312"/>
        </w:tabs>
      </w:pPr>
    </w:lvl>
  </w:abstractNum>
  <w:abstractNum w:abstractNumId="2">
    <w:nsid w:val="16E7A552"/>
    <w:multiLevelType w:val="singleLevel"/>
    <w:tmpl w:val="16E7A552"/>
    <w:lvl w:ilvl="0" w:tentative="0">
      <w:start w:val="1"/>
      <w:numFmt w:val="decimal"/>
      <w:lvlText w:val="%1."/>
      <w:lvlJc w:val="left"/>
      <w:pPr>
        <w:tabs>
          <w:tab w:val="left" w:pos="312"/>
        </w:tabs>
      </w:pPr>
    </w:lvl>
  </w:abstractNum>
  <w:abstractNum w:abstractNumId="3">
    <w:nsid w:val="4B8E3ADC"/>
    <w:multiLevelType w:val="multilevel"/>
    <w:tmpl w:val="4B8E3ADC"/>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pStyle w:val="32"/>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4">
    <w:nsid w:val="53022C7F"/>
    <w:multiLevelType w:val="multilevel"/>
    <w:tmpl w:val="53022C7F"/>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pStyle w:val="6"/>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5">
    <w:nsid w:val="66E26E90"/>
    <w:multiLevelType w:val="singleLevel"/>
    <w:tmpl w:val="66E26E90"/>
    <w:lvl w:ilvl="0" w:tentative="0">
      <w:start w:val="2"/>
      <w:numFmt w:val="chineseCounting"/>
      <w:suff w:val="nothing"/>
      <w:lvlText w:val="%1、"/>
      <w:lvlJc w:val="left"/>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kOGNiNDNhNDJlNzhhYTA0YThkNjg1YzYyZDI0ZGIifQ=="/>
  </w:docVars>
  <w:rsids>
    <w:rsidRoot w:val="7DD43DF5"/>
    <w:rsid w:val="00286DB9"/>
    <w:rsid w:val="00590DD6"/>
    <w:rsid w:val="005D0471"/>
    <w:rsid w:val="00755792"/>
    <w:rsid w:val="00756D98"/>
    <w:rsid w:val="00757743"/>
    <w:rsid w:val="009E5DDF"/>
    <w:rsid w:val="009F7628"/>
    <w:rsid w:val="00A32D89"/>
    <w:rsid w:val="00D13C66"/>
    <w:rsid w:val="00DF3FE4"/>
    <w:rsid w:val="00EA6EA8"/>
    <w:rsid w:val="00EF4B43"/>
    <w:rsid w:val="07803966"/>
    <w:rsid w:val="0894041E"/>
    <w:rsid w:val="09065FBF"/>
    <w:rsid w:val="0A193BCC"/>
    <w:rsid w:val="175844CD"/>
    <w:rsid w:val="19BF14CB"/>
    <w:rsid w:val="1A1B5D79"/>
    <w:rsid w:val="21A14CEF"/>
    <w:rsid w:val="24D24179"/>
    <w:rsid w:val="2E997812"/>
    <w:rsid w:val="2F9556DB"/>
    <w:rsid w:val="394A1D75"/>
    <w:rsid w:val="3CD03ABD"/>
    <w:rsid w:val="424A274F"/>
    <w:rsid w:val="448F3FD4"/>
    <w:rsid w:val="45273802"/>
    <w:rsid w:val="477E5309"/>
    <w:rsid w:val="47B07BC4"/>
    <w:rsid w:val="493232CD"/>
    <w:rsid w:val="49F22A6C"/>
    <w:rsid w:val="518C12E7"/>
    <w:rsid w:val="54630D76"/>
    <w:rsid w:val="588C6C9A"/>
    <w:rsid w:val="59E67533"/>
    <w:rsid w:val="5F0F34CA"/>
    <w:rsid w:val="62AC28DB"/>
    <w:rsid w:val="68CE71FF"/>
    <w:rsid w:val="69C255A8"/>
    <w:rsid w:val="6B891E22"/>
    <w:rsid w:val="6E856903"/>
    <w:rsid w:val="6FBE3570"/>
    <w:rsid w:val="6FFF21CA"/>
    <w:rsid w:val="71D7247A"/>
    <w:rsid w:val="731418EA"/>
    <w:rsid w:val="73DB3D53"/>
    <w:rsid w:val="75A90447"/>
    <w:rsid w:val="76C56BBE"/>
    <w:rsid w:val="77DF7A82"/>
    <w:rsid w:val="7D1F1383"/>
    <w:rsid w:val="7DD43DF5"/>
    <w:rsid w:val="7F315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460" w:after="450" w:line="360" w:lineRule="auto"/>
      <w:ind w:left="100" w:leftChars="100" w:right="100" w:rightChars="100"/>
      <w:jc w:val="center"/>
      <w:outlineLvl w:val="0"/>
    </w:pPr>
    <w:rPr>
      <w:b/>
      <w:bCs/>
      <w:kern w:val="44"/>
      <w:sz w:val="30"/>
      <w:szCs w:val="44"/>
    </w:rPr>
  </w:style>
  <w:style w:type="paragraph" w:styleId="2">
    <w:name w:val="heading 2"/>
    <w:basedOn w:val="1"/>
    <w:next w:val="3"/>
    <w:qFormat/>
    <w:uiPriority w:val="0"/>
    <w:pPr>
      <w:keepNext/>
      <w:keepLines/>
      <w:adjustRightInd w:val="0"/>
      <w:snapToGrid w:val="0"/>
      <w:spacing w:line="360" w:lineRule="auto"/>
      <w:jc w:val="left"/>
      <w:outlineLvl w:val="1"/>
    </w:pPr>
    <w:rPr>
      <w:rFonts w:ascii="Arial" w:hAnsi="Arial" w:eastAsia="宋体"/>
      <w:sz w:val="28"/>
    </w:rPr>
  </w:style>
  <w:style w:type="paragraph" w:styleId="5">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kern w:val="0"/>
      <w:sz w:val="26"/>
      <w:szCs w:val="26"/>
    </w:rPr>
  </w:style>
  <w:style w:type="paragraph" w:styleId="6">
    <w:name w:val="heading 4"/>
    <w:basedOn w:val="1"/>
    <w:next w:val="1"/>
    <w:unhideWhenUsed/>
    <w:qFormat/>
    <w:uiPriority w:val="9"/>
    <w:pPr>
      <w:keepNext/>
      <w:keepLines/>
      <w:numPr>
        <w:ilvl w:val="3"/>
        <w:numId w:val="1"/>
      </w:numPr>
      <w:spacing w:before="280" w:after="290" w:line="376" w:lineRule="auto"/>
      <w:outlineLvl w:val="3"/>
    </w:pPr>
    <w:rPr>
      <w:rFonts w:ascii="Cambria" w:hAnsi="Cambria" w:eastAsia="宋体" w:cs="Times New Roman"/>
      <w:b/>
      <w:bCs/>
      <w:sz w:val="28"/>
      <w:szCs w:val="28"/>
    </w:rPr>
  </w:style>
  <w:style w:type="character" w:default="1" w:styleId="19">
    <w:name w:val="Default Paragraph Font"/>
    <w:semiHidden/>
    <w:unhideWhenUsed/>
    <w:qFormat/>
    <w:uiPriority w:val="1"/>
  </w:style>
  <w:style w:type="table" w:default="1" w:styleId="17">
    <w:name w:val="Normal Table"/>
    <w:semiHidden/>
    <w:unhideWhenUsed/>
    <w:uiPriority w:val="99"/>
    <w:tblPr>
      <w:tblLayout w:type="fixed"/>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style>
  <w:style w:type="paragraph" w:styleId="7">
    <w:name w:val="toc 7"/>
    <w:basedOn w:val="1"/>
    <w:next w:val="1"/>
    <w:unhideWhenUsed/>
    <w:qFormat/>
    <w:uiPriority w:val="39"/>
    <w:pPr>
      <w:ind w:left="1260"/>
      <w:jc w:val="left"/>
    </w:pPr>
    <w:rPr>
      <w:rFonts w:ascii="Calibri" w:hAnsi="Calibri" w:cs="Calibri"/>
      <w:sz w:val="18"/>
      <w:szCs w:val="18"/>
    </w:rPr>
  </w:style>
  <w:style w:type="paragraph" w:styleId="8">
    <w:name w:val="Body Text"/>
    <w:basedOn w:val="1"/>
    <w:uiPriority w:val="0"/>
    <w:rPr>
      <w:rFonts w:ascii="Times New Roman" w:hAnsi="Times New Roman" w:eastAsia="宋体"/>
    </w:rPr>
  </w:style>
  <w:style w:type="paragraph" w:styleId="9">
    <w:name w:val="Body Text Indent"/>
    <w:basedOn w:val="1"/>
    <w:next w:val="1"/>
    <w:qFormat/>
    <w:uiPriority w:val="0"/>
    <w:pPr>
      <w:spacing w:after="120"/>
      <w:ind w:left="420" w:leftChars="200"/>
    </w:pPr>
  </w:style>
  <w:style w:type="paragraph" w:styleId="10">
    <w:name w:val="Body Text Indent 2"/>
    <w:basedOn w:val="1"/>
    <w:qFormat/>
    <w:uiPriority w:val="0"/>
    <w:pPr>
      <w:spacing w:after="120" w:line="480" w:lineRule="auto"/>
      <w:ind w:left="420" w:leftChars="200"/>
    </w:pPr>
  </w:style>
  <w:style w:type="paragraph" w:styleId="11">
    <w:name w:val="footer"/>
    <w:basedOn w:val="1"/>
    <w:uiPriority w:val="0"/>
    <w:pPr>
      <w:tabs>
        <w:tab w:val="center" w:pos="4153"/>
        <w:tab w:val="right" w:pos="8306"/>
      </w:tabs>
      <w:snapToGrid w:val="0"/>
      <w:jc w:val="left"/>
    </w:pPr>
    <w:rPr>
      <w:sz w:val="18"/>
    </w:rPr>
  </w:style>
  <w:style w:type="paragraph" w:styleId="12">
    <w:name w:val="header"/>
    <w:basedOn w:val="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100" w:beforeAutospacing="1" w:after="100" w:afterAutospacing="1"/>
      <w:jc w:val="left"/>
    </w:pPr>
    <w:rPr>
      <w:rFonts w:cs="Times New Roman"/>
      <w:kern w:val="0"/>
      <w:sz w:val="24"/>
    </w:rPr>
  </w:style>
  <w:style w:type="paragraph" w:styleId="16">
    <w:name w:val="Body Text First Indent 2"/>
    <w:basedOn w:val="9"/>
    <w:next w:val="7"/>
    <w:qFormat/>
    <w:uiPriority w:val="0"/>
    <w:pPr>
      <w:ind w:firstLine="640" w:firstLineChars="200"/>
    </w:pPr>
    <w:rPr>
      <w:rFonts w:hint="eastAsia" w:ascii="宋体" w:hAnsi="宋体"/>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0">
    <w:name w:val="Strong"/>
    <w:basedOn w:val="19"/>
    <w:qFormat/>
    <w:uiPriority w:val="0"/>
    <w:rPr>
      <w:b/>
    </w:rPr>
  </w:style>
  <w:style w:type="character" w:styleId="21">
    <w:name w:val="Emphasis"/>
    <w:basedOn w:val="19"/>
    <w:qFormat/>
    <w:uiPriority w:val="0"/>
    <w:rPr>
      <w:i/>
      <w:iCs/>
    </w:rPr>
  </w:style>
  <w:style w:type="paragraph" w:customStyle="1" w:styleId="22">
    <w:name w:val="Default"/>
    <w:qFormat/>
    <w:uiPriority w:val="0"/>
    <w:pPr>
      <w:widowControl w:val="0"/>
      <w:autoSpaceDE w:val="0"/>
      <w:autoSpaceDN w:val="0"/>
      <w:adjustRightInd w:val="0"/>
      <w:spacing w:after="160" w:line="278" w:lineRule="auto"/>
    </w:pPr>
    <w:rPr>
      <w:rFonts w:asciiTheme="minorHAnsi" w:hAnsiTheme="minorHAnsi" w:eastAsiaTheme="minorEastAsia" w:cstheme="minorBidi"/>
      <w:color w:val="000000"/>
      <w:sz w:val="24"/>
      <w:szCs w:val="24"/>
      <w:lang w:val="en-US" w:eastAsia="zh-CN" w:bidi="ar-SA"/>
    </w:rPr>
  </w:style>
  <w:style w:type="paragraph" w:customStyle="1" w:styleId="23">
    <w:name w:val="修订1"/>
    <w:hidden/>
    <w:unhideWhenUsed/>
    <w:qFormat/>
    <w:uiPriority w:val="99"/>
    <w:pPr>
      <w:spacing w:after="160" w:line="278" w:lineRule="auto"/>
    </w:pPr>
    <w:rPr>
      <w:rFonts w:asciiTheme="minorHAnsi" w:hAnsiTheme="minorHAnsi" w:eastAsiaTheme="minorEastAsia" w:cstheme="minorBidi"/>
      <w:kern w:val="2"/>
      <w:sz w:val="21"/>
      <w:szCs w:val="24"/>
      <w:lang w:val="en-US" w:eastAsia="zh-CN" w:bidi="ar-SA"/>
    </w:rPr>
  </w:style>
  <w:style w:type="paragraph" w:customStyle="1" w:styleId="24">
    <w:name w:val="北海分级目录"/>
    <w:basedOn w:val="1"/>
    <w:qFormat/>
    <w:uiPriority w:val="0"/>
    <w:rPr>
      <w:rFonts w:ascii="宋体" w:hAnsi="宋体"/>
      <w:color w:val="000000"/>
      <w:kern w:val="0"/>
      <w:szCs w:val="21"/>
    </w:rPr>
  </w:style>
  <w:style w:type="character" w:customStyle="1" w:styleId="25">
    <w:name w:val="font51"/>
    <w:basedOn w:val="19"/>
    <w:qFormat/>
    <w:uiPriority w:val="0"/>
    <w:rPr>
      <w:rFonts w:ascii="Calibri" w:hAnsi="Calibri" w:cs="Calibri"/>
      <w:color w:val="000000"/>
      <w:sz w:val="21"/>
      <w:szCs w:val="21"/>
      <w:u w:val="none"/>
    </w:rPr>
  </w:style>
  <w:style w:type="character" w:customStyle="1" w:styleId="26">
    <w:name w:val="font61"/>
    <w:basedOn w:val="19"/>
    <w:qFormat/>
    <w:uiPriority w:val="0"/>
    <w:rPr>
      <w:rFonts w:hint="default" w:ascii="Calibri" w:hAnsi="Calibri" w:cs="Calibri"/>
      <w:color w:val="000000"/>
      <w:sz w:val="21"/>
      <w:szCs w:val="21"/>
      <w:u w:val="none"/>
    </w:rPr>
  </w:style>
  <w:style w:type="paragraph" w:customStyle="1" w:styleId="27">
    <w:name w:val="_Style 15"/>
    <w:basedOn w:val="1"/>
    <w:next w:val="1"/>
    <w:qFormat/>
    <w:uiPriority w:val="0"/>
    <w:pPr>
      <w:pBdr>
        <w:top w:val="single" w:color="auto" w:sz="6" w:space="1"/>
      </w:pBdr>
      <w:jc w:val="center"/>
    </w:pPr>
    <w:rPr>
      <w:rFonts w:ascii="Arial" w:eastAsia="宋体"/>
      <w:vanish/>
      <w:sz w:val="16"/>
    </w:rPr>
  </w:style>
  <w:style w:type="paragraph" w:customStyle="1" w:styleId="28">
    <w:name w:val="Body Text First Indent 21"/>
    <w:basedOn w:val="29"/>
    <w:qFormat/>
    <w:uiPriority w:val="0"/>
    <w:pPr>
      <w:adjustRightInd/>
      <w:spacing w:after="120" w:line="240" w:lineRule="auto"/>
      <w:ind w:left="420" w:leftChars="200" w:firstLine="420" w:firstLineChars="200"/>
      <w:jc w:val="both"/>
    </w:pPr>
    <w:rPr>
      <w:rFonts w:ascii="Times New Roman" w:hAnsi="Times New Roman"/>
      <w:sz w:val="21"/>
    </w:rPr>
  </w:style>
  <w:style w:type="paragraph" w:customStyle="1" w:styleId="29">
    <w:name w:val="Body Text Indent1"/>
    <w:basedOn w:val="1"/>
    <w:qFormat/>
    <w:uiPriority w:val="0"/>
    <w:pPr>
      <w:adjustRightInd w:val="0"/>
      <w:spacing w:line="360" w:lineRule="auto"/>
      <w:ind w:left="454"/>
      <w:jc w:val="left"/>
      <w:textAlignment w:val="baseline"/>
    </w:pPr>
    <w:rPr>
      <w:rFonts w:ascii="宋体"/>
      <w:kern w:val="0"/>
      <w:sz w:val="24"/>
    </w:rPr>
  </w:style>
  <w:style w:type="paragraph" w:customStyle="1" w:styleId="30">
    <w:name w:val="Revision"/>
    <w:hidden/>
    <w:unhideWhenUsed/>
    <w:qFormat/>
    <w:uiPriority w:val="99"/>
    <w:pPr>
      <w:spacing w:after="0" w:line="240" w:lineRule="auto"/>
    </w:pPr>
    <w:rPr>
      <w:rFonts w:asciiTheme="minorHAnsi" w:hAnsiTheme="minorHAnsi" w:eastAsiaTheme="minorEastAsia" w:cstheme="minorBidi"/>
      <w:kern w:val="2"/>
      <w:sz w:val="21"/>
      <w:szCs w:val="24"/>
      <w:lang w:val="en-US" w:eastAsia="zh-CN" w:bidi="ar-SA"/>
    </w:rPr>
  </w:style>
  <w:style w:type="paragraph" w:customStyle="1" w:styleId="31">
    <w:name w:val="正文1"/>
    <w:basedOn w:val="1"/>
    <w:qFormat/>
    <w:uiPriority w:val="0"/>
    <w:pPr>
      <w:adjustRightInd w:val="0"/>
      <w:spacing w:line="360" w:lineRule="atLeast"/>
      <w:jc w:val="left"/>
      <w:textAlignment w:val="baseline"/>
    </w:pPr>
    <w:rPr>
      <w:rFonts w:ascii="宋体"/>
      <w:kern w:val="0"/>
      <w:sz w:val="24"/>
      <w:szCs w:val="20"/>
    </w:rPr>
  </w:style>
  <w:style w:type="paragraph" w:customStyle="1" w:styleId="32">
    <w:name w:val="技术规范书-3级列表"/>
    <w:basedOn w:val="6"/>
    <w:qFormat/>
    <w:uiPriority w:val="0"/>
    <w:pPr>
      <w:numPr>
        <w:ilvl w:val="2"/>
        <w:numId w:val="2"/>
      </w:numPr>
      <w:spacing w:before="0" w:after="0" w:line="360" w:lineRule="auto"/>
    </w:pPr>
    <w:rPr>
      <w:rFonts w:ascii="宋体" w:hAnsi="宋体"/>
      <w:b w:val="0"/>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64</Pages>
  <Words>9578</Words>
  <Characters>54601</Characters>
  <Lines>455</Lines>
  <Paragraphs>128</Paragraphs>
  <TotalTime>2</TotalTime>
  <ScaleCrop>false</ScaleCrop>
  <LinksUpToDate>false</LinksUpToDate>
  <CharactersWithSpaces>64051</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2024-06-14T04:48:00Z</dcterms:created>
  <dc:creator>arie vernandy</dc:creator>
  <cp:lastModifiedBy>yzj</cp:lastModifiedBy>
  <cp:lastPrinted>2024-12-10T10:36:00Z</cp:lastPrinted>
  <dcterms:modified xsi:type="dcterms:W3CDTF">2025-11-11T10:24:19Z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48DA0D4D9DF7410CAE977F8A2D228AC1</vt:lpwstr>
  </property>
</Properties>
</file>