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32"/>
          <w:szCs w:val="32"/>
          <w:highlight w:val="none"/>
        </w:rPr>
      </w:pPr>
      <w:bookmarkStart w:id="0" w:name="OLE_LINK1"/>
      <w:r>
        <w:rPr>
          <w:rFonts w:hint="default" w:ascii="Times New Roman" w:hAnsi="Times New Roman" w:cs="Times New Roman"/>
          <w:b/>
          <w:bCs/>
          <w:sz w:val="32"/>
          <w:szCs w:val="32"/>
          <w:highlight w:val="none"/>
        </w:rPr>
        <w:t>#2机组检查性大修锅炉中速磨煤机磨辊、磨盘衬板堆焊</w:t>
      </w:r>
    </w:p>
    <w:p>
      <w:pPr>
        <w:jc w:val="center"/>
        <w:rPr>
          <w:rFonts w:ascii="Times New Roman" w:hAnsi="Times New Roman" w:cs="Times New Roman"/>
          <w:b/>
          <w:bCs/>
          <w:sz w:val="32"/>
          <w:szCs w:val="32"/>
        </w:rPr>
      </w:pPr>
      <w:r>
        <w:rPr>
          <w:rFonts w:hint="default" w:ascii="Times New Roman" w:hAnsi="Times New Roman" w:cs="Times New Roman"/>
          <w:b/>
          <w:bCs/>
          <w:sz w:val="32"/>
          <w:szCs w:val="32"/>
          <w:highlight w:val="none"/>
        </w:rPr>
        <w:t>采购</w:t>
      </w:r>
      <w:r>
        <w:rPr>
          <w:rFonts w:ascii="Times New Roman" w:hAnsi="Times New Roman" w:cs="Times New Roman"/>
          <w:b/>
          <w:bCs/>
          <w:sz w:val="32"/>
          <w:szCs w:val="32"/>
          <w:highlight w:val="none"/>
        </w:rPr>
        <w:t>文件</w:t>
      </w:r>
      <w:bookmarkEnd w:id="0"/>
    </w:p>
    <w:p>
      <w:pPr>
        <w:pStyle w:val="3"/>
        <w:ind w:firstLine="0" w:firstLineChars="0"/>
        <w:jc w:val="center"/>
        <w:rPr>
          <w:rFonts w:ascii="Times New Roman" w:hAnsi="Times New Roman" w:cs="Times New Roman"/>
        </w:rPr>
      </w:pPr>
      <w:r>
        <w:rPr>
          <w:rFonts w:hint="eastAsia" w:ascii="Times New Roman" w:hAnsi="Times New Roman" w:cs="Times New Roman"/>
          <w:b/>
          <w:bCs/>
          <w:sz w:val="32"/>
          <w:szCs w:val="32"/>
        </w:rPr>
        <w:t>#2 Unit Inspection Overhaul: Pengelasan Grinding Roller dan Grinding Disc Liner pada Boiler Medium-Speed ​​Coal Mill Dokumen Pengadaan</w:t>
      </w:r>
    </w:p>
    <w:p>
      <w:pPr>
        <w:adjustRightInd w:val="0"/>
        <w:snapToGrid w:val="0"/>
        <w:spacing w:line="360" w:lineRule="auto"/>
        <w:jc w:val="both"/>
        <w:rPr>
          <w:rFonts w:ascii="Times New Roman" w:hAnsi="Times New Roman" w:cs="Times New Roman"/>
          <w:sz w:val="28"/>
          <w:szCs w:val="28"/>
        </w:rPr>
      </w:pPr>
      <w:r>
        <w:rPr>
          <w:rFonts w:ascii="Times New Roman" w:hAnsi="Times New Roman" w:cs="Times New Roman"/>
          <w:sz w:val="28"/>
          <w:szCs w:val="28"/>
        </w:rPr>
        <w:t>一、</w:t>
      </w:r>
      <w:r>
        <w:rPr>
          <w:rFonts w:ascii="Times New Roman" w:hAnsi="Times New Roman" w:cs="Times New Roman"/>
          <w:sz w:val="24"/>
        </w:rPr>
        <w:t>资格条件</w:t>
      </w:r>
      <w:r>
        <w:rPr>
          <w:rFonts w:ascii="Times New Roman" w:hAnsi="Times New Roman" w:cs="Times New Roman"/>
          <w:sz w:val="28"/>
          <w:szCs w:val="28"/>
        </w:rPr>
        <w:t>Kualifikasi：</w:t>
      </w:r>
    </w:p>
    <w:p>
      <w:pPr>
        <w:adjustRightInd w:val="0"/>
        <w:snapToGrid w:val="0"/>
        <w:spacing w:line="360" w:lineRule="auto"/>
        <w:ind w:firstLine="480" w:firstLineChars="200"/>
        <w:jc w:val="both"/>
        <w:rPr>
          <w:rFonts w:ascii="Times New Roman" w:hAnsi="Times New Roman" w:cs="Times New Roman"/>
          <w:sz w:val="24"/>
        </w:rPr>
      </w:pPr>
      <w:r>
        <w:rPr>
          <w:rFonts w:hint="default" w:ascii="Times New Roman" w:hAnsi="Times New Roman" w:cs="Times New Roman"/>
          <w:sz w:val="24"/>
        </w:rPr>
        <w:t>1.</w:t>
      </w:r>
      <w:r>
        <w:rPr>
          <w:rFonts w:ascii="Times New Roman" w:hAnsi="Times New Roman" w:cs="Times New Roman"/>
          <w:sz w:val="24"/>
        </w:rPr>
        <w:t>报价人为印度尼西亚注册公司, 具有独立的法人资格，持有有效营业执照，能够独立承担民事责任，具有独立订立合同的权利。</w:t>
      </w:r>
    </w:p>
    <w:p>
      <w:pPr>
        <w:pStyle w:val="3"/>
        <w:ind w:firstLine="480"/>
        <w:rPr>
          <w:rFonts w:ascii="Times New Roman" w:hAnsi="Times New Roman" w:cs="Times New Roman"/>
          <w:sz w:val="24"/>
        </w:rPr>
      </w:pPr>
      <w:r>
        <w:rPr>
          <w:rFonts w:ascii="Times New Roman" w:hAnsi="Times New Roman" w:cs="Times New Roman"/>
          <w:sz w:val="24"/>
        </w:rPr>
        <w:t>Penawar adalah perusahaan terdaftar di Indonesia, memiliki badan hukum independen, memiliki izin usaha yang sah, dapat menanggung tanggung jawab perdata secara mandiri, dan dapat menandatangani kontrak secara mandiri</w:t>
      </w:r>
    </w:p>
    <w:p>
      <w:pPr>
        <w:pStyle w:val="3"/>
        <w:ind w:firstLine="48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2.投标人近 5 年（2020 年 1 月 1 日至今)须具有 1 项中速磨煤机磨辊套、磨盘衬板在线堆焊业绩。所有业绩均应提供合同主要信息原件扫描件，包括合同封面（或合同首页）、服务期限页、服务范围（服务内容）页、合同金额页、签字盖章页等能证明业绩真实性的相关内容。</w:t>
      </w:r>
    </w:p>
    <w:p>
      <w:pPr>
        <w:pStyle w:val="3"/>
        <w:ind w:firstLine="480"/>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Peserta lelang harus memiliki setidaknya satu catatan kinerja pengelasan daring untuk selongsong rol gerinda dan pelapis cakram gerinda untuk pabrik batu bara berkecepatan sedang dalam 5 tahun terakhir (mulai 1 Januari 2020 hingga saat ini). Semua catatan kinerja harus disertai dengan salinan pindaian kontrak asli yang berisi informasi penting, termasuk sampul kontrak (atau halaman pertama), halaman periode layanan, halaman cakupan layanan (isi layanan), halaman nilai kontrak, halaman tanda tangan dan stempel, serta informasi relevan lainnya yang dapat membuktikan keaslian catatan kinerja.</w:t>
      </w:r>
    </w:p>
    <w:p>
      <w:pPr>
        <w:numPr>
          <w:ilvl w:val="0"/>
          <w:numId w:val="3"/>
        </w:numPr>
        <w:adjustRightInd w:val="0"/>
        <w:snapToGrid w:val="0"/>
        <w:spacing w:line="360" w:lineRule="auto"/>
        <w:jc w:val="both"/>
        <w:rPr>
          <w:rFonts w:ascii="Times New Roman" w:hAnsi="Times New Roman" w:cs="Times New Roman"/>
          <w:sz w:val="24"/>
        </w:rPr>
      </w:pPr>
      <w:r>
        <w:rPr>
          <w:rFonts w:ascii="Times New Roman" w:hAnsi="Times New Roman" w:cs="Times New Roman"/>
          <w:sz w:val="24"/>
        </w:rPr>
        <w:t>服务范围及</w:t>
      </w:r>
      <w:r>
        <w:rPr>
          <w:rFonts w:hint="default" w:ascii="Times New Roman" w:hAnsi="Times New Roman" w:cs="Times New Roman"/>
          <w:sz w:val="24"/>
        </w:rPr>
        <w:t>工作</w:t>
      </w:r>
      <w:r>
        <w:rPr>
          <w:rFonts w:ascii="Times New Roman" w:hAnsi="Times New Roman" w:cs="Times New Roman"/>
          <w:sz w:val="24"/>
        </w:rPr>
        <w:t>要求Cakupan layanan dan persyaratan</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1.服务范围 Ruang Lingkup</w:t>
      </w:r>
    </w:p>
    <w:p>
      <w:pPr>
        <w:adjustRightInd w:val="0"/>
        <w:snapToGrid w:val="0"/>
        <w:spacing w:line="360" w:lineRule="auto"/>
        <w:jc w:val="both"/>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详见技术规范书</w:t>
      </w:r>
    </w:p>
    <w:p>
      <w:pPr>
        <w:adjustRightInd w:val="0"/>
        <w:snapToGrid w:val="0"/>
        <w:spacing w:line="360" w:lineRule="auto"/>
        <w:jc w:val="both"/>
        <w:rPr>
          <w:rFonts w:hint="eastAsia" w:ascii="Times New Roman" w:hAnsi="Times New Roman" w:cs="Times New Roman"/>
          <w:sz w:val="24"/>
        </w:rPr>
      </w:pPr>
      <w:r>
        <w:rPr>
          <w:rFonts w:hint="eastAsia" w:ascii="Times New Roman" w:hAnsi="Times New Roman" w:cs="Times New Roman"/>
          <w:sz w:val="24"/>
        </w:rPr>
        <w:t>Lihat spesifikasi teknis untuk rinciannya.</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2.服务地点 Lokasi</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印度尼西亚南苏门答腊省穆印县华电（印尼）玻雅发电公司。</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PT Huadian Bukit Asam Power,Muara Enim Sumatera Selatan Indonesia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3.服务期限 Periode</w:t>
      </w:r>
      <w:r>
        <w:rPr>
          <w:rFonts w:hint="default" w:ascii="Times New Roman" w:hAnsi="Times New Roman" w:cs="Times New Roman"/>
          <w:sz w:val="24"/>
        </w:rPr>
        <w:tab/>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具体起始日期以采购方通知的日期为准。</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highlight w:val="none"/>
        </w:rPr>
        <w:t>服务时间：自开工之日起65天内完成各项工作并通过质量验收。</w:t>
      </w:r>
    </w:p>
    <w:p>
      <w:pPr>
        <w:adjustRightInd w:val="0"/>
        <w:snapToGrid w:val="0"/>
        <w:spacing w:line="360" w:lineRule="auto"/>
        <w:jc w:val="both"/>
        <w:rPr>
          <w:rFonts w:ascii="Times New Roman" w:hAnsi="Times New Roman" w:cs="Times New Roman"/>
          <w:sz w:val="24"/>
        </w:rPr>
      </w:pPr>
      <w:r>
        <w:rPr>
          <w:rFonts w:ascii="Times New Roman" w:hAnsi="Times New Roman" w:cs="Times New Roman"/>
          <w:sz w:val="24"/>
        </w:rPr>
        <w:t>Masa pelaksanaan: Seluruh pekerjaan harus diselesaikan dan lulus pemeriksaan kualitas dalam waktu 65 hari sejak tanggal dimulainya pekerjaan.</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具体工作内容及要求</w:t>
      </w:r>
      <w:r>
        <w:rPr>
          <w:rFonts w:ascii="Times New Roman" w:hAnsi="Times New Roman" w:cs="Times New Roman"/>
          <w:sz w:val="24"/>
        </w:rPr>
        <w:t xml:space="preserve">详见技术规范书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Silakan merujuk ke spesifikasi teknis untuk persyaratan spesifik.</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三、其他要求Persyaratan Lain：</w:t>
      </w:r>
    </w:p>
    <w:p>
      <w:pPr>
        <w:numPr>
          <w:ilvl w:val="255"/>
          <w:numId w:val="0"/>
        </w:numPr>
        <w:adjustRightInd w:val="0"/>
        <w:snapToGrid w:val="0"/>
        <w:spacing w:line="360" w:lineRule="auto"/>
        <w:ind w:left="284" w:hanging="284" w:firstLineChars="0"/>
        <w:jc w:val="both"/>
        <w:rPr>
          <w:rFonts w:hint="default" w:ascii="Times New Roman" w:hAnsi="Times New Roman" w:cs="Times New Roman" w:eastAsiaTheme="minorEastAsia"/>
          <w:sz w:val="24"/>
          <w:highlight w:val="yellow"/>
          <w:lang w:val="en-US" w:eastAsia="zh-CN"/>
        </w:rPr>
      </w:pPr>
      <w:r>
        <w:rPr>
          <w:rFonts w:hint="default" w:ascii="Times New Roman" w:hAnsi="Times New Roman" w:cs="Times New Roman"/>
          <w:sz w:val="24"/>
          <w:highlight w:val="none"/>
        </w:rPr>
        <w:t>1、报价要求：报价要求：分别报出单价，以及总价格， 总价包括但不限于与执行本合同有关的所有费用，如人工费，材料费，其他费用，管理费、利润、税金及其它可能发生的各种风险费用。</w:t>
      </w:r>
      <w:r>
        <w:rPr>
          <w:rFonts w:hint="eastAsia" w:ascii="Times New Roman" w:hAnsi="Times New Roman" w:cs="Times New Roman"/>
          <w:sz w:val="24"/>
          <w:highlight w:val="none"/>
          <w:lang w:val="en-US" w:eastAsia="zh-CN"/>
        </w:rPr>
        <w:t>代扣代缴谁由采购方负责缴纳。</w:t>
      </w:r>
    </w:p>
    <w:p>
      <w:pPr>
        <w:numPr>
          <w:ilvl w:val="255"/>
          <w:numId w:val="0"/>
        </w:numPr>
        <w:adjustRightInd w:val="0"/>
        <w:snapToGrid w:val="0"/>
        <w:spacing w:line="360" w:lineRule="auto"/>
        <w:ind w:left="284" w:hanging="284"/>
        <w:jc w:val="both"/>
        <w:rPr>
          <w:rFonts w:ascii="Times New Roman" w:hAnsi="Times New Roman" w:cs="Times New Roman"/>
          <w:sz w:val="24"/>
        </w:rPr>
      </w:pPr>
      <w:r>
        <w:rPr>
          <w:rFonts w:hint="default" w:ascii="Times New Roman" w:hAnsi="Times New Roman" w:cs="Times New Roman"/>
          <w:sz w:val="24"/>
        </w:rPr>
        <w:t xml:space="preserve">1、Persyaratan Penawaran: </w:t>
      </w:r>
      <w:r>
        <w:rPr>
          <w:rFonts w:ascii="Times New Roman" w:hAnsi="Times New Roman" w:cs="Times New Roman"/>
          <w:sz w:val="24"/>
        </w:rPr>
        <w:t>Penawaran harus disediakan secara terpisah untuk harga satuan dan harga total. Harga total harus mencakup, namun tidak terbatas pada, semua biaya yang terkait dengan pelaksanaan Kontrak ini, seperti biaya tenaga kerja, biaya bahan, biaya lain-lain, biaya manajemen, keuntungan, pajak), dan biaya risiko lainnya yang mungkin timbul.</w:t>
      </w:r>
      <w:r>
        <w:rPr>
          <w:rFonts w:hint="eastAsia" w:ascii="Times New Roman" w:hAnsi="Times New Roman" w:cs="Times New Roman"/>
          <w:sz w:val="24"/>
        </w:rPr>
        <w:t>Pihak pembeli bertanggung jawab untuk memotong dan membayar pajak atas nama pembeli.</w:t>
      </w:r>
    </w:p>
    <w:p>
      <w:pPr>
        <w:numPr>
          <w:ilvl w:val="255"/>
          <w:numId w:val="0"/>
        </w:numPr>
        <w:adjustRightInd w:val="0"/>
        <w:snapToGrid w:val="0"/>
        <w:spacing w:line="360" w:lineRule="auto"/>
        <w:ind w:left="284" w:hanging="284"/>
        <w:jc w:val="both"/>
        <w:rPr>
          <w:rFonts w:hint="default" w:ascii="Times New Roman" w:hAnsi="Times New Roman" w:cs="Times New Roman"/>
          <w:sz w:val="24"/>
          <w:highlight w:val="none"/>
        </w:rPr>
      </w:pPr>
      <w:r>
        <w:rPr>
          <w:rFonts w:hint="default" w:ascii="Times New Roman" w:hAnsi="Times New Roman" w:cs="Times New Roman"/>
          <w:sz w:val="24"/>
          <w:highlight w:val="none"/>
        </w:rPr>
        <w:t>2、本合同为固定单价暂估总价合同，服务方</w:t>
      </w:r>
      <w:r>
        <w:rPr>
          <w:rFonts w:hint="eastAsia" w:ascii="Times New Roman" w:hAnsi="Times New Roman" w:cs="Times New Roman"/>
          <w:sz w:val="24"/>
          <w:highlight w:val="none"/>
          <w:lang w:val="en-US" w:eastAsia="zh-CN"/>
        </w:rPr>
        <w:t>分别报出单价及总价</w:t>
      </w:r>
      <w:r>
        <w:rPr>
          <w:rFonts w:hint="default" w:ascii="Times New Roman" w:hAnsi="Times New Roman" w:cs="Times New Roman"/>
          <w:sz w:val="24"/>
          <w:highlight w:val="none"/>
        </w:rPr>
        <w:t>，如有遗漏则视为在投标人所报的总价中已经包含。如遇国家税率调整，不含税总价保持不变，所有税项及印花税票在本合同按照适用税率的规定执行。</w:t>
      </w:r>
    </w:p>
    <w:p>
      <w:pPr>
        <w:numPr>
          <w:ilvl w:val="255"/>
          <w:numId w:val="0"/>
        </w:numPr>
        <w:adjustRightInd w:val="0"/>
        <w:snapToGrid w:val="0"/>
        <w:spacing w:line="360" w:lineRule="auto"/>
        <w:ind w:left="284" w:hanging="284"/>
        <w:jc w:val="both"/>
        <w:rPr>
          <w:rFonts w:ascii="Times New Roman" w:hAnsi="Times New Roman" w:cs="Times New Roman"/>
          <w:sz w:val="24"/>
        </w:rPr>
      </w:pPr>
      <w:r>
        <w:rPr>
          <w:rFonts w:ascii="Times New Roman" w:hAnsi="Times New Roman" w:cs="Times New Roman"/>
          <w:sz w:val="24"/>
        </w:rPr>
        <w:t xml:space="preserve">2、Perjanjian ini merupakan perjanjian harga total sementara dengan harga satuan tetap. Penyedia Jasa wajib menyerahkan penawaran terperinci sesuai dengan jadwal layanan; setiap kelalaian akan dianggap termasuk dalam harga total yang ditawarkan oleh penawar. Jika tarif pajak nasional diubah, harga total tanpa pajak tetap tidak berubah. Semua pajak dan bea materai akan dilaksanakan sesuai dengan tarif yang berlaku sebagaimana diatur dalam Perjanjian ini. </w:t>
      </w:r>
    </w:p>
    <w:p>
      <w:pPr>
        <w:adjustRightInd w:val="0"/>
        <w:snapToGrid w:val="0"/>
        <w:spacing w:line="360" w:lineRule="auto"/>
        <w:ind w:left="284" w:hanging="284"/>
        <w:jc w:val="both"/>
        <w:rPr>
          <w:rFonts w:hint="default" w:ascii="Times New Roman" w:hAnsi="Times New Roman" w:cs="Times New Roman" w:eastAsiaTheme="minorEastAsia"/>
          <w:sz w:val="24"/>
          <w:lang w:val="en-US" w:eastAsia="zh-CN"/>
        </w:rPr>
      </w:pPr>
      <w:r>
        <w:rPr>
          <w:rFonts w:hint="default" w:ascii="Times New Roman" w:hAnsi="Times New Roman" w:cs="Times New Roman"/>
          <w:sz w:val="24"/>
        </w:rPr>
        <w:t>3. 付款方式：甲、乙双方验收签字确认后，甲方在收到乙方正确、合法合规发票等资料后30天内支付全额货款的</w:t>
      </w:r>
      <w:r>
        <w:rPr>
          <w:rFonts w:hint="eastAsia" w:ascii="Times New Roman" w:hAnsi="Times New Roman" w:cs="Times New Roman"/>
          <w:sz w:val="24"/>
          <w:lang w:val="en-US" w:eastAsia="zh-CN"/>
        </w:rPr>
        <w:t>97</w:t>
      </w:r>
      <w:r>
        <w:rPr>
          <w:rFonts w:hint="default" w:ascii="Times New Roman" w:hAnsi="Times New Roman" w:cs="Times New Roman"/>
          <w:sz w:val="24"/>
        </w:rPr>
        <w:t>%。</w:t>
      </w:r>
      <w:r>
        <w:rPr>
          <w:rFonts w:hint="eastAsia" w:ascii="Times New Roman" w:hAnsi="Times New Roman" w:cs="Times New Roman"/>
          <w:sz w:val="24"/>
          <w:lang w:val="en-US" w:eastAsia="zh-CN"/>
        </w:rPr>
        <w:t>剩余3%为质保金，质保期1年。</w:t>
      </w:r>
    </w:p>
    <w:p>
      <w:pPr>
        <w:adjustRightInd w:val="0"/>
        <w:snapToGrid w:val="0"/>
        <w:spacing w:line="360" w:lineRule="auto"/>
        <w:ind w:left="426" w:hanging="426"/>
        <w:jc w:val="both"/>
        <w:rPr>
          <w:rFonts w:ascii="Times New Roman" w:hAnsi="Times New Roman" w:cs="Times New Roman"/>
          <w:sz w:val="24"/>
        </w:rPr>
      </w:pPr>
      <w:r>
        <w:rPr>
          <w:rFonts w:hint="default" w:ascii="Times New Roman" w:hAnsi="Times New Roman" w:cs="Times New Roman"/>
          <w:sz w:val="24"/>
        </w:rPr>
        <w:t xml:space="preserve"> 3、Metode pembayaran: Setelah Pihak Pertama dan Pihak Kedua menandatangani dan mengonfirmasi penerimaan, Pihak Pertama harus membayar </w:t>
      </w:r>
      <w:r>
        <w:rPr>
          <w:rFonts w:hint="eastAsia" w:ascii="Times New Roman" w:hAnsi="Times New Roman" w:cs="Times New Roman"/>
          <w:sz w:val="24"/>
          <w:lang w:val="en-US" w:eastAsia="zh-CN"/>
        </w:rPr>
        <w:t>97</w:t>
      </w:r>
      <w:r>
        <w:rPr>
          <w:rFonts w:hint="default" w:ascii="Times New Roman" w:hAnsi="Times New Roman" w:cs="Times New Roman"/>
          <w:sz w:val="24"/>
        </w:rPr>
        <w:t>% dari</w:t>
      </w:r>
      <w:r>
        <w:rPr>
          <w:rFonts w:ascii="Times New Roman" w:hAnsi="Times New Roman" w:cs="Times New Roman"/>
          <w:sz w:val="24"/>
        </w:rPr>
        <w:t xml:space="preserve"> </w:t>
      </w:r>
      <w:r>
        <w:rPr>
          <w:rFonts w:hint="default" w:ascii="Times New Roman" w:hAnsi="Times New Roman" w:cs="Times New Roman"/>
          <w:sz w:val="24"/>
        </w:rPr>
        <w:t xml:space="preserve">pembayaran penuh dalam waktu 30 hari setelah Pihak Kedua menerima faktur </w:t>
      </w:r>
      <w:r>
        <w:rPr>
          <w:rFonts w:ascii="Times New Roman" w:hAnsi="Times New Roman" w:cs="Times New Roman"/>
          <w:sz w:val="24"/>
        </w:rPr>
        <w:t xml:space="preserve">dan dokumen pendukung lainnya </w:t>
      </w:r>
      <w:r>
        <w:rPr>
          <w:rFonts w:hint="default" w:ascii="Times New Roman" w:hAnsi="Times New Roman" w:cs="Times New Roman"/>
          <w:sz w:val="24"/>
        </w:rPr>
        <w:t>yang benar</w:t>
      </w:r>
      <w:r>
        <w:rPr>
          <w:rFonts w:ascii="Times New Roman" w:hAnsi="Times New Roman" w:cs="Times New Roman"/>
          <w:sz w:val="24"/>
        </w:rPr>
        <w:t>, sah, dan sesuai hukum.</w:t>
      </w:r>
      <w:r>
        <w:rPr>
          <w:rFonts w:hint="eastAsia" w:ascii="Times New Roman" w:hAnsi="Times New Roman" w:cs="Times New Roman"/>
          <w:sz w:val="24"/>
        </w:rPr>
        <w:t>Sisanya 3% adalah deposit garansi, dengan masa garansi 1 tahun.</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 4.评审方式：经评审的最低价法。</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 4、Metode evaluasi: metode harga terendah setelah evaluasi.</w:t>
      </w:r>
    </w:p>
    <w:p>
      <w:pPr>
        <w:adjustRightInd w:val="0"/>
        <w:snapToGrid w:val="0"/>
        <w:spacing w:line="360" w:lineRule="auto"/>
        <w:jc w:val="both"/>
        <w:rPr>
          <w:rFonts w:ascii="Times New Roman" w:hAnsi="Times New Roman" w:cs="Times New Roman"/>
          <w:sz w:val="24"/>
          <w:highlight w:val="none"/>
        </w:rPr>
      </w:pPr>
      <w:r>
        <w:rPr>
          <w:rFonts w:hint="default" w:ascii="Times New Roman" w:hAnsi="Times New Roman" w:cs="Times New Roman"/>
          <w:sz w:val="24"/>
          <w:highlight w:val="none"/>
        </w:rPr>
        <w:t xml:space="preserve"> 5. 报价截止时间2025年1</w:t>
      </w:r>
      <w:r>
        <w:rPr>
          <w:rFonts w:hint="eastAsia" w:ascii="Times New Roman" w:hAnsi="Times New Roman" w:cs="Times New Roman"/>
          <w:sz w:val="24"/>
          <w:highlight w:val="none"/>
          <w:lang w:val="en-US" w:eastAsia="zh-CN"/>
        </w:rPr>
        <w:t>1</w:t>
      </w:r>
      <w:r>
        <w:rPr>
          <w:rFonts w:hint="default" w:ascii="Times New Roman" w:hAnsi="Times New Roman" w:cs="Times New Roman"/>
          <w:sz w:val="24"/>
          <w:highlight w:val="none"/>
        </w:rPr>
        <w:t>月</w:t>
      </w:r>
      <w:r>
        <w:rPr>
          <w:rFonts w:hint="eastAsia" w:ascii="Times New Roman" w:hAnsi="Times New Roman" w:cs="Times New Roman"/>
          <w:sz w:val="24"/>
          <w:highlight w:val="none"/>
          <w:lang w:val="en-US" w:eastAsia="zh-CN"/>
        </w:rPr>
        <w:t>30</w:t>
      </w:r>
      <w:r>
        <w:rPr>
          <w:rFonts w:hint="default" w:ascii="Times New Roman" w:hAnsi="Times New Roman" w:cs="Times New Roman"/>
          <w:sz w:val="24"/>
          <w:highlight w:val="none"/>
        </w:rPr>
        <w:t>日雅加达时间1</w:t>
      </w:r>
      <w:r>
        <w:rPr>
          <w:rFonts w:hint="eastAsia" w:ascii="Times New Roman" w:hAnsi="Times New Roman" w:cs="Times New Roman"/>
          <w:sz w:val="24"/>
          <w:highlight w:val="none"/>
          <w:lang w:val="en-US" w:eastAsia="zh-CN"/>
        </w:rPr>
        <w:t>7</w:t>
      </w:r>
      <w:r>
        <w:rPr>
          <w:rFonts w:hint="default" w:ascii="Times New Roman" w:hAnsi="Times New Roman" w:cs="Times New Roman"/>
          <w:sz w:val="24"/>
          <w:highlight w:val="none"/>
        </w:rPr>
        <w:t>:00前。</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 5、Penawaran jatuh tempo pada tanggal </w:t>
      </w:r>
      <w:r>
        <w:rPr>
          <w:rFonts w:hint="eastAsia" w:ascii="Times New Roman" w:hAnsi="Times New Roman" w:cs="Times New Roman"/>
          <w:sz w:val="24"/>
          <w:lang w:val="en-US" w:eastAsia="zh-CN"/>
        </w:rPr>
        <w:t>30</w:t>
      </w:r>
      <w:r>
        <w:rPr>
          <w:rFonts w:ascii="Times New Roman" w:hAnsi="Times New Roman" w:cs="Times New Roman"/>
          <w:sz w:val="24"/>
        </w:rPr>
        <w:t xml:space="preserve"> </w:t>
      </w:r>
      <w:r>
        <w:rPr>
          <w:rFonts w:hint="eastAsia" w:ascii="Times New Roman" w:hAnsi="Times New Roman" w:cs="Times New Roman"/>
          <w:sz w:val="24"/>
        </w:rPr>
        <w:t>November</w:t>
      </w:r>
      <w:r>
        <w:rPr>
          <w:rFonts w:hint="default" w:ascii="Times New Roman" w:hAnsi="Times New Roman" w:cs="Times New Roman"/>
          <w:sz w:val="24"/>
        </w:rPr>
        <w:t xml:space="preserve"> 2025 </w:t>
      </w:r>
      <w:r>
        <w:rPr>
          <w:rFonts w:ascii="Times New Roman" w:hAnsi="Times New Roman" w:cs="Times New Roman"/>
          <w:sz w:val="24"/>
        </w:rPr>
        <w:t xml:space="preserve">sebelum </w:t>
      </w:r>
      <w:r>
        <w:rPr>
          <w:rFonts w:hint="default" w:ascii="Times New Roman" w:hAnsi="Times New Roman" w:cs="Times New Roman"/>
          <w:sz w:val="24"/>
        </w:rPr>
        <w:t>pukul 1</w:t>
      </w:r>
      <w:r>
        <w:rPr>
          <w:rFonts w:hint="eastAsia" w:ascii="Times New Roman" w:hAnsi="Times New Roman" w:cs="Times New Roman"/>
          <w:sz w:val="24"/>
          <w:lang w:val="en-US" w:eastAsia="zh-CN"/>
        </w:rPr>
        <w:t>7</w:t>
      </w:r>
      <w:r>
        <w:rPr>
          <w:rFonts w:hint="default" w:ascii="Times New Roman" w:hAnsi="Times New Roman" w:cs="Times New Roman"/>
          <w:sz w:val="24"/>
        </w:rPr>
        <w:t>:00 waktu Jakarta.</w:t>
      </w:r>
    </w:p>
    <w:p>
      <w:pPr>
        <w:numPr>
          <w:ilvl w:val="255"/>
          <w:numId w:val="0"/>
        </w:numPr>
        <w:adjustRightInd w:val="0"/>
        <w:snapToGrid w:val="0"/>
        <w:spacing w:line="360" w:lineRule="auto"/>
        <w:rPr>
          <w:rFonts w:ascii="Times New Roman" w:hAnsi="Times New Roman" w:cs="Times New Roman"/>
          <w:sz w:val="24"/>
        </w:rPr>
      </w:pPr>
      <w:r>
        <w:rPr>
          <w:rFonts w:hint="default" w:ascii="Times New Roman" w:hAnsi="Times New Roman" w:cs="Times New Roman"/>
          <w:sz w:val="24"/>
        </w:rPr>
        <w:t xml:space="preserve">四、联系人 Narahubung ： Yu Zai Jun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五、联系电话 Nomor Telepon： 082177928042  </w:t>
      </w:r>
    </w:p>
    <w:p>
      <w:pPr>
        <w:pStyle w:val="2"/>
        <w:ind w:firstLine="240" w:firstLineChars="100"/>
        <w:jc w:val="center"/>
        <w:rPr>
          <w:rFonts w:ascii="Times New Roman" w:hAnsi="Times New Roman" w:cs="Times New Roman"/>
        </w:rPr>
      </w:pPr>
      <w:r>
        <w:rPr>
          <w:rFonts w:hint="default" w:ascii="Times New Roman" w:hAnsi="Times New Roman" w:cs="Times New Roman"/>
          <w:sz w:val="24"/>
        </w:rPr>
        <w:t>报价表</w:t>
      </w:r>
      <w:r>
        <w:rPr>
          <w:rFonts w:ascii="Times New Roman" w:hAnsi="Times New Roman" w:cs="Times New Roman"/>
          <w:sz w:val="21"/>
          <w:szCs w:val="21"/>
        </w:rPr>
        <w:t>Formulir kutipan</w:t>
      </w:r>
    </w:p>
    <w:tbl>
      <w:tblPr>
        <w:tblStyle w:val="17"/>
        <w:tblW w:w="8493"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0"/>
        <w:gridCol w:w="1975"/>
        <w:gridCol w:w="734"/>
        <w:gridCol w:w="641"/>
        <w:gridCol w:w="1"/>
        <w:gridCol w:w="1554"/>
        <w:gridCol w:w="1896"/>
        <w:gridCol w:w="1211"/>
        <w:gridCol w:w="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 w:type="dxa"/>
          <w:trHeight w:val="1385" w:hRule="atLeast"/>
          <w:jc w:val="center"/>
        </w:trPr>
        <w:tc>
          <w:tcPr>
            <w:tcW w:w="480" w:type="dxa"/>
            <w:vAlign w:val="center"/>
          </w:tcPr>
          <w:p>
            <w:pPr>
              <w:spacing w:line="240" w:lineRule="auto"/>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序  号 No</w:t>
            </w:r>
          </w:p>
        </w:tc>
        <w:tc>
          <w:tcPr>
            <w:tcW w:w="1975"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项目</w:t>
            </w:r>
            <w:r>
              <w:rPr>
                <w:rFonts w:ascii="Times New Roman" w:hAnsi="Times New Roman" w:eastAsia="黑体" w:cs="Times New Roman"/>
                <w:color w:val="000000"/>
                <w:sz w:val="20"/>
                <w:szCs w:val="20"/>
              </w:rPr>
              <w:t>名称Nama sub-item</w:t>
            </w:r>
          </w:p>
        </w:tc>
        <w:tc>
          <w:tcPr>
            <w:tcW w:w="734"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单位 Unit Price</w:t>
            </w:r>
          </w:p>
        </w:tc>
        <w:tc>
          <w:tcPr>
            <w:tcW w:w="641"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数量 Qty</w:t>
            </w:r>
          </w:p>
        </w:tc>
        <w:tc>
          <w:tcPr>
            <w:tcW w:w="1555" w:type="dxa"/>
            <w:gridSpan w:val="2"/>
            <w:vAlign w:val="center"/>
          </w:tcPr>
          <w:p>
            <w:pPr>
              <w:spacing w:line="240" w:lineRule="auto"/>
              <w:jc w:val="center"/>
              <w:rPr>
                <w:rFonts w:hint="default"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单价harga satuan（Rp)</w:t>
            </w:r>
          </w:p>
        </w:tc>
        <w:tc>
          <w:tcPr>
            <w:tcW w:w="1896"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费用总价</w:t>
            </w:r>
            <w:r>
              <w:rPr>
                <w:rFonts w:ascii="Times New Roman" w:hAnsi="Times New Roman" w:eastAsia="黑体" w:cs="Times New Roman"/>
                <w:color w:val="000000"/>
                <w:sz w:val="20"/>
                <w:szCs w:val="20"/>
              </w:rPr>
              <w:t>（Rp）</w:t>
            </w:r>
          </w:p>
          <w:p>
            <w:pPr>
              <w:spacing w:line="240" w:lineRule="auto"/>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Harga keseluruhan (Rp)</w:t>
            </w:r>
          </w:p>
        </w:tc>
        <w:tc>
          <w:tcPr>
            <w:tcW w:w="1211" w:type="dxa"/>
            <w:vAlign w:val="center"/>
          </w:tcPr>
          <w:p>
            <w:pPr>
              <w:spacing w:line="240" w:lineRule="auto"/>
              <w:jc w:val="center"/>
              <w:rPr>
                <w:rFonts w:hint="eastAsia"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 w:type="dxa"/>
          <w:trHeight w:val="1545" w:hRule="atLeast"/>
          <w:jc w:val="center"/>
        </w:trPr>
        <w:tc>
          <w:tcPr>
            <w:tcW w:w="480" w:type="dxa"/>
            <w:vAlign w:val="center"/>
          </w:tcPr>
          <w:p>
            <w:pPr>
              <w:spacing w:line="240" w:lineRule="auto"/>
              <w:jc w:val="center"/>
              <w:rPr>
                <w:rFonts w:ascii="Times New Roman" w:hAnsi="Times New Roman" w:cs="Times New Roman"/>
                <w:color w:val="000000"/>
                <w:sz w:val="20"/>
                <w:szCs w:val="20"/>
              </w:rPr>
            </w:pPr>
            <w:r>
              <w:rPr>
                <w:rFonts w:hint="default" w:ascii="Times New Roman" w:hAnsi="Times New Roman" w:cs="Times New Roman"/>
                <w:color w:val="000000"/>
                <w:sz w:val="20"/>
                <w:szCs w:val="20"/>
              </w:rPr>
              <w:t>1</w:t>
            </w:r>
          </w:p>
        </w:tc>
        <w:tc>
          <w:tcPr>
            <w:tcW w:w="1975" w:type="dxa"/>
            <w:vAlign w:val="center"/>
          </w:tcPr>
          <w:p>
            <w:pPr>
              <w:pStyle w:val="12"/>
              <w:pBdr>
                <w:bottom w:val="none" w:color="auto" w:sz="0" w:space="0"/>
              </w:pBdr>
              <w:rPr>
                <w:rFonts w:ascii="Times New Roman" w:hAnsi="Times New Roman" w:cs="Times New Roman"/>
                <w:color w:val="000000"/>
                <w:sz w:val="20"/>
                <w:szCs w:val="20"/>
              </w:rPr>
            </w:pPr>
            <w:r>
              <w:rPr>
                <w:rFonts w:hint="default" w:ascii="Times New Roman" w:hAnsi="Times New Roman" w:eastAsia="宋体" w:cs="Times New Roman"/>
                <w:kern w:val="0"/>
                <w:sz w:val="20"/>
                <w:szCs w:val="20"/>
                <w:highlight w:val="none"/>
              </w:rPr>
              <w:t>中速磨煤机磨辊套、磨盘衬板堆焊</w:t>
            </w:r>
          </w:p>
        </w:tc>
        <w:tc>
          <w:tcPr>
            <w:tcW w:w="734" w:type="dxa"/>
            <w:vAlign w:val="center"/>
          </w:tcPr>
          <w:p>
            <w:pPr>
              <w:pStyle w:val="12"/>
              <w:pBdr>
                <w:bottom w:val="none" w:color="auto" w:sz="0" w:space="0"/>
              </w:pBd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公斤</w:t>
            </w:r>
          </w:p>
        </w:tc>
        <w:tc>
          <w:tcPr>
            <w:tcW w:w="641" w:type="dxa"/>
            <w:vAlign w:val="center"/>
          </w:tcPr>
          <w:p>
            <w:pPr>
              <w:pStyle w:val="12"/>
              <w:pBdr>
                <w:bottom w:val="none" w:color="auto" w:sz="0" w:space="0"/>
              </w:pBd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5000</w:t>
            </w:r>
          </w:p>
        </w:tc>
        <w:tc>
          <w:tcPr>
            <w:tcW w:w="1555" w:type="dxa"/>
            <w:gridSpan w:val="2"/>
            <w:vAlign w:val="center"/>
          </w:tcPr>
          <w:p>
            <w:pPr>
              <w:spacing w:line="240" w:lineRule="auto"/>
              <w:jc w:val="center"/>
              <w:rPr>
                <w:rFonts w:ascii="Times New Roman" w:hAnsi="Times New Roman" w:cs="Times New Roman"/>
                <w:color w:val="000000"/>
                <w:sz w:val="20"/>
                <w:szCs w:val="20"/>
              </w:rPr>
            </w:pPr>
          </w:p>
        </w:tc>
        <w:tc>
          <w:tcPr>
            <w:tcW w:w="1896" w:type="dxa"/>
            <w:vAlign w:val="center"/>
          </w:tcPr>
          <w:p>
            <w:pPr>
              <w:spacing w:line="240" w:lineRule="auto"/>
              <w:jc w:val="center"/>
              <w:rPr>
                <w:rFonts w:ascii="Times New Roman" w:hAnsi="Times New Roman" w:cs="Times New Roman"/>
                <w:color w:val="000000"/>
                <w:sz w:val="20"/>
                <w:szCs w:val="20"/>
              </w:rPr>
            </w:pPr>
          </w:p>
        </w:tc>
        <w:tc>
          <w:tcPr>
            <w:tcW w:w="1211" w:type="dxa"/>
            <w:vAlign w:val="center"/>
          </w:tcPr>
          <w:p>
            <w:pPr>
              <w:spacing w:line="240" w:lineRule="auto"/>
              <w:jc w:val="both"/>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18"/>
                <w:szCs w:val="18"/>
                <w:lang w:val="en-US" w:eastAsia="zh-CN"/>
              </w:rPr>
              <w:t>以据实结算工作所需焊丝，所有费用都含含在焊丝报价中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480" w:type="dxa"/>
            <w:vAlign w:val="center"/>
          </w:tcPr>
          <w:p>
            <w:pPr>
              <w:spacing w:line="240" w:lineRule="auto"/>
              <w:jc w:val="center"/>
              <w:rPr>
                <w:rFonts w:ascii="Times New Roman" w:hAnsi="Times New Roman" w:cs="Times New Roman"/>
                <w:color w:val="000000"/>
                <w:sz w:val="20"/>
                <w:szCs w:val="20"/>
              </w:rPr>
            </w:pPr>
          </w:p>
        </w:tc>
        <w:tc>
          <w:tcPr>
            <w:tcW w:w="3351" w:type="dxa"/>
            <w:gridSpan w:val="4"/>
            <w:vAlign w:val="center"/>
          </w:tcPr>
          <w:p>
            <w:pPr>
              <w:pStyle w:val="12"/>
              <w:pBdr>
                <w:bottom w:val="none" w:color="auto" w:sz="0" w:space="0"/>
              </w:pBd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小计</w:t>
            </w:r>
          </w:p>
        </w:tc>
        <w:tc>
          <w:tcPr>
            <w:tcW w:w="3450" w:type="dxa"/>
            <w:gridSpan w:val="2"/>
            <w:vAlign w:val="center"/>
          </w:tcPr>
          <w:p>
            <w:pPr>
              <w:spacing w:line="240" w:lineRule="auto"/>
              <w:jc w:val="center"/>
              <w:rPr>
                <w:rFonts w:ascii="Times New Roman" w:hAnsi="Times New Roman" w:cs="Times New Roman"/>
                <w:color w:val="000000"/>
                <w:sz w:val="20"/>
                <w:szCs w:val="20"/>
              </w:rPr>
            </w:pPr>
          </w:p>
        </w:tc>
        <w:tc>
          <w:tcPr>
            <w:tcW w:w="1212" w:type="dxa"/>
            <w:gridSpan w:val="2"/>
            <w:vAlign w:val="center"/>
          </w:tcPr>
          <w:p>
            <w:pPr>
              <w:spacing w:line="240" w:lineRule="auto"/>
              <w:jc w:val="center"/>
              <w:rPr>
                <w:rFonts w:ascii="Times New Roman" w:hAnsi="Times New Roman" w:cs="Times New Roman"/>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480" w:type="dxa"/>
            <w:vAlign w:val="center"/>
          </w:tcPr>
          <w:p>
            <w:pPr>
              <w:spacing w:line="240" w:lineRule="auto"/>
              <w:jc w:val="center"/>
              <w:rPr>
                <w:rFonts w:ascii="Times New Roman" w:hAnsi="Times New Roman" w:cs="Times New Roman"/>
                <w:color w:val="000000"/>
                <w:sz w:val="20"/>
                <w:szCs w:val="20"/>
              </w:rPr>
            </w:pPr>
          </w:p>
        </w:tc>
        <w:tc>
          <w:tcPr>
            <w:tcW w:w="3351" w:type="dxa"/>
            <w:gridSpan w:val="4"/>
            <w:vAlign w:val="center"/>
          </w:tcPr>
          <w:p>
            <w:pPr>
              <w:pStyle w:val="12"/>
              <w:pBdr>
                <w:bottom w:val="none" w:color="auto" w:sz="0" w:space="0"/>
              </w:pBdr>
              <w:rPr>
                <w:rFonts w:hint="default" w:ascii="Times New Roman" w:hAnsi="Times New Roman" w:eastAsia="宋体" w:cs="Times New Roman"/>
                <w:kern w:val="0"/>
                <w:sz w:val="20"/>
                <w:szCs w:val="20"/>
                <w:lang w:val="en-US" w:eastAsia="zh-CN"/>
              </w:rPr>
            </w:pPr>
            <w:r>
              <w:rPr>
                <w:rFonts w:hint="default" w:ascii="Times New Roman" w:hAnsi="Times New Roman" w:eastAsia="宋体" w:cs="Times New Roman"/>
                <w:kern w:val="0"/>
                <w:sz w:val="20"/>
                <w:szCs w:val="20"/>
              </w:rPr>
              <w:t>PPN</w:t>
            </w:r>
            <w:r>
              <w:rPr>
                <w:rFonts w:hint="eastAsia" w:ascii="Times New Roman" w:hAnsi="Times New Roman" w:eastAsia="宋体" w:cs="Times New Roman"/>
                <w:kern w:val="0"/>
                <w:sz w:val="20"/>
                <w:szCs w:val="20"/>
                <w:lang w:val="en-US" w:eastAsia="zh-CN"/>
              </w:rPr>
              <w:t>11%</w:t>
            </w:r>
          </w:p>
        </w:tc>
        <w:tc>
          <w:tcPr>
            <w:tcW w:w="3450" w:type="dxa"/>
            <w:gridSpan w:val="2"/>
            <w:vAlign w:val="center"/>
          </w:tcPr>
          <w:p>
            <w:pPr>
              <w:spacing w:line="240" w:lineRule="auto"/>
              <w:jc w:val="center"/>
              <w:rPr>
                <w:rFonts w:ascii="Times New Roman" w:hAnsi="Times New Roman" w:cs="Times New Roman"/>
                <w:color w:val="000000"/>
                <w:sz w:val="20"/>
                <w:szCs w:val="20"/>
              </w:rPr>
            </w:pPr>
          </w:p>
        </w:tc>
        <w:tc>
          <w:tcPr>
            <w:tcW w:w="1212" w:type="dxa"/>
            <w:gridSpan w:val="2"/>
            <w:vAlign w:val="center"/>
          </w:tcPr>
          <w:p>
            <w:pPr>
              <w:spacing w:line="240" w:lineRule="auto"/>
              <w:jc w:val="center"/>
              <w:rPr>
                <w:rFonts w:ascii="Times New Roman" w:hAnsi="Times New Roman" w:cs="Times New Roman"/>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480" w:type="dxa"/>
            <w:vAlign w:val="center"/>
          </w:tcPr>
          <w:p>
            <w:pPr>
              <w:spacing w:line="240" w:lineRule="auto"/>
              <w:jc w:val="center"/>
              <w:rPr>
                <w:rFonts w:ascii="Times New Roman" w:hAnsi="Times New Roman" w:cs="Times New Roman"/>
                <w:color w:val="000000"/>
                <w:sz w:val="20"/>
                <w:szCs w:val="20"/>
              </w:rPr>
            </w:pPr>
          </w:p>
        </w:tc>
        <w:tc>
          <w:tcPr>
            <w:tcW w:w="3351" w:type="dxa"/>
            <w:gridSpan w:val="4"/>
            <w:vAlign w:val="center"/>
          </w:tcPr>
          <w:p>
            <w:pPr>
              <w:pStyle w:val="12"/>
              <w:pBdr>
                <w:bottom w:val="none" w:color="auto" w:sz="0" w:space="0"/>
              </w:pBdr>
              <w:rPr>
                <w:rFonts w:ascii="Times New Roman" w:hAnsi="Times New Roman" w:eastAsia="宋体" w:cs="Times New Roman"/>
                <w:kern w:val="0"/>
                <w:sz w:val="20"/>
                <w:szCs w:val="20"/>
              </w:rPr>
            </w:pPr>
            <w:r>
              <w:rPr>
                <w:rFonts w:hint="default" w:ascii="Times New Roman" w:hAnsi="Times New Roman" w:eastAsia="宋体" w:cs="Times New Roman"/>
                <w:kern w:val="0"/>
                <w:sz w:val="20"/>
                <w:szCs w:val="20"/>
              </w:rPr>
              <w:t>总计</w:t>
            </w:r>
          </w:p>
        </w:tc>
        <w:tc>
          <w:tcPr>
            <w:tcW w:w="3450" w:type="dxa"/>
            <w:gridSpan w:val="2"/>
            <w:vAlign w:val="center"/>
          </w:tcPr>
          <w:p>
            <w:pPr>
              <w:spacing w:line="240" w:lineRule="auto"/>
              <w:jc w:val="center"/>
              <w:rPr>
                <w:rFonts w:ascii="Times New Roman" w:hAnsi="Times New Roman" w:cs="Times New Roman"/>
                <w:color w:val="000000"/>
                <w:sz w:val="20"/>
                <w:szCs w:val="20"/>
              </w:rPr>
            </w:pPr>
          </w:p>
        </w:tc>
        <w:tc>
          <w:tcPr>
            <w:tcW w:w="1212" w:type="dxa"/>
            <w:gridSpan w:val="2"/>
            <w:vAlign w:val="center"/>
          </w:tcPr>
          <w:p>
            <w:pPr>
              <w:spacing w:line="240" w:lineRule="auto"/>
              <w:jc w:val="center"/>
              <w:rPr>
                <w:rFonts w:ascii="Times New Roman" w:hAnsi="Times New Roman" w:cs="Times New Roman"/>
                <w:color w:val="000000"/>
                <w:sz w:val="20"/>
                <w:szCs w:val="20"/>
              </w:rPr>
            </w:pPr>
          </w:p>
        </w:tc>
      </w:tr>
    </w:tbl>
    <w:p>
      <w:pPr>
        <w:pStyle w:val="3"/>
        <w:ind w:firstLine="0" w:firstLineChars="0"/>
        <w:rPr>
          <w:rFonts w:ascii="Times New Roman" w:hAnsi="Times New Roman" w:cs="Times New Roman"/>
        </w:rPr>
      </w:pPr>
      <w:bookmarkStart w:id="8" w:name="_GoBack"/>
      <w:bookmarkEnd w:id="8"/>
    </w:p>
    <w:p>
      <w:pPr>
        <w:pStyle w:val="8"/>
        <w:snapToGrid w:val="0"/>
        <w:spacing w:after="0" w:line="240" w:lineRule="auto"/>
        <w:jc w:val="both"/>
        <w:rPr>
          <w:rFonts w:eastAsia="FangSong_GB2312" w:cs="Times New Roman"/>
          <w:b/>
          <w:spacing w:val="40"/>
          <w:sz w:val="44"/>
          <w:szCs w:val="44"/>
        </w:rPr>
      </w:pPr>
    </w:p>
    <w:p>
      <w:pPr>
        <w:keepNext w:val="0"/>
        <w:keepLines w:val="0"/>
        <w:pageBreakBefore w:val="0"/>
        <w:widowControl w:val="0"/>
        <w:tabs>
          <w:tab w:val="left" w:pos="737"/>
        </w:tabs>
        <w:kinsoku/>
        <w:wordWrap/>
        <w:overflowPunct/>
        <w:topLinePunct w:val="0"/>
        <w:autoSpaceDE w:val="0"/>
        <w:autoSpaceDN w:val="0"/>
        <w:bidi w:val="0"/>
        <w:adjustRightInd w:val="0"/>
        <w:snapToGrid w:val="0"/>
        <w:spacing w:line="360" w:lineRule="auto"/>
        <w:ind w:right="0" w:rightChars="0"/>
        <w:jc w:val="center"/>
        <w:rPr>
          <w:rFonts w:hint="eastAsia" w:ascii="仿宋_GB2312" w:hAnsi="仿宋_GB2312" w:eastAsia="仿宋_GB2312" w:cs="仿宋_GB2312"/>
          <w:b/>
          <w:bCs/>
          <w:sz w:val="36"/>
          <w:szCs w:val="36"/>
          <w:highlight w:val="none"/>
          <w:lang w:val="en-US" w:eastAsia="zh-CN"/>
        </w:rPr>
      </w:pPr>
      <w:r>
        <w:rPr>
          <w:rFonts w:hint="eastAsia" w:ascii="仿宋_GB2312" w:hAnsi="仿宋_GB2312" w:eastAsia="仿宋_GB2312" w:cs="仿宋_GB2312"/>
          <w:b/>
          <w:bCs/>
          <w:sz w:val="36"/>
          <w:szCs w:val="36"/>
          <w:highlight w:val="none"/>
          <w:lang w:val="en-US" w:eastAsia="zh-CN"/>
        </w:rPr>
        <w:t>#2机组检查性大修锅炉</w:t>
      </w:r>
      <w:r>
        <w:rPr>
          <w:rFonts w:hint="eastAsia" w:ascii="仿宋_GB2312" w:hAnsi="仿宋_GB2312" w:eastAsia="仿宋_GB2312" w:cs="仿宋_GB2312"/>
          <w:b/>
          <w:bCs/>
          <w:sz w:val="36"/>
          <w:szCs w:val="36"/>
          <w:highlight w:val="none"/>
          <w:lang w:val="zh-CN"/>
        </w:rPr>
        <w:t>中速磨煤机</w:t>
      </w:r>
      <w:r>
        <w:rPr>
          <w:rFonts w:hint="eastAsia" w:ascii="仿宋_GB2312" w:hAnsi="仿宋_GB2312" w:eastAsia="仿宋_GB2312" w:cs="仿宋_GB2312"/>
          <w:b/>
          <w:bCs/>
          <w:sz w:val="36"/>
          <w:szCs w:val="36"/>
          <w:highlight w:val="none"/>
          <w:lang w:val="en-US" w:eastAsia="zh-CN"/>
        </w:rPr>
        <w:t>磨辊套、磨盘衬板在线</w:t>
      </w:r>
      <w:r>
        <w:rPr>
          <w:rFonts w:hint="eastAsia" w:ascii="仿宋_GB2312" w:hAnsi="仿宋_GB2312" w:eastAsia="仿宋_GB2312" w:cs="仿宋_GB2312"/>
          <w:b/>
          <w:bCs/>
          <w:sz w:val="36"/>
          <w:szCs w:val="36"/>
          <w:highlight w:val="none"/>
          <w:lang w:val="zh-CN"/>
        </w:rPr>
        <w:t>堆焊</w:t>
      </w:r>
      <w:r>
        <w:rPr>
          <w:rFonts w:hint="eastAsia" w:ascii="仿宋_GB2312" w:hAnsi="仿宋_GB2312" w:eastAsia="仿宋_GB2312" w:cs="仿宋_GB2312"/>
          <w:b/>
          <w:bCs/>
          <w:sz w:val="36"/>
          <w:szCs w:val="36"/>
          <w:highlight w:val="none"/>
          <w:lang w:val="en-US" w:eastAsia="zh-CN"/>
        </w:rPr>
        <w:t>技术规范书</w:t>
      </w:r>
    </w:p>
    <w:p>
      <w:pPr>
        <w:pStyle w:val="2"/>
        <w:tabs>
          <w:tab w:val="left" w:pos="480"/>
        </w:tabs>
        <w:rPr>
          <w:rFonts w:hint="eastAsia"/>
          <w:lang w:val="en-US" w:eastAsia="zh-CN"/>
        </w:rPr>
      </w:pPr>
      <w:r>
        <w:rPr>
          <w:rFonts w:hint="eastAsia"/>
          <w:sz w:val="32"/>
          <w:szCs w:val="32"/>
          <w:lang w:val="en-US" w:eastAsia="zh-CN"/>
        </w:rPr>
        <w:t>#2 unit overhaul boiler medium-speed coal mill grinding roller sleeve and grinding plate lining welding technical specification</w:t>
      </w:r>
    </w:p>
    <w:p>
      <w:pPr>
        <w:keepNext w:val="0"/>
        <w:keepLines w:val="0"/>
        <w:pageBreakBefore w:val="0"/>
        <w:widowControl w:val="0"/>
        <w:tabs>
          <w:tab w:val="left" w:pos="737"/>
        </w:tabs>
        <w:kinsoku/>
        <w:wordWrap/>
        <w:overflowPunct/>
        <w:topLinePunct w:val="0"/>
        <w:bidi w:val="0"/>
        <w:adjustRightInd w:val="0"/>
        <w:snapToGrid w:val="0"/>
        <w:ind w:right="0" w:rightChars="0" w:firstLine="2880" w:firstLineChars="797"/>
        <w:rPr>
          <w:rFonts w:hint="eastAsia" w:ascii="仿宋_GB2312" w:hAnsi="仿宋_GB2312" w:eastAsia="仿宋_GB2312" w:cs="仿宋_GB2312"/>
          <w:b/>
          <w:sz w:val="36"/>
          <w:szCs w:val="36"/>
          <w:highlight w:val="none"/>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default" w:ascii="仿宋_GB2312" w:hAnsi="仿宋_GB2312" w:eastAsia="仿宋_GB2312" w:cs="仿宋_GB2312"/>
          <w:b/>
          <w:sz w:val="36"/>
          <w:szCs w:val="36"/>
          <w:highlight w:val="none"/>
          <w:lang w:val="en-US" w:eastAsia="zh-CN"/>
        </w:rPr>
      </w:pPr>
      <w:r>
        <w:rPr>
          <w:rFonts w:hint="eastAsia" w:ascii="仿宋_GB2312" w:hAnsi="仿宋_GB2312" w:eastAsia="仿宋_GB2312" w:cs="仿宋_GB2312"/>
          <w:b/>
          <w:sz w:val="36"/>
          <w:szCs w:val="36"/>
          <w:highlight w:val="none"/>
          <w:lang w:val="en-US" w:eastAsia="zh-CN"/>
        </w:rPr>
        <w:t>2025.10</w:t>
      </w:r>
    </w:p>
    <w:p>
      <w:pPr>
        <w:keepNext w:val="0"/>
        <w:keepLines w:val="0"/>
        <w:pageBreakBefore w:val="0"/>
        <w:widowControl w:val="0"/>
        <w:tabs>
          <w:tab w:val="left" w:pos="737"/>
        </w:tabs>
        <w:kinsoku/>
        <w:wordWrap/>
        <w:overflowPunct/>
        <w:topLinePunct w:val="0"/>
        <w:bidi w:val="0"/>
        <w:adjustRightInd w:val="0"/>
        <w:snapToGrid w:val="0"/>
        <w:ind w:right="0" w:rightChars="0" w:firstLine="3520" w:firstLineChars="797"/>
        <w:rPr>
          <w:rFonts w:hint="eastAsia" w:ascii="仿宋_GB2312" w:hAnsi="仿宋_GB2312" w:eastAsia="仿宋_GB2312" w:cs="仿宋_GB2312"/>
          <w:b/>
          <w:sz w:val="44"/>
          <w:szCs w:val="44"/>
          <w:highlight w:val="none"/>
        </w:rPr>
        <w:sectPr>
          <w:headerReference r:id="rId4" w:type="first"/>
          <w:headerReference r:id="rId3" w:type="default"/>
          <w:pgSz w:w="11906" w:h="16838"/>
          <w:pgMar w:top="1440" w:right="1800" w:bottom="1440" w:left="1800" w:header="567" w:footer="1247" w:gutter="0"/>
          <w:pgNumType w:fmt="numberInDash" w:start="1"/>
          <w:cols w:space="720" w:num="1"/>
          <w:titlePg/>
          <w:docGrid w:type="lines" w:linePitch="312" w:charSpace="0"/>
        </w:sectPr>
      </w:pPr>
    </w:p>
    <w:p>
      <w:pPr>
        <w:keepNext w:val="0"/>
        <w:keepLines w:val="0"/>
        <w:pageBreakBefore w:val="0"/>
        <w:widowControl w:val="0"/>
        <w:tabs>
          <w:tab w:val="left" w:pos="737"/>
        </w:tabs>
        <w:kinsoku/>
        <w:wordWrap/>
        <w:overflowPunct/>
        <w:topLinePunct w:val="0"/>
        <w:bidi w:val="0"/>
        <w:adjustRightInd w:val="0"/>
        <w:snapToGrid w:val="0"/>
        <w:ind w:right="0" w:rightChars="0" w:firstLine="3520" w:firstLineChars="797"/>
        <w:rPr>
          <w:rFonts w:hint="eastAsia" w:ascii="仿宋_GB2312" w:hAnsi="仿宋_GB2312" w:eastAsia="仿宋_GB2312" w:cs="仿宋_GB2312"/>
          <w:b/>
          <w:sz w:val="44"/>
          <w:szCs w:val="44"/>
          <w:highlight w:val="none"/>
        </w:rPr>
      </w:pPr>
    </w:p>
    <w:p>
      <w:pPr>
        <w:spacing w:before="0" w:beforeLines="0" w:after="0" w:afterLines="0" w:line="240" w:lineRule="auto"/>
        <w:ind w:left="0" w:leftChars="0" w:right="0" w:rightChars="0" w:firstLine="0" w:firstLineChars="0"/>
        <w:jc w:val="center"/>
        <w:rPr>
          <w:sz w:val="36"/>
          <w:szCs w:val="22"/>
        </w:rPr>
      </w:pPr>
      <w:r>
        <w:rPr>
          <w:rFonts w:ascii="宋体" w:hAnsi="宋体" w:eastAsia="宋体"/>
          <w:sz w:val="24"/>
          <w:szCs w:val="22"/>
        </w:rPr>
        <w:t>目录</w:t>
      </w:r>
    </w:p>
    <w:p>
      <w:pPr>
        <w:pStyle w:val="13"/>
        <w:tabs>
          <w:tab w:val="right" w:leader="dot" w:pos="8306"/>
        </w:tabs>
      </w:pPr>
      <w:r>
        <w:fldChar w:fldCharType="begin"/>
      </w:r>
      <w:r>
        <w:instrText xml:space="preserve">TOC \o "1-1" \h \u </w:instrText>
      </w:r>
      <w:r>
        <w:fldChar w:fldCharType="separate"/>
      </w:r>
      <w:r>
        <w:fldChar w:fldCharType="begin"/>
      </w:r>
      <w:r>
        <w:instrText xml:space="preserve"> HYPERLINK \l _Toc18489 </w:instrText>
      </w:r>
      <w:r>
        <w:fldChar w:fldCharType="separate"/>
      </w:r>
      <w:r>
        <w:rPr>
          <w:rFonts w:hint="eastAsia"/>
        </w:rPr>
        <w:t>一、总则</w:t>
      </w:r>
      <w:r>
        <w:tab/>
      </w:r>
      <w:r>
        <w:fldChar w:fldCharType="begin"/>
      </w:r>
      <w:r>
        <w:instrText xml:space="preserve"> PAGEREF _Toc18489 \h </w:instrText>
      </w:r>
      <w:r>
        <w:fldChar w:fldCharType="separate"/>
      </w:r>
      <w:r>
        <w:t>2</w:t>
      </w:r>
      <w:r>
        <w:fldChar w:fldCharType="end"/>
      </w:r>
      <w: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ascii="Times New Roman" w:hAnsi="Times New Roman" w:eastAsia="宋体" w:cs="Times New Roman"/>
          <w:bCs/>
          <w:color w:val="auto"/>
          <w:szCs w:val="20"/>
          <w:highlight w:val="none"/>
          <w:lang w:val="en-US" w:eastAsia="zh-CN"/>
        </w:rPr>
        <w:t>一、</w:t>
      </w:r>
      <w:r>
        <w:rPr>
          <w:rFonts w:hint="eastAsia" w:ascii="Times New Roman" w:hAnsi="Times New Roman" w:eastAsia="宋体" w:cs="Times New Roman"/>
          <w:bCs/>
          <w:color w:val="auto"/>
          <w:szCs w:val="20"/>
          <w:highlight w:val="none"/>
        </w:rPr>
        <w:t>general rules</w:t>
      </w:r>
    </w:p>
    <w:p>
      <w:pPr>
        <w:pStyle w:val="13"/>
        <w:tabs>
          <w:tab w:val="right" w:leader="dot" w:pos="8306"/>
        </w:tabs>
      </w:pPr>
      <w:r>
        <w:fldChar w:fldCharType="begin"/>
      </w:r>
      <w:r>
        <w:instrText xml:space="preserve"> HYPERLINK \l _Toc31235 </w:instrText>
      </w:r>
      <w:r>
        <w:fldChar w:fldCharType="separate"/>
      </w:r>
      <w:r>
        <w:rPr>
          <w:rFonts w:hint="eastAsia"/>
        </w:rPr>
        <w:t>二、工程概况</w:t>
      </w:r>
      <w:r>
        <w:tab/>
      </w:r>
      <w:r>
        <w:fldChar w:fldCharType="begin"/>
      </w:r>
      <w:r>
        <w:instrText xml:space="preserve"> PAGEREF _Toc31235 \h </w:instrText>
      </w:r>
      <w:r>
        <w:fldChar w:fldCharType="separate"/>
      </w:r>
      <w:r>
        <w:t>4</w:t>
      </w:r>
      <w:r>
        <w:fldChar w:fldCharType="end"/>
      </w:r>
      <w:r>
        <w:fldChar w:fldCharType="end"/>
      </w:r>
    </w:p>
    <w:p>
      <w:pPr>
        <w:pStyle w:val="13"/>
        <w:tabs>
          <w:tab w:val="right" w:leader="dot" w:pos="8306"/>
        </w:tabs>
      </w:pPr>
      <w:r>
        <w:rPr>
          <w:rFonts w:hint="eastAsia"/>
          <w:lang w:val="en-US" w:eastAsia="zh-CN"/>
        </w:rPr>
        <w:t>二、</w:t>
      </w:r>
      <w:r>
        <w:rPr>
          <w:rFonts w:hint="eastAsia"/>
        </w:rPr>
        <w:t>Project Overview</w:t>
      </w:r>
    </w:p>
    <w:p>
      <w:pPr>
        <w:pStyle w:val="13"/>
        <w:tabs>
          <w:tab w:val="right" w:leader="dot" w:pos="8306"/>
        </w:tabs>
      </w:pPr>
      <w:r>
        <w:fldChar w:fldCharType="begin"/>
      </w:r>
      <w:r>
        <w:instrText xml:space="preserve"> HYPERLINK \l _Toc23502 </w:instrText>
      </w:r>
      <w:r>
        <w:fldChar w:fldCharType="separate"/>
      </w:r>
      <w:r>
        <w:rPr>
          <w:rFonts w:hint="eastAsia"/>
          <w:lang w:val="en-US" w:eastAsia="zh-CN"/>
        </w:rPr>
        <w:t>三、修复内容及技术要求</w:t>
      </w:r>
      <w:r>
        <w:tab/>
      </w:r>
      <w:r>
        <w:fldChar w:fldCharType="begin"/>
      </w:r>
      <w:r>
        <w:instrText xml:space="preserve"> PAGEREF _Toc23502 \h </w:instrText>
      </w:r>
      <w:r>
        <w:fldChar w:fldCharType="separate"/>
      </w:r>
      <w:r>
        <w:t>8</w:t>
      </w:r>
      <w:r>
        <w:fldChar w:fldCharType="end"/>
      </w:r>
      <w:r>
        <w:fldChar w:fldCharType="end"/>
      </w:r>
    </w:p>
    <w:p>
      <w:pPr>
        <w:pStyle w:val="13"/>
        <w:tabs>
          <w:tab w:val="right" w:leader="dot" w:pos="8306"/>
        </w:tabs>
      </w:pPr>
      <w:r>
        <w:rPr>
          <w:rFonts w:hint="eastAsia"/>
          <w:lang w:val="en-US" w:eastAsia="zh-CN"/>
        </w:rPr>
        <w:t>三、</w:t>
      </w:r>
      <w:r>
        <w:rPr>
          <w:rFonts w:hint="eastAsia"/>
        </w:rPr>
        <w:t>Repair content and technical requirements</w:t>
      </w:r>
    </w:p>
    <w:p>
      <w:pPr>
        <w:pStyle w:val="13"/>
        <w:tabs>
          <w:tab w:val="right" w:leader="dot" w:pos="8306"/>
        </w:tabs>
      </w:pPr>
      <w:r>
        <w:fldChar w:fldCharType="begin"/>
      </w:r>
      <w:r>
        <w:instrText xml:space="preserve"> HYPERLINK \l _Toc12199 </w:instrText>
      </w:r>
      <w:r>
        <w:fldChar w:fldCharType="separate"/>
      </w:r>
      <w:r>
        <w:rPr>
          <w:rFonts w:hint="eastAsia"/>
          <w:lang w:eastAsia="zh-CN"/>
        </w:rPr>
        <w:t>四、双方责任</w:t>
      </w:r>
      <w:r>
        <w:tab/>
      </w:r>
      <w:r>
        <w:fldChar w:fldCharType="begin"/>
      </w:r>
      <w:r>
        <w:instrText xml:space="preserve"> PAGEREF _Toc12199 \h </w:instrText>
      </w:r>
      <w:r>
        <w:fldChar w:fldCharType="separate"/>
      </w:r>
      <w:r>
        <w:t>15</w:t>
      </w:r>
      <w:r>
        <w:fldChar w:fldCharType="end"/>
      </w:r>
      <w:r>
        <w:fldChar w:fldCharType="end"/>
      </w:r>
    </w:p>
    <w:p>
      <w:pPr>
        <w:pStyle w:val="13"/>
        <w:tabs>
          <w:tab w:val="right" w:leader="dot" w:pos="8306"/>
        </w:tabs>
      </w:pPr>
      <w:r>
        <w:rPr>
          <w:rFonts w:hint="eastAsia"/>
          <w:lang w:val="en-US" w:eastAsia="zh-CN"/>
        </w:rPr>
        <w:t>四、</w:t>
      </w:r>
      <w:r>
        <w:rPr>
          <w:rFonts w:hint="eastAsia"/>
        </w:rPr>
        <w:t>Mutual responsibility</w:t>
      </w:r>
    </w:p>
    <w:p>
      <w:pPr>
        <w:pStyle w:val="13"/>
        <w:tabs>
          <w:tab w:val="right" w:leader="dot" w:pos="8306"/>
        </w:tabs>
      </w:pPr>
      <w:r>
        <w:fldChar w:fldCharType="begin"/>
      </w:r>
      <w:r>
        <w:instrText xml:space="preserve"> HYPERLINK \l _Toc27745 </w:instrText>
      </w:r>
      <w:r>
        <w:fldChar w:fldCharType="separate"/>
      </w:r>
      <w:r>
        <w:rPr>
          <w:rFonts w:hint="eastAsia"/>
          <w:lang w:val="zh-CN" w:eastAsia="zh-CN"/>
        </w:rPr>
        <w:t>五、工期要求：</w:t>
      </w:r>
      <w:r>
        <w:tab/>
      </w:r>
      <w:r>
        <w:fldChar w:fldCharType="begin"/>
      </w:r>
      <w:r>
        <w:instrText xml:space="preserve"> PAGEREF _Toc27745 \h </w:instrText>
      </w:r>
      <w:r>
        <w:fldChar w:fldCharType="separate"/>
      </w:r>
      <w:r>
        <w:t>16</w:t>
      </w:r>
      <w:r>
        <w:fldChar w:fldCharType="end"/>
      </w:r>
      <w:r>
        <w:fldChar w:fldCharType="end"/>
      </w:r>
    </w:p>
    <w:p>
      <w:pPr>
        <w:pStyle w:val="13"/>
        <w:tabs>
          <w:tab w:val="right" w:leader="dot" w:pos="8306"/>
        </w:tabs>
      </w:pPr>
      <w:r>
        <w:rPr>
          <w:rFonts w:hint="eastAsia"/>
          <w:lang w:val="en-US" w:eastAsia="zh-CN"/>
        </w:rPr>
        <w:t>五、</w:t>
      </w:r>
      <w:r>
        <w:rPr>
          <w:rFonts w:hint="eastAsia"/>
        </w:rPr>
        <w:t>Construction timeline</w:t>
      </w:r>
    </w:p>
    <w:p>
      <w:pPr>
        <w:pStyle w:val="13"/>
        <w:tabs>
          <w:tab w:val="right" w:leader="dot" w:pos="8306"/>
        </w:tabs>
      </w:pPr>
      <w:r>
        <w:fldChar w:fldCharType="begin"/>
      </w:r>
      <w:r>
        <w:instrText xml:space="preserve"> HYPERLINK \l _Toc24975 </w:instrText>
      </w:r>
      <w:r>
        <w:fldChar w:fldCharType="separate"/>
      </w:r>
      <w:r>
        <w:rPr>
          <w:rFonts w:hint="eastAsia"/>
          <w:lang w:val="zh-CN" w:eastAsia="zh-CN"/>
        </w:rPr>
        <w:t>六、质量保证：</w:t>
      </w:r>
      <w:r>
        <w:tab/>
      </w:r>
      <w:r>
        <w:fldChar w:fldCharType="begin"/>
      </w:r>
      <w:r>
        <w:instrText xml:space="preserve"> PAGEREF _Toc24975 \h </w:instrText>
      </w:r>
      <w:r>
        <w:fldChar w:fldCharType="separate"/>
      </w:r>
      <w:r>
        <w:t>17</w:t>
      </w:r>
      <w:r>
        <w:fldChar w:fldCharType="end"/>
      </w:r>
      <w:r>
        <w:fldChar w:fldCharType="end"/>
      </w:r>
    </w:p>
    <w:p>
      <w:pPr>
        <w:sectPr>
          <w:headerReference r:id="rId6" w:type="first"/>
          <w:footerReference r:id="rId8" w:type="first"/>
          <w:headerReference r:id="rId5" w:type="default"/>
          <w:footerReference r:id="rId7" w:type="default"/>
          <w:pgSz w:w="11906" w:h="16838"/>
          <w:pgMar w:top="1440" w:right="1800" w:bottom="1440" w:left="1800" w:header="1020" w:footer="964" w:gutter="0"/>
          <w:pgNumType w:fmt="decimal" w:start="1"/>
          <w:cols w:space="720" w:num="1"/>
          <w:titlePg/>
          <w:docGrid w:type="lines" w:linePitch="312" w:charSpace="0"/>
        </w:sectPr>
      </w:pPr>
      <w:r>
        <w:fldChar w:fldCharType="end"/>
      </w:r>
      <w:r>
        <w:rPr>
          <w:rFonts w:hint="eastAsia"/>
          <w:lang w:val="en-US" w:eastAsia="zh-CN"/>
        </w:rPr>
        <w:t xml:space="preserve">六、 </w:t>
      </w:r>
      <w:r>
        <w:rPr>
          <w:rFonts w:hint="eastAsia"/>
        </w:rPr>
        <w:t xml:space="preserve">quality assurance </w:t>
      </w:r>
    </w:p>
    <w:p>
      <w:pPr>
        <w:pStyle w:val="4"/>
        <w:numPr>
          <w:ilvl w:val="0"/>
          <w:numId w:val="0"/>
        </w:numPr>
        <w:tabs>
          <w:tab w:val="left" w:pos="480"/>
        </w:tabs>
        <w:jc w:val="both"/>
        <w:rPr>
          <w:rFonts w:hint="eastAsia"/>
        </w:rPr>
      </w:pPr>
      <w:bookmarkStart w:id="1" w:name="_Toc18489"/>
      <w:r>
        <w:rPr>
          <w:rFonts w:hint="eastAsia" w:ascii="Arial" w:hAnsi="Arial" w:eastAsia="宋体"/>
          <w:b/>
          <w:kern w:val="44"/>
          <w:sz w:val="28"/>
          <w:lang w:val="en-US" w:eastAsia="zh-CN" w:bidi="ar-SA"/>
        </w:rPr>
        <w:t>一、</w:t>
      </w:r>
      <w:r>
        <w:rPr>
          <w:rFonts w:hint="eastAsia"/>
        </w:rPr>
        <w:t>总则</w:t>
      </w:r>
      <w:bookmarkEnd w:id="1"/>
    </w:p>
    <w:p>
      <w:pPr>
        <w:pStyle w:val="4"/>
        <w:numPr>
          <w:ilvl w:val="0"/>
          <w:numId w:val="0"/>
        </w:numPr>
        <w:tabs>
          <w:tab w:val="left" w:pos="480"/>
        </w:tabs>
        <w:jc w:val="both"/>
        <w:rPr>
          <w:rFonts w:hint="eastAsia"/>
        </w:rPr>
      </w:pPr>
      <w:r>
        <w:rPr>
          <w:rFonts w:hint="eastAsia" w:ascii="Times New Roman" w:hAnsi="Times New Roman" w:eastAsia="宋体" w:cs="Times New Roman"/>
          <w:bCs/>
          <w:color w:val="auto"/>
          <w:szCs w:val="20"/>
          <w:highlight w:val="none"/>
          <w:lang w:val="en-US" w:eastAsia="zh-CN"/>
        </w:rPr>
        <w:t>一、</w:t>
      </w:r>
      <w:r>
        <w:rPr>
          <w:rFonts w:hint="eastAsia" w:ascii="Times New Roman" w:hAnsi="Times New Roman" w:eastAsia="宋体" w:cs="Times New Roman"/>
          <w:bCs/>
          <w:color w:val="auto"/>
          <w:szCs w:val="20"/>
          <w:highlight w:val="none"/>
        </w:rPr>
        <w:t>general rules</w:t>
      </w:r>
    </w:p>
    <w:p>
      <w:pPr>
        <w:pStyle w:val="4"/>
        <w:tabs>
          <w:tab w:val="left" w:pos="480"/>
        </w:tabs>
        <w:jc w:val="both"/>
        <w:rPr>
          <w:rFonts w:hint="eastAsia" w:ascii="仿宋_GB2312" w:eastAsia="仿宋_GB2312"/>
          <w:color w:val="auto"/>
          <w:kern w:val="0"/>
          <w:sz w:val="24"/>
          <w:lang w:eastAsia="zh-CN"/>
        </w:rPr>
      </w:pPr>
      <w:r>
        <w:rPr>
          <w:rFonts w:hint="eastAsia"/>
          <w:lang w:val="en-US" w:eastAsia="zh-CN"/>
        </w:rPr>
        <w:t xml:space="preserve"> </w:t>
      </w:r>
      <w:r>
        <w:rPr>
          <w:rFonts w:hint="eastAsia" w:ascii="仿宋_GB2312" w:eastAsia="仿宋_GB2312"/>
          <w:color w:val="auto"/>
          <w:kern w:val="0"/>
          <w:sz w:val="24"/>
          <w:lang w:eastAsia="zh-CN"/>
        </w:rPr>
        <w:t>1.基本要求</w:t>
      </w:r>
    </w:p>
    <w:p>
      <w:pPr>
        <w:pStyle w:val="4"/>
        <w:tabs>
          <w:tab w:val="left" w:pos="480"/>
        </w:tabs>
        <w:jc w:val="both"/>
        <w:rPr>
          <w:rFonts w:hint="eastAsia" w:ascii="仿宋_GB2312" w:eastAsia="仿宋_GB2312"/>
          <w:color w:val="auto"/>
          <w:kern w:val="0"/>
          <w:sz w:val="24"/>
          <w:lang w:eastAsia="zh-CN"/>
        </w:rPr>
      </w:pPr>
      <w:r>
        <w:rPr>
          <w:rFonts w:hint="eastAsia" w:ascii="仿宋_GB2312" w:eastAsia="仿宋_GB2312"/>
          <w:color w:val="auto"/>
          <w:kern w:val="0"/>
          <w:sz w:val="24"/>
          <w:lang w:val="en-US" w:eastAsia="zh-CN"/>
        </w:rPr>
        <w:t xml:space="preserve">1. </w:t>
      </w:r>
      <w:r>
        <w:rPr>
          <w:rFonts w:hint="eastAsia" w:ascii="仿宋_GB2312" w:eastAsia="仿宋_GB2312"/>
          <w:color w:val="auto"/>
          <w:kern w:val="0"/>
          <w:sz w:val="24"/>
          <w:lang w:eastAsia="zh-CN"/>
        </w:rPr>
        <w:t xml:space="preserve">Basic Requirements </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1.1</w:t>
      </w:r>
      <w:r>
        <w:rPr>
          <w:rFonts w:hint="eastAsia" w:ascii="仿宋_GB2312" w:hAnsi="仿宋_GB2312" w:eastAsia="仿宋_GB2312" w:cs="仿宋_GB2312"/>
          <w:szCs w:val="24"/>
        </w:rPr>
        <w:t>本</w:t>
      </w:r>
      <w:r>
        <w:rPr>
          <w:rFonts w:hint="eastAsia" w:ascii="仿宋_GB2312" w:hAnsi="仿宋_GB2312" w:eastAsia="仿宋_GB2312" w:cs="仿宋_GB2312"/>
          <w:szCs w:val="24"/>
          <w:lang w:eastAsia="zh-CN"/>
        </w:rPr>
        <w:t>技术规范书</w:t>
      </w:r>
      <w:r>
        <w:rPr>
          <w:rFonts w:hint="eastAsia" w:ascii="仿宋_GB2312" w:hAnsi="仿宋_GB2312" w:eastAsia="仿宋_GB2312" w:cs="仿宋_GB2312"/>
          <w:szCs w:val="24"/>
        </w:rPr>
        <w:t>适用于</w:t>
      </w:r>
      <w:r>
        <w:rPr>
          <w:rFonts w:hint="eastAsia" w:ascii="仿宋_GB2312" w:hAnsi="仿宋_GB2312" w:eastAsia="仿宋_GB2312" w:cs="仿宋_GB2312"/>
          <w:szCs w:val="24"/>
          <w:lang w:val="en-US" w:eastAsia="zh-CN"/>
        </w:rPr>
        <w:t>中国华电集团发电运营有限公司印尼玻雅分公司</w:t>
      </w:r>
      <w:r>
        <w:rPr>
          <w:rFonts w:hint="eastAsia" w:ascii="仿宋_GB2312" w:hAnsi="仿宋_GB2312" w:eastAsia="仿宋_GB2312" w:cs="仿宋_GB2312"/>
          <w:szCs w:val="24"/>
        </w:rPr>
        <w:t>（以下简称</w:t>
      </w:r>
      <w:r>
        <w:rPr>
          <w:rFonts w:hint="eastAsia" w:ascii="仿宋_GB2312" w:hAnsi="仿宋_GB2312" w:eastAsia="仿宋_GB2312" w:cs="仿宋_GB2312"/>
          <w:szCs w:val="24"/>
          <w:lang w:val="en-US" w:eastAsia="zh-CN"/>
        </w:rPr>
        <w:t>玻雅分</w:t>
      </w:r>
      <w:r>
        <w:rPr>
          <w:rFonts w:hint="eastAsia" w:ascii="仿宋_GB2312" w:hAnsi="仿宋_GB2312" w:eastAsia="仿宋_GB2312" w:cs="仿宋_GB2312"/>
          <w:szCs w:val="24"/>
        </w:rPr>
        <w:t>公司）202</w:t>
      </w:r>
      <w:r>
        <w:rPr>
          <w:rFonts w:hint="eastAsia" w:ascii="仿宋_GB2312" w:hAnsi="仿宋_GB2312" w:eastAsia="仿宋_GB2312" w:cs="仿宋_GB2312"/>
          <w:szCs w:val="24"/>
          <w:lang w:val="en-US" w:eastAsia="zh-CN"/>
        </w:rPr>
        <w:t>5年12月#2机组检查性大修，2台</w:t>
      </w:r>
      <w:r>
        <w:rPr>
          <w:rFonts w:hint="eastAsia" w:ascii="仿宋_GB2312" w:hAnsi="仿宋_GB2312" w:eastAsia="仿宋_GB2312" w:cs="仿宋_GB2312"/>
          <w:szCs w:val="24"/>
        </w:rPr>
        <w:t>中速磨煤机</w:t>
      </w:r>
      <w:r>
        <w:rPr>
          <w:rFonts w:hint="eastAsia" w:ascii="仿宋_GB2312" w:hAnsi="仿宋_GB2312" w:eastAsia="仿宋_GB2312" w:cs="仿宋_GB2312"/>
          <w:szCs w:val="24"/>
          <w:lang w:val="en-US" w:eastAsia="zh-CN"/>
        </w:rPr>
        <w:t>磨</w:t>
      </w:r>
      <w:r>
        <w:rPr>
          <w:rFonts w:hint="eastAsia" w:ascii="仿宋_GB2312" w:hAnsi="仿宋_GB2312" w:eastAsia="仿宋_GB2312" w:cs="仿宋_GB2312"/>
          <w:szCs w:val="24"/>
        </w:rPr>
        <w:t>辊</w:t>
      </w:r>
      <w:r>
        <w:rPr>
          <w:rFonts w:hint="eastAsia" w:ascii="仿宋_GB2312" w:hAnsi="仿宋_GB2312" w:eastAsia="仿宋_GB2312" w:cs="仿宋_GB2312"/>
          <w:szCs w:val="24"/>
          <w:lang w:val="en-US" w:eastAsia="zh-CN"/>
        </w:rPr>
        <w:t>套</w:t>
      </w:r>
      <w:r>
        <w:rPr>
          <w:rFonts w:hint="eastAsia" w:ascii="仿宋_GB2312" w:hAnsi="仿宋_GB2312" w:eastAsia="仿宋_GB2312" w:cs="仿宋_GB2312"/>
          <w:szCs w:val="24"/>
          <w:lang w:eastAsia="zh-CN"/>
        </w:rPr>
        <w:t>、</w:t>
      </w:r>
      <w:r>
        <w:rPr>
          <w:rFonts w:hint="eastAsia" w:ascii="仿宋_GB2312" w:hAnsi="仿宋_GB2312" w:eastAsia="仿宋_GB2312" w:cs="仿宋_GB2312"/>
          <w:szCs w:val="24"/>
          <w:lang w:val="en-US" w:eastAsia="zh-CN"/>
        </w:rPr>
        <w:t>磨盘衬板堆焊工作，它提出了有关堆焊质量、内容、工期、验收标准等方面的技术要求</w:t>
      </w:r>
      <w:r>
        <w:rPr>
          <w:rFonts w:hint="eastAsia" w:ascii="仿宋_GB2312" w:hAnsi="仿宋_GB2312" w:eastAsia="仿宋_GB2312" w:cs="仿宋_GB2312"/>
          <w:szCs w:val="24"/>
        </w:rPr>
        <w:t>。</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lang w:val="zh-CN"/>
        </w:rPr>
      </w:pPr>
      <w:r>
        <w:rPr>
          <w:rFonts w:hint="eastAsia" w:ascii="仿宋_GB2312" w:hAnsi="仿宋_GB2312" w:eastAsia="仿宋_GB2312" w:cs="仿宋_GB2312"/>
          <w:szCs w:val="24"/>
          <w:lang w:val="en-US" w:eastAsia="zh-CN"/>
        </w:rPr>
        <w:t xml:space="preserve">1.1 </w:t>
      </w:r>
      <w:r>
        <w:rPr>
          <w:rFonts w:hint="eastAsia" w:ascii="仿宋_GB2312" w:hAnsi="仿宋_GB2312" w:eastAsia="仿宋_GB2312" w:cs="仿宋_GB2312"/>
          <w:szCs w:val="24"/>
        </w:rPr>
        <w:t xml:space="preserve">This technical specification applies to the overlay welding of </w:t>
      </w:r>
      <w:r>
        <w:rPr>
          <w:rFonts w:hint="eastAsia" w:ascii="仿宋_GB2312" w:hAnsi="仿宋_GB2312" w:eastAsia="仿宋_GB2312" w:cs="仿宋_GB2312"/>
          <w:szCs w:val="24"/>
          <w:lang w:val="en-US" w:eastAsia="zh-CN"/>
        </w:rPr>
        <w:t>2</w:t>
      </w:r>
      <w:r>
        <w:rPr>
          <w:rFonts w:hint="eastAsia" w:ascii="仿宋_GB2312" w:hAnsi="仿宋_GB2312" w:eastAsia="仿宋_GB2312" w:cs="仿宋_GB2312"/>
          <w:szCs w:val="24"/>
        </w:rPr>
        <w:t xml:space="preserve"> medium-speed coal mills' grinding rolls and liners at PT.CHD POWER PLANT OPERATION INDONESLA MUARA ENIM BRANCH (hereinafter referred to as </w:t>
      </w:r>
      <w:r>
        <w:rPr>
          <w:rFonts w:hint="eastAsia" w:ascii="宋体" w:hAnsi="宋体" w:eastAsia="宋体" w:cs="宋体"/>
          <w:sz w:val="24"/>
          <w:szCs w:val="24"/>
          <w:highlight w:val="none"/>
          <w:lang w:eastAsia="zh-CN"/>
        </w:rPr>
        <w:t>PT.CHD POWER PLANT OPERATION INDONESLA MUARA ENIM BRANCH</w:t>
      </w:r>
      <w:r>
        <w:rPr>
          <w:rFonts w:hint="eastAsia" w:ascii="仿宋_GB2312" w:hAnsi="仿宋_GB2312" w:eastAsia="仿宋_GB2312" w:cs="仿宋_GB2312"/>
          <w:szCs w:val="24"/>
        </w:rPr>
        <w:t>) from  December 2025, Unit #2 will undergo a scheduled inspection and major overhaul. Welding work will be performed on the grinding roll sleeves and grinding plate liners of two medium-speed coal mill grinders.. It sets out technical requirements regarding overlay welding quality, content, schedule, acceptance standards, and other aspects.</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kern w:val="2"/>
          <w:szCs w:val="24"/>
          <w:lang w:val="zh-CN" w:bidi="ar"/>
        </w:rPr>
      </w:pPr>
      <w:r>
        <w:rPr>
          <w:rFonts w:hint="eastAsia" w:ascii="仿宋_GB2312" w:hAnsi="仿宋_GB2312" w:eastAsia="仿宋_GB2312" w:cs="仿宋_GB2312"/>
          <w:kern w:val="2"/>
          <w:szCs w:val="24"/>
          <w:lang w:val="en-US" w:eastAsia="zh-CN" w:bidi="ar"/>
        </w:rPr>
        <w:t>1.2</w:t>
      </w:r>
      <w:r>
        <w:rPr>
          <w:rFonts w:hint="eastAsia" w:ascii="仿宋_GB2312" w:hAnsi="仿宋_GB2312" w:eastAsia="仿宋_GB2312" w:cs="仿宋_GB2312"/>
          <w:kern w:val="2"/>
          <w:szCs w:val="24"/>
          <w:lang w:val="zh-CN" w:bidi="ar"/>
        </w:rPr>
        <w:t>本技术规范书中提出的是最低限度的技术要求，并未引述相关条文及标准的具体要求，服务方应仔细阅读技术部分的所有规定，服务方提供的材料及施工工艺质量，应完全满足本技术规范书所引述</w:t>
      </w:r>
      <w:r>
        <w:rPr>
          <w:rFonts w:hint="eastAsia" w:ascii="仿宋_GB2312" w:hAnsi="仿宋_GB2312" w:eastAsia="仿宋_GB2312" w:cs="仿宋_GB2312"/>
          <w:kern w:val="2"/>
          <w:szCs w:val="24"/>
          <w:lang w:val="en-US" w:eastAsia="zh-CN" w:bidi="ar"/>
        </w:rPr>
        <w:t>工艺</w:t>
      </w:r>
      <w:r>
        <w:rPr>
          <w:rFonts w:hint="eastAsia" w:ascii="仿宋_GB2312" w:hAnsi="仿宋_GB2312" w:eastAsia="仿宋_GB2312" w:cs="仿宋_GB2312"/>
          <w:kern w:val="2"/>
          <w:szCs w:val="24"/>
          <w:lang w:val="zh-CN" w:bidi="ar"/>
        </w:rPr>
        <w:t>的要求。</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lang w:val="zh-CN"/>
        </w:rPr>
      </w:pPr>
      <w:r>
        <w:rPr>
          <w:rFonts w:hint="eastAsia" w:ascii="仿宋_GB2312" w:hAnsi="仿宋_GB2312" w:eastAsia="仿宋_GB2312" w:cs="仿宋_GB2312"/>
          <w:kern w:val="2"/>
          <w:szCs w:val="24"/>
          <w:lang w:val="en-US" w:eastAsia="zh-CN" w:bidi="ar"/>
        </w:rPr>
        <w:t xml:space="preserve">1.2 </w:t>
      </w:r>
      <w:r>
        <w:rPr>
          <w:rFonts w:hint="eastAsia" w:ascii="仿宋_GB2312" w:hAnsi="仿宋_GB2312" w:eastAsia="仿宋_GB2312" w:cs="仿宋_GB2312"/>
          <w:kern w:val="2"/>
          <w:szCs w:val="24"/>
          <w:lang w:val="zh-CN" w:bidi="ar"/>
        </w:rPr>
        <w:t>The minimum technical requirements are proposed in this technical specification, and the specific requirements of relevant provisions and standards are not cited. The service provider shall carefully read all the provisions in the technical part, and the quality of materials and construction technology provided by the service provider shall fully meet the requirements of the process cited in this technical specification.</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kern w:val="2"/>
          <w:szCs w:val="24"/>
          <w:lang w:val="zh-CN" w:bidi="ar"/>
        </w:rPr>
      </w:pPr>
      <w:r>
        <w:rPr>
          <w:rFonts w:hint="eastAsia" w:ascii="仿宋_GB2312" w:hAnsi="仿宋_GB2312" w:eastAsia="仿宋_GB2312" w:cs="仿宋_GB2312"/>
          <w:kern w:val="2"/>
          <w:szCs w:val="24"/>
          <w:lang w:val="en-US" w:eastAsia="zh-CN" w:bidi="ar"/>
        </w:rPr>
        <w:t>1.3</w:t>
      </w:r>
      <w:r>
        <w:rPr>
          <w:rFonts w:hint="eastAsia" w:ascii="仿宋_GB2312" w:hAnsi="仿宋_GB2312" w:eastAsia="仿宋_GB2312" w:cs="仿宋_GB2312"/>
          <w:kern w:val="2"/>
          <w:szCs w:val="24"/>
          <w:lang w:val="zh-CN" w:bidi="ar"/>
        </w:rPr>
        <w:t>在签订合同之后，采购方有权提出因</w:t>
      </w:r>
      <w:r>
        <w:rPr>
          <w:rFonts w:hint="eastAsia" w:ascii="仿宋_GB2312" w:hAnsi="仿宋_GB2312" w:eastAsia="仿宋_GB2312" w:cs="仿宋_GB2312"/>
          <w:kern w:val="2"/>
          <w:szCs w:val="24"/>
          <w:lang w:val="en-US" w:eastAsia="zh-CN" w:bidi="ar"/>
        </w:rPr>
        <w:t>规范</w:t>
      </w:r>
      <w:r>
        <w:rPr>
          <w:rFonts w:hint="eastAsia" w:ascii="仿宋_GB2312" w:hAnsi="仿宋_GB2312" w:eastAsia="仿宋_GB2312" w:cs="仿宋_GB2312"/>
          <w:kern w:val="2"/>
          <w:szCs w:val="24"/>
          <w:lang w:val="zh-CN" w:bidi="ar"/>
        </w:rPr>
        <w:t>标准和规程发生变化而产生的一些补充要求，具体项目由双方共同商定，且不增加新的费用。</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lang w:val="zh-CN"/>
        </w:rPr>
      </w:pPr>
      <w:r>
        <w:rPr>
          <w:rFonts w:hint="eastAsia" w:ascii="仿宋_GB2312" w:hAnsi="仿宋_GB2312" w:eastAsia="仿宋_GB2312" w:cs="仿宋_GB2312"/>
          <w:kern w:val="2"/>
          <w:szCs w:val="24"/>
          <w:lang w:val="en-US" w:eastAsia="zh-CN" w:bidi="ar"/>
        </w:rPr>
        <w:t xml:space="preserve">1.3 </w:t>
      </w:r>
      <w:r>
        <w:rPr>
          <w:rFonts w:hint="eastAsia" w:ascii="仿宋_GB2312" w:hAnsi="仿宋_GB2312" w:eastAsia="仿宋_GB2312" w:cs="仿宋_GB2312"/>
          <w:kern w:val="2"/>
          <w:szCs w:val="24"/>
          <w:lang w:val="zh-CN" w:bidi="ar"/>
        </w:rPr>
        <w:t>After the signing of the contract, the purchaser has the right to put forward some supplementary requirements arising from the change of specifications, standards and procedures. The specific items shall be agreed by both parties without adding new costs.</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kern w:val="2"/>
          <w:szCs w:val="24"/>
          <w:lang w:val="zh-CN" w:bidi="ar"/>
        </w:rPr>
      </w:pPr>
      <w:r>
        <w:rPr>
          <w:rFonts w:hint="eastAsia" w:ascii="仿宋_GB2312" w:hAnsi="仿宋_GB2312" w:eastAsia="仿宋_GB2312" w:cs="仿宋_GB2312"/>
          <w:kern w:val="2"/>
          <w:szCs w:val="24"/>
          <w:lang w:val="en-US" w:eastAsia="zh-CN" w:bidi="ar"/>
        </w:rPr>
        <w:t>1.4</w:t>
      </w:r>
      <w:r>
        <w:rPr>
          <w:rFonts w:hint="eastAsia" w:ascii="仿宋_GB2312" w:hAnsi="仿宋_GB2312" w:eastAsia="仿宋_GB2312" w:cs="仿宋_GB2312"/>
          <w:kern w:val="2"/>
          <w:szCs w:val="24"/>
          <w:lang w:val="zh-CN" w:bidi="ar"/>
        </w:rPr>
        <w:t>本</w:t>
      </w:r>
      <w:r>
        <w:rPr>
          <w:rFonts w:hint="eastAsia" w:ascii="仿宋_GB2312" w:hAnsi="仿宋_GB2312" w:eastAsia="仿宋_GB2312" w:cs="仿宋_GB2312"/>
          <w:kern w:val="2"/>
          <w:szCs w:val="24"/>
          <w:lang w:val="en-US" w:eastAsia="zh-CN" w:bidi="ar"/>
        </w:rPr>
        <w:t>技术规范书</w:t>
      </w:r>
      <w:r>
        <w:rPr>
          <w:rFonts w:hint="eastAsia" w:ascii="仿宋_GB2312" w:hAnsi="仿宋_GB2312" w:eastAsia="仿宋_GB2312" w:cs="仿宋_GB2312"/>
          <w:kern w:val="2"/>
          <w:szCs w:val="24"/>
          <w:lang w:val="zh-CN" w:bidi="ar"/>
        </w:rPr>
        <w:t>所使用的标准如遇与服务方所执行的标准发生矛盾时，按较优标准执行。</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lang w:val="zh-CN"/>
        </w:rPr>
      </w:pPr>
      <w:r>
        <w:rPr>
          <w:rFonts w:hint="eastAsia" w:ascii="仿宋_GB2312" w:hAnsi="仿宋_GB2312" w:eastAsia="仿宋_GB2312" w:cs="仿宋_GB2312"/>
          <w:kern w:val="2"/>
          <w:szCs w:val="24"/>
          <w:lang w:val="en-US" w:eastAsia="zh-CN" w:bidi="ar"/>
        </w:rPr>
        <w:t xml:space="preserve">1.4 </w:t>
      </w:r>
      <w:r>
        <w:rPr>
          <w:rFonts w:hint="eastAsia" w:ascii="仿宋_GB2312" w:hAnsi="仿宋_GB2312" w:eastAsia="仿宋_GB2312" w:cs="仿宋_GB2312"/>
          <w:kern w:val="2"/>
          <w:szCs w:val="24"/>
          <w:lang w:val="zh-CN" w:bidi="ar"/>
        </w:rPr>
        <w:t>In case of any conflict between the standards used in this technical specification and the standards implemented by the service provider, the better standard shall be implemented.</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kern w:val="2"/>
          <w:szCs w:val="24"/>
          <w:lang w:val="zh-CN" w:bidi="ar"/>
        </w:rPr>
      </w:pPr>
      <w:r>
        <w:rPr>
          <w:rFonts w:hint="eastAsia" w:ascii="仿宋_GB2312" w:hAnsi="仿宋_GB2312" w:eastAsia="仿宋_GB2312" w:cs="仿宋_GB2312"/>
          <w:kern w:val="2"/>
          <w:szCs w:val="24"/>
          <w:lang w:val="en-US" w:eastAsia="zh-CN" w:bidi="ar"/>
        </w:rPr>
        <w:t>1.5</w:t>
      </w:r>
      <w:r>
        <w:rPr>
          <w:rFonts w:hint="eastAsia" w:ascii="仿宋_GB2312" w:hAnsi="仿宋_GB2312" w:eastAsia="仿宋_GB2312" w:cs="仿宋_GB2312"/>
          <w:kern w:val="2"/>
          <w:szCs w:val="24"/>
          <w:lang w:val="zh-CN" w:bidi="ar"/>
        </w:rPr>
        <w:t>若</w:t>
      </w:r>
      <w:r>
        <w:rPr>
          <w:rFonts w:hint="eastAsia" w:ascii="仿宋_GB2312" w:hAnsi="仿宋_GB2312" w:eastAsia="仿宋_GB2312" w:cs="仿宋_GB2312"/>
          <w:kern w:val="2"/>
          <w:szCs w:val="24"/>
          <w:lang w:val="en-US" w:eastAsia="zh-CN" w:bidi="ar"/>
        </w:rPr>
        <w:t>技术规范书</w:t>
      </w:r>
      <w:r>
        <w:rPr>
          <w:rFonts w:hint="eastAsia" w:ascii="仿宋_GB2312" w:hAnsi="仿宋_GB2312" w:eastAsia="仿宋_GB2312" w:cs="仿宋_GB2312"/>
          <w:kern w:val="2"/>
          <w:szCs w:val="24"/>
          <w:lang w:val="zh-CN" w:bidi="ar"/>
        </w:rPr>
        <w:t>前后有不一致的地方，服务方应在投标前提出澄清，未提出澄清的则以采购方的解释为准。</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lang w:val="zh-CN"/>
        </w:rPr>
      </w:pPr>
      <w:r>
        <w:rPr>
          <w:rFonts w:hint="eastAsia" w:ascii="仿宋_GB2312" w:hAnsi="仿宋_GB2312" w:eastAsia="仿宋_GB2312" w:cs="仿宋_GB2312"/>
          <w:kern w:val="2"/>
          <w:szCs w:val="24"/>
          <w:lang w:val="en-US" w:eastAsia="zh-CN" w:bidi="ar"/>
        </w:rPr>
        <w:t>1.5</w:t>
      </w:r>
      <w:r>
        <w:rPr>
          <w:rFonts w:hint="eastAsia" w:ascii="仿宋_GB2312" w:hAnsi="仿宋_GB2312" w:eastAsia="仿宋_GB2312" w:cs="仿宋_GB2312"/>
          <w:kern w:val="2"/>
          <w:szCs w:val="24"/>
          <w:lang w:val="zh-CN" w:bidi="ar"/>
        </w:rPr>
        <w:t>If there is any inconsistency between the technical specifications, the service provider shall clarify before the bid, and if no clarification is made, the purchaser's interpretation shall prevail.</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kern w:val="2"/>
          <w:szCs w:val="24"/>
          <w:lang w:val="zh-CN" w:bidi="ar"/>
        </w:rPr>
      </w:pPr>
      <w:bookmarkStart w:id="2" w:name="_Toc534618071"/>
      <w:r>
        <w:rPr>
          <w:rFonts w:hint="eastAsia" w:ascii="仿宋_GB2312" w:hAnsi="仿宋_GB2312" w:eastAsia="仿宋_GB2312" w:cs="仿宋_GB2312"/>
          <w:kern w:val="2"/>
          <w:szCs w:val="24"/>
          <w:lang w:val="en-US" w:eastAsia="zh-CN" w:bidi="ar"/>
        </w:rPr>
        <w:t>1.6</w:t>
      </w:r>
      <w:r>
        <w:rPr>
          <w:rFonts w:hint="eastAsia" w:ascii="仿宋_GB2312" w:hAnsi="仿宋_GB2312" w:eastAsia="仿宋_GB2312" w:cs="仿宋_GB2312"/>
          <w:kern w:val="2"/>
          <w:szCs w:val="24"/>
          <w:lang w:val="zh-CN" w:bidi="ar"/>
        </w:rPr>
        <w:t>在签订合同之后，采购方保留对本技术规范书提出补充要求和修改的权利，服务方应承诺予以配合。如提出修改，具体项目和条件由双方商定。</w:t>
      </w:r>
      <w:bookmarkEnd w:id="2"/>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lang w:val="zh-CN"/>
        </w:rPr>
      </w:pPr>
      <w:r>
        <w:rPr>
          <w:rFonts w:hint="eastAsia" w:ascii="仿宋_GB2312" w:hAnsi="仿宋_GB2312" w:eastAsia="仿宋_GB2312" w:cs="仿宋_GB2312"/>
          <w:kern w:val="2"/>
          <w:szCs w:val="24"/>
          <w:lang w:val="en-US" w:eastAsia="zh-CN" w:bidi="ar"/>
        </w:rPr>
        <w:t xml:space="preserve">1.6 </w:t>
      </w:r>
      <w:r>
        <w:rPr>
          <w:rFonts w:hint="eastAsia" w:ascii="仿宋_GB2312" w:hAnsi="仿宋_GB2312" w:eastAsia="仿宋_GB2312" w:cs="仿宋_GB2312"/>
          <w:kern w:val="2"/>
          <w:szCs w:val="24"/>
          <w:lang w:val="zh-CN" w:bidi="ar"/>
        </w:rPr>
        <w:t>After signing the contract, the purchaser reserves the right to make supplementary requirements and modifications to the technical specification, and the service provider shall promise to cooperate. If modifications are made, the specific items and conditions shall be agreed by both parties.</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1.7</w:t>
      </w:r>
      <w:r>
        <w:rPr>
          <w:rFonts w:hint="eastAsia" w:ascii="仿宋_GB2312" w:hAnsi="仿宋_GB2312" w:eastAsia="仿宋_GB2312" w:cs="仿宋_GB2312"/>
          <w:szCs w:val="24"/>
        </w:rPr>
        <w:t>本</w:t>
      </w:r>
      <w:r>
        <w:rPr>
          <w:rFonts w:hint="eastAsia" w:ascii="仿宋_GB2312" w:hAnsi="仿宋_GB2312" w:eastAsia="仿宋_GB2312" w:cs="仿宋_GB2312"/>
          <w:szCs w:val="24"/>
          <w:lang w:eastAsia="zh-CN"/>
        </w:rPr>
        <w:t>技术规范书</w:t>
      </w:r>
      <w:r>
        <w:rPr>
          <w:rFonts w:hint="eastAsia" w:ascii="仿宋_GB2312" w:hAnsi="仿宋_GB2312" w:eastAsia="仿宋_GB2312" w:cs="仿宋_GB2312"/>
          <w:szCs w:val="24"/>
        </w:rPr>
        <w:t>经双方共同确认和签字后作为合同的技术附件，与合同正文具有同等效力。</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 xml:space="preserve">1.7 </w:t>
      </w:r>
      <w:r>
        <w:rPr>
          <w:rFonts w:hint="eastAsia" w:ascii="仿宋_GB2312" w:hAnsi="仿宋_GB2312" w:eastAsia="仿宋_GB2312" w:cs="仿宋_GB2312"/>
          <w:szCs w:val="24"/>
        </w:rPr>
        <w:t>This technical specification shall be confirmed and signed by both parties as the technical appendix of the contract and shall have the same effect as the text of the contract.</w:t>
      </w:r>
    </w:p>
    <w:p>
      <w:pPr>
        <w:autoSpaceDE w:val="0"/>
        <w:autoSpaceDN w:val="0"/>
        <w:adjustRightInd w:val="0"/>
        <w:spacing w:line="360" w:lineRule="auto"/>
        <w:ind w:firstLine="480" w:firstLineChars="200"/>
        <w:jc w:val="left"/>
        <w:rPr>
          <w:rFonts w:hint="eastAsia" w:ascii="仿宋_GB2312" w:hAnsi="Times New Roman" w:eastAsia="仿宋_GB2312" w:cs="Times New Roman"/>
          <w:color w:val="auto"/>
          <w:kern w:val="0"/>
          <w:sz w:val="24"/>
          <w:lang w:val="en-US" w:eastAsia="zh-CN"/>
        </w:rPr>
      </w:pPr>
      <w:r>
        <w:rPr>
          <w:rFonts w:hint="eastAsia" w:ascii="仿宋_GB2312" w:hAnsi="Times New Roman" w:eastAsia="仿宋_GB2312" w:cs="Times New Roman"/>
          <w:color w:val="auto"/>
          <w:kern w:val="0"/>
          <w:sz w:val="24"/>
          <w:lang w:val="en-US" w:eastAsia="zh-CN"/>
        </w:rPr>
        <w:t>2.服务方资质及业绩要求</w:t>
      </w:r>
    </w:p>
    <w:p>
      <w:pPr>
        <w:autoSpaceDE w:val="0"/>
        <w:autoSpaceDN w:val="0"/>
        <w:adjustRightInd w:val="0"/>
        <w:spacing w:line="360" w:lineRule="auto"/>
        <w:ind w:firstLine="480" w:firstLineChars="200"/>
        <w:jc w:val="left"/>
        <w:rPr>
          <w:rFonts w:hint="eastAsia" w:ascii="仿宋_GB2312" w:hAnsi="Times New Roman" w:eastAsia="仿宋_GB2312" w:cs="Times New Roman"/>
          <w:color w:val="auto"/>
          <w:kern w:val="0"/>
          <w:sz w:val="24"/>
          <w:lang w:val="en-US" w:eastAsia="zh-CN"/>
        </w:rPr>
      </w:pPr>
      <w:r>
        <w:rPr>
          <w:rFonts w:hint="eastAsia" w:ascii="仿宋_GB2312" w:hAnsi="Times New Roman" w:eastAsia="仿宋_GB2312" w:cs="Times New Roman"/>
          <w:color w:val="auto"/>
          <w:kern w:val="0"/>
          <w:sz w:val="24"/>
          <w:lang w:val="en-US" w:eastAsia="zh-CN"/>
        </w:rPr>
        <w:t>2.Service provider qualifications and performance requirements</w:t>
      </w:r>
    </w:p>
    <w:p>
      <w:pPr>
        <w:keepNext w:val="0"/>
        <w:keepLines w:val="0"/>
        <w:pageBreakBefore w:val="0"/>
        <w:widowControl/>
        <w:kinsoku/>
        <w:wordWrap/>
        <w:overflowPunct/>
        <w:topLinePunct w:val="0"/>
        <w:autoSpaceDE w:val="0"/>
        <w:autoSpaceDN w:val="0"/>
        <w:bidi w:val="0"/>
        <w:adjustRightInd w:val="0"/>
        <w:snapToGrid w:val="0"/>
        <w:spacing w:line="360" w:lineRule="auto"/>
        <w:ind w:right="0" w:rightChars="0" w:firstLine="480" w:firstLineChars="200"/>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shd w:val="clear" w:color="auto" w:fill="auto"/>
          <w:lang w:val="en-US" w:eastAsia="zh-CN"/>
        </w:rPr>
        <w:t>2.1</w:t>
      </w:r>
      <w:r>
        <w:rPr>
          <w:rFonts w:hint="eastAsia" w:ascii="仿宋_GB2312" w:hAnsi="仿宋_GB2312" w:eastAsia="仿宋_GB2312" w:cs="仿宋_GB2312"/>
          <w:color w:val="auto"/>
          <w:sz w:val="24"/>
          <w:szCs w:val="24"/>
          <w:highlight w:val="none"/>
          <w:lang w:val="en-US" w:eastAsia="zh-CN"/>
        </w:rPr>
        <w:t>印尼境内注册的企业法人，具有独立法人资格，持有有效营业执照，能够独立承担民事责任。</w:t>
      </w:r>
    </w:p>
    <w:p>
      <w:pPr>
        <w:keepNext w:val="0"/>
        <w:keepLines w:val="0"/>
        <w:pageBreakBefore w:val="0"/>
        <w:widowControl/>
        <w:kinsoku/>
        <w:wordWrap/>
        <w:overflowPunct/>
        <w:topLinePunct w:val="0"/>
        <w:autoSpaceDE w:val="0"/>
        <w:autoSpaceDN w:val="0"/>
        <w:bidi w:val="0"/>
        <w:adjustRightInd w:val="0"/>
        <w:snapToGrid w:val="0"/>
        <w:spacing w:line="360" w:lineRule="auto"/>
        <w:ind w:right="0" w:rightChars="0" w:firstLine="480" w:firstLineChars="200"/>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2.1 The enterprise legal person registered in Indonesia has independent legal personality, holds valid business license and can independently bear civil liability.</w:t>
      </w:r>
    </w:p>
    <w:p>
      <w:pPr>
        <w:keepNext w:val="0"/>
        <w:keepLines w:val="0"/>
        <w:pageBreakBefore w:val="0"/>
        <w:widowControl/>
        <w:kinsoku/>
        <w:wordWrap/>
        <w:overflowPunct/>
        <w:topLinePunct w:val="0"/>
        <w:autoSpaceDE w:val="0"/>
        <w:autoSpaceDN w:val="0"/>
        <w:bidi w:val="0"/>
        <w:adjustRightInd w:val="0"/>
        <w:snapToGrid w:val="0"/>
        <w:spacing w:line="360" w:lineRule="auto"/>
        <w:ind w:right="0" w:rightChars="0" w:firstLine="480" w:firstLineChars="200"/>
        <w:outlineLvl w:val="9"/>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shd w:val="clear" w:color="auto" w:fill="auto"/>
          <w:lang w:val="en-US" w:eastAsia="zh-CN"/>
        </w:rPr>
        <w:t xml:space="preserve">2.2 </w:t>
      </w:r>
      <w:r>
        <w:rPr>
          <w:rFonts w:hint="eastAsia" w:ascii="仿宋_GB2312" w:hAnsi="仿宋_GB2312" w:eastAsia="仿宋_GB2312" w:cs="仿宋_GB2312"/>
          <w:sz w:val="24"/>
          <w:szCs w:val="24"/>
        </w:rPr>
        <w:t>近</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年至少完成</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项</w:t>
      </w:r>
      <w:r>
        <w:rPr>
          <w:rFonts w:hint="eastAsia" w:ascii="仿宋_GB2312" w:hAnsi="仿宋_GB2312" w:eastAsia="仿宋_GB2312" w:cs="仿宋_GB2312"/>
          <w:sz w:val="24"/>
          <w:szCs w:val="24"/>
          <w:lang w:eastAsia="zh-CN"/>
        </w:rPr>
        <w:t>中速磨煤机</w:t>
      </w:r>
      <w:r>
        <w:rPr>
          <w:rFonts w:hint="eastAsia" w:ascii="仿宋_GB2312" w:hAnsi="仿宋_GB2312" w:eastAsia="仿宋_GB2312" w:cs="仿宋_GB2312"/>
          <w:sz w:val="24"/>
          <w:szCs w:val="24"/>
          <w:lang w:val="en-US" w:eastAsia="zh-CN"/>
        </w:rPr>
        <w:t>磨辊套、磨盘衬板在线</w:t>
      </w:r>
      <w:r>
        <w:rPr>
          <w:rFonts w:hint="eastAsia" w:ascii="仿宋_GB2312" w:hAnsi="仿宋_GB2312" w:eastAsia="仿宋_GB2312" w:cs="仿宋_GB2312"/>
          <w:sz w:val="24"/>
          <w:szCs w:val="24"/>
          <w:lang w:eastAsia="zh-CN"/>
        </w:rPr>
        <w:t>堆焊业绩</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val="0"/>
        <w:autoSpaceDN w:val="0"/>
        <w:bidi w:val="0"/>
        <w:adjustRightInd w:val="0"/>
        <w:snapToGrid w:val="0"/>
        <w:spacing w:line="360" w:lineRule="auto"/>
        <w:ind w:right="0" w:rightChars="0" w:firstLine="480" w:firstLineChars="200"/>
        <w:outlineLvl w:val="9"/>
        <w:rPr>
          <w:rFonts w:hint="eastAsia" w:ascii="仿宋_GB2312" w:hAnsi="仿宋_GB2312" w:eastAsia="仿宋_GB2312" w:cs="仿宋_GB2312"/>
          <w:color w:val="auto"/>
          <w:sz w:val="24"/>
          <w:lang w:val="zh-CN"/>
        </w:rPr>
      </w:pPr>
      <w:r>
        <w:rPr>
          <w:rFonts w:hint="eastAsia" w:ascii="仿宋_GB2312" w:hAnsi="仿宋_GB2312" w:eastAsia="仿宋_GB2312" w:cs="仿宋_GB2312"/>
          <w:sz w:val="24"/>
          <w:szCs w:val="24"/>
          <w:lang w:val="en-US" w:eastAsia="zh-CN"/>
        </w:rPr>
        <w:t xml:space="preserve">2.2 </w:t>
      </w:r>
      <w:r>
        <w:rPr>
          <w:rFonts w:hint="eastAsia" w:ascii="仿宋_GB2312" w:hAnsi="仿宋_GB2312" w:eastAsia="仿宋_GB2312" w:cs="仿宋_GB2312"/>
          <w:sz w:val="24"/>
          <w:szCs w:val="24"/>
        </w:rPr>
        <w:t>In the past 5 years, at least one welding performance of medium speed coal mill roller sleeve and grinding plate liner has been completed.</w:t>
      </w:r>
    </w:p>
    <w:p>
      <w:pPr>
        <w:pStyle w:val="4"/>
        <w:tabs>
          <w:tab w:val="left" w:pos="480"/>
        </w:tabs>
        <w:jc w:val="both"/>
        <w:rPr>
          <w:rFonts w:hint="eastAsia"/>
        </w:rPr>
      </w:pPr>
      <w:bookmarkStart w:id="3" w:name="_Toc31235"/>
      <w:r>
        <w:rPr>
          <w:rFonts w:hint="eastAsia"/>
        </w:rPr>
        <w:t>二、工程概况</w:t>
      </w:r>
      <w:bookmarkEnd w:id="3"/>
    </w:p>
    <w:p>
      <w:pPr>
        <w:pStyle w:val="4"/>
        <w:tabs>
          <w:tab w:val="left" w:pos="480"/>
        </w:tabs>
        <w:jc w:val="both"/>
        <w:rPr>
          <w:rFonts w:hint="eastAsia"/>
        </w:rPr>
      </w:pPr>
      <w:r>
        <w:rPr>
          <w:rFonts w:hint="eastAsia"/>
          <w:lang w:val="en-US" w:eastAsia="zh-CN"/>
        </w:rPr>
        <w:t>二、</w:t>
      </w:r>
      <w:r>
        <w:rPr>
          <w:rFonts w:hint="eastAsia"/>
        </w:rPr>
        <w:t>Project Overview</w:t>
      </w:r>
    </w:p>
    <w:p>
      <w:pPr>
        <w:pStyle w:val="31"/>
        <w:widowControl/>
        <w:numPr>
          <w:ilvl w:val="0"/>
          <w:numId w:val="0"/>
        </w:numPr>
        <w:ind w:firstLine="480" w:firstLineChars="200"/>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color w:val="auto"/>
          <w:sz w:val="24"/>
          <w:szCs w:val="24"/>
          <w:lang w:eastAsia="zh-CN"/>
        </w:rPr>
        <w:t xml:space="preserve"> 厂址位置</w:t>
      </w:r>
    </w:p>
    <w:p>
      <w:pPr>
        <w:pStyle w:val="31"/>
        <w:widowControl/>
        <w:numPr>
          <w:ilvl w:val="0"/>
          <w:numId w:val="0"/>
        </w:numPr>
        <w:ind w:firstLine="480" w:firstLineChars="200"/>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lang w:eastAsia="zh-CN"/>
        </w:rPr>
        <w:t>Site location</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场址位于MUARA ENIM县以南Darmo镇东南约3.5km处（直线距离，下同），东距CENTRAL BANKO煤矿约1.6km，25号公路在厂址以西约550m由北向南通过，Enim河在厂址以西约1.0km由南向北流过。</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site is located approximately 3.5km southeast of Darmo town, south of MUARA ENIM district (straight-line distance, same below). It is about 1.6km east of the CENTRAL BANKO coal mine. Highway 25 runs through the site from north to south about 550 meters to the west, while the Enim River flows from south to north about 1.0km west of the site.</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sz w:val="24"/>
          <w:szCs w:val="24"/>
        </w:rPr>
        <w:t>气象条件</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 xml:space="preserve">meteorologic condition, weather conditions </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本工程所在区域属干湿季明显的热带气候区。干季始于5或6月，持续约6个月到10或11月结束，其余为湿季。</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project area is a tropical climate zone with a distinct dry and wet season. The dry season begins in May or June and lasts about six months until October or November, and the rest is the wet season.</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多年</w:t>
      </w:r>
      <w:r>
        <w:rPr>
          <w:rFonts w:hint="eastAsia" w:ascii="仿宋_GB2312" w:hAnsi="仿宋_GB2312" w:eastAsia="仿宋_GB2312" w:cs="仿宋_GB2312"/>
          <w:sz w:val="24"/>
          <w:szCs w:val="24"/>
          <w:lang w:eastAsia="zh-CN"/>
        </w:rPr>
        <w:t>平均年降水量</w:t>
      </w:r>
      <w:r>
        <w:rPr>
          <w:rFonts w:hint="eastAsia" w:ascii="仿宋_GB2312" w:hAnsi="仿宋_GB2312" w:eastAsia="仿宋_GB2312" w:cs="仿宋_GB2312"/>
          <w:sz w:val="24"/>
          <w:szCs w:val="24"/>
        </w:rPr>
        <w:t>为3226mm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average annual precipitation is 3226mm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多年年平均降水日数为202天</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average number of rainy days per year is 202</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历年最大年降雨量</w:t>
      </w:r>
      <w:r>
        <w:rPr>
          <w:rFonts w:hint="eastAsia" w:ascii="仿宋_GB2312" w:hAnsi="仿宋_GB2312" w:eastAsia="仿宋_GB2312" w:cs="仿宋_GB2312"/>
          <w:sz w:val="24"/>
          <w:szCs w:val="24"/>
          <w:lang w:eastAsia="zh-CN"/>
        </w:rPr>
        <w:t>为</w:t>
      </w:r>
      <w:r>
        <w:rPr>
          <w:rFonts w:hint="eastAsia" w:ascii="仿宋_GB2312" w:hAnsi="仿宋_GB2312" w:eastAsia="仿宋_GB2312" w:cs="仿宋_GB2312"/>
          <w:sz w:val="24"/>
          <w:szCs w:val="24"/>
        </w:rPr>
        <w:t>4046 mm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highest annual rainfall is 4046 mm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历年最小年降雨量</w:t>
      </w:r>
      <w:r>
        <w:rPr>
          <w:rFonts w:hint="eastAsia" w:ascii="仿宋_GB2312" w:hAnsi="仿宋_GB2312" w:eastAsia="仿宋_GB2312" w:cs="仿宋_GB2312"/>
          <w:sz w:val="24"/>
          <w:szCs w:val="24"/>
          <w:lang w:eastAsia="zh-CN"/>
        </w:rPr>
        <w:t>为</w:t>
      </w:r>
      <w:r>
        <w:rPr>
          <w:rFonts w:hint="eastAsia" w:ascii="仿宋_GB2312" w:hAnsi="仿宋_GB2312" w:eastAsia="仿宋_GB2312" w:cs="仿宋_GB2312"/>
          <w:sz w:val="24"/>
          <w:szCs w:val="24"/>
        </w:rPr>
        <w:t>1851 mm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minimum annual rainfall is 1851 mm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历年极端最高气温</w:t>
      </w:r>
      <w:r>
        <w:rPr>
          <w:rFonts w:hint="eastAsia" w:ascii="仿宋_GB2312" w:hAnsi="仿宋_GB2312" w:eastAsia="仿宋_GB2312" w:cs="仿宋_GB2312"/>
          <w:sz w:val="24"/>
          <w:szCs w:val="24"/>
          <w:lang w:eastAsia="zh-CN"/>
        </w:rPr>
        <w:t>为</w:t>
      </w:r>
      <w:r>
        <w:rPr>
          <w:rFonts w:hint="eastAsia" w:ascii="仿宋_GB2312" w:hAnsi="仿宋_GB2312" w:eastAsia="仿宋_GB2312" w:cs="仿宋_GB2312"/>
          <w:sz w:val="24"/>
          <w:szCs w:val="24"/>
        </w:rPr>
        <w:t>34.48℃</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extreme maximum temperature in the past years is 34.48℃</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历年极端最低气温</w:t>
      </w:r>
      <w:r>
        <w:rPr>
          <w:rFonts w:hint="eastAsia" w:ascii="仿宋_GB2312" w:hAnsi="仿宋_GB2312" w:eastAsia="仿宋_GB2312" w:cs="仿宋_GB2312"/>
          <w:sz w:val="24"/>
          <w:szCs w:val="24"/>
          <w:lang w:eastAsia="zh-CN"/>
        </w:rPr>
        <w:t>为</w:t>
      </w:r>
      <w:r>
        <w:rPr>
          <w:rFonts w:hint="eastAsia" w:ascii="仿宋_GB2312" w:hAnsi="仿宋_GB2312" w:eastAsia="仿宋_GB2312" w:cs="仿宋_GB2312"/>
          <w:sz w:val="24"/>
          <w:szCs w:val="24"/>
        </w:rPr>
        <w:t>19.77℃</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extreme minimum temperature in the past years is 19.77℃</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区域多年逐月气温的变化范围为21～33℃，均值为27℃，最冷月为12月和1月，5月到9月为最热月，相对湿度变化范围为30%～90%，最小相对湿度常发生在12月，而最大相对湿度常发生在5月。</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The annual and monthly temperature range of the region is 21 ~ 33℃, with an average of 27℃. The coldest </w:t>
      </w:r>
      <w:r>
        <w:rPr>
          <w:rFonts w:hint="eastAsia" w:ascii="仿宋_GB2312" w:hAnsi="仿宋_GB2312" w:eastAsia="仿宋_GB2312" w:cs="仿宋_GB2312"/>
          <w:sz w:val="24"/>
          <w:szCs w:val="24"/>
          <w:lang w:eastAsia="zh-CN"/>
        </w:rPr>
        <w:t>months</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eastAsia="zh-CN"/>
        </w:rPr>
        <w:t>are</w:t>
      </w:r>
      <w:r>
        <w:rPr>
          <w:rFonts w:hint="eastAsia" w:ascii="仿宋_GB2312" w:hAnsi="仿宋_GB2312" w:eastAsia="仿宋_GB2312" w:cs="仿宋_GB2312"/>
          <w:sz w:val="24"/>
          <w:szCs w:val="24"/>
        </w:rPr>
        <w:t xml:space="preserve"> December and January, and the hottest </w:t>
      </w:r>
      <w:r>
        <w:rPr>
          <w:rFonts w:hint="eastAsia" w:ascii="仿宋_GB2312" w:hAnsi="仿宋_GB2312" w:eastAsia="仿宋_GB2312" w:cs="仿宋_GB2312"/>
          <w:sz w:val="24"/>
          <w:szCs w:val="24"/>
          <w:lang w:eastAsia="zh-CN"/>
        </w:rPr>
        <w:t>months</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eastAsia="zh-CN"/>
        </w:rPr>
        <w:t>are</w:t>
      </w:r>
      <w:r>
        <w:rPr>
          <w:rFonts w:hint="eastAsia" w:ascii="仿宋_GB2312" w:hAnsi="仿宋_GB2312" w:eastAsia="仿宋_GB2312" w:cs="仿宋_GB2312"/>
          <w:sz w:val="24"/>
          <w:szCs w:val="24"/>
        </w:rPr>
        <w:t xml:space="preserve"> May to September. The relative humidity range is 30% ~ 90%, with the minimum relative humidity usually occurring in December and the maximum relative humidity usually occurring in May.</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多年平均大气压力</w:t>
      </w:r>
      <w:r>
        <w:rPr>
          <w:rFonts w:hint="eastAsia" w:ascii="仿宋_GB2312" w:hAnsi="仿宋_GB2312" w:eastAsia="仿宋_GB2312" w:cs="仿宋_GB2312"/>
          <w:sz w:val="24"/>
          <w:szCs w:val="24"/>
          <w:lang w:eastAsia="zh-CN"/>
        </w:rPr>
        <w:t>为</w:t>
      </w:r>
      <w:r>
        <w:rPr>
          <w:rFonts w:hint="eastAsia" w:ascii="仿宋_GB2312" w:hAnsi="仿宋_GB2312" w:eastAsia="仿宋_GB2312" w:cs="仿宋_GB2312"/>
          <w:sz w:val="24"/>
          <w:szCs w:val="24"/>
        </w:rPr>
        <w:t>97.94kPa。</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average atmospheric pressure over many years is 97.94kPa.</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sz w:val="24"/>
          <w:szCs w:val="24"/>
        </w:rPr>
        <w:t>交通运输</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 xml:space="preserve"> traffic </w:t>
      </w:r>
    </w:p>
    <w:p>
      <w:pPr>
        <w:pStyle w:val="31"/>
        <w:widowControl/>
        <w:numPr>
          <w:ilvl w:val="0"/>
          <w:numId w:val="0"/>
        </w:numPr>
        <w:adjustRightInd/>
        <w:ind w:firstLine="480"/>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公路：</w:t>
      </w:r>
    </w:p>
    <w:p>
      <w:pPr>
        <w:pStyle w:val="31"/>
        <w:widowControl/>
        <w:numPr>
          <w:ilvl w:val="0"/>
          <w:numId w:val="0"/>
        </w:numPr>
        <w:adjustRightInd/>
        <w:ind w:firstLine="480"/>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highway</w:t>
      </w:r>
    </w:p>
    <w:p>
      <w:pPr>
        <w:pStyle w:val="31"/>
        <w:widowControl/>
        <w:numPr>
          <w:ilvl w:val="0"/>
          <w:numId w:val="0"/>
        </w:numPr>
        <w:adjustRightInd/>
        <w:ind w:firstLine="48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a）</w:t>
      </w:r>
      <w:r>
        <w:rPr>
          <w:rFonts w:hint="eastAsia" w:ascii="仿宋_GB2312" w:hAnsi="仿宋_GB2312" w:eastAsia="仿宋_GB2312" w:cs="仿宋_GB2312"/>
          <w:sz w:val="24"/>
          <w:szCs w:val="24"/>
        </w:rPr>
        <w:t>区域公路</w:t>
      </w:r>
    </w:p>
    <w:p>
      <w:pPr>
        <w:pStyle w:val="31"/>
        <w:widowControl/>
        <w:numPr>
          <w:ilvl w:val="0"/>
          <w:numId w:val="0"/>
        </w:numPr>
        <w:adjustRightInd/>
        <w:ind w:firstLine="48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a)</w:t>
      </w:r>
      <w:r>
        <w:rPr>
          <w:rFonts w:hint="eastAsia" w:ascii="仿宋_GB2312" w:hAnsi="仿宋_GB2312" w:eastAsia="仿宋_GB2312" w:cs="仿宋_GB2312"/>
          <w:sz w:val="24"/>
          <w:szCs w:val="24"/>
        </w:rPr>
        <w:t>Regional Highway</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MUARA ENIM县位于南苏门答腊省西南部，Lematang河及25号公路由南至北纵贯该地区，该地区对外的交通干线主要为公路，交通较便利。</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25号公路为沥青路面，路面宽度为7m，路面两侧各有不少于0.8m的硬质路肩，道路通行条件接近于中国的三级公路。</w:t>
      </w:r>
    </w:p>
    <w:p>
      <w:pPr>
        <w:pStyle w:val="31"/>
        <w:widowControl/>
        <w:numPr>
          <w:ilvl w:val="0"/>
          <w:numId w:val="0"/>
        </w:numPr>
        <w:adjustRightInd/>
        <w:ind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MUARA ENIM County is located in the southwestern part of South Sumatra Province. The Lematang River and Highway 25 run north to south through the area, with the main external transportation routes being highways, making the transportation relatively convenient. Highway 25 is paved with asphalt, has a width of 7 meters, and features hard shoulders of at least 0.8 meters on each side. The road conditions are comparable to those of a third-grade highway in China.</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b）厂外道路</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b)</w:t>
      </w:r>
      <w:r>
        <w:rPr>
          <w:rFonts w:hint="eastAsia" w:ascii="仿宋_GB2312" w:hAnsi="仿宋_GB2312" w:eastAsia="仿宋_GB2312" w:cs="仿宋_GB2312"/>
          <w:sz w:val="24"/>
          <w:szCs w:val="24"/>
        </w:rPr>
        <w:t>Off-site road</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煤矿和电厂距离仅1.6km，可考虑共建厂外道路。规划煤矿进场道路从电厂北侧通过，电厂的进厂道路、货运道路可考虑利用煤矿的部分</w:t>
      </w:r>
      <w:r>
        <w:rPr>
          <w:rFonts w:hint="eastAsia" w:ascii="仿宋_GB2312" w:hAnsi="仿宋_GB2312" w:eastAsia="仿宋_GB2312" w:cs="仿宋_GB2312"/>
          <w:sz w:val="24"/>
          <w:szCs w:val="24"/>
          <w:lang w:eastAsia="zh-CN"/>
        </w:rPr>
        <w:t>进厂</w:t>
      </w:r>
      <w:r>
        <w:rPr>
          <w:rFonts w:hint="eastAsia" w:ascii="仿宋_GB2312" w:hAnsi="仿宋_GB2312" w:eastAsia="仿宋_GB2312" w:cs="仿宋_GB2312"/>
          <w:sz w:val="24"/>
          <w:szCs w:val="24"/>
        </w:rPr>
        <w:t>道路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与煤矿连接的输煤栈桥检修道路可考虑完全利用煤矿进场道路。</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coal mine and power plant are only 1.6km apart, so we can consider building a road outside the plant. The planned road to the coal mine will pass through the north side of the power plant. The power plant's access road and freight road can consider using part of the coal mine's access road. The maintenance road of the coal transport bridge connected to the coal mine can consider using the coal mine's access road completely.</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煤矿检修道路由25号公路引接，向东接入煤矿工业广场，长约2.8km；电厂进厂道路、货运道路均由煤矿检修道路</w:t>
      </w:r>
      <w:r>
        <w:rPr>
          <w:rFonts w:hint="eastAsia" w:ascii="仿宋_GB2312" w:hAnsi="仿宋_GB2312" w:eastAsia="仿宋_GB2312" w:cs="仿宋_GB2312"/>
          <w:sz w:val="24"/>
          <w:szCs w:val="24"/>
          <w:lang w:eastAsia="zh-CN"/>
        </w:rPr>
        <w:t>引至</w:t>
      </w:r>
      <w:r>
        <w:rPr>
          <w:rFonts w:hint="eastAsia" w:ascii="仿宋_GB2312" w:hAnsi="仿宋_GB2312" w:eastAsia="仿宋_GB2312" w:cs="仿宋_GB2312"/>
          <w:sz w:val="24"/>
          <w:szCs w:val="24"/>
        </w:rPr>
        <w:t>25号</w:t>
      </w:r>
      <w:r>
        <w:rPr>
          <w:rFonts w:hint="eastAsia" w:ascii="仿宋_GB2312" w:hAnsi="仿宋_GB2312" w:eastAsia="仿宋_GB2312" w:cs="仿宋_GB2312"/>
          <w:sz w:val="24"/>
          <w:szCs w:val="24"/>
          <w:lang w:eastAsia="zh-CN"/>
        </w:rPr>
        <w:t>公路</w:t>
      </w:r>
      <w:r>
        <w:rPr>
          <w:rFonts w:hint="eastAsia" w:ascii="仿宋_GB2312" w:hAnsi="仿宋_GB2312" w:eastAsia="仿宋_GB2312" w:cs="仿宋_GB2312"/>
          <w:sz w:val="24"/>
          <w:szCs w:val="24"/>
        </w:rPr>
        <w:t>，向南进入电厂，长约0.</w:t>
      </w:r>
      <w:r>
        <w:rPr>
          <w:rFonts w:hint="eastAsia" w:ascii="仿宋_GB2312" w:hAnsi="仿宋_GB2312" w:eastAsia="仿宋_GB2312" w:cs="仿宋_GB2312"/>
          <w:sz w:val="24"/>
          <w:szCs w:val="24"/>
          <w:lang w:eastAsia="zh-CN"/>
        </w:rPr>
        <w:t>2km</w:t>
      </w:r>
      <w:r>
        <w:rPr>
          <w:rFonts w:hint="eastAsia" w:ascii="仿宋_GB2312" w:hAnsi="仿宋_GB2312" w:eastAsia="仿宋_GB2312" w:cs="仿宋_GB2312"/>
          <w:sz w:val="24"/>
          <w:szCs w:val="24"/>
        </w:rPr>
        <w:t>；电厂运灰渣道路由电厂南侧引出，向南接入灰场，道路长约1.50km。</w:t>
      </w:r>
    </w:p>
    <w:p>
      <w:pPr>
        <w:pStyle w:val="31"/>
        <w:widowControl/>
        <w:numPr>
          <w:ilvl w:val="0"/>
          <w:numId w:val="0"/>
        </w:numPr>
        <w:adjustRightInd/>
        <w:ind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coal mine maintenance road connects to Highway 25 and extends eastward to the coal mine industrial square, spanning approximately 2.8 km. Both the power plant access road and freight road branch off from this maintenance road to Highway 25, then proceed southward into the power plant, covering about 0.2 km. The fly ash transportation road originates from the southern side of the power plant and continues southward to the ash disposal site, with a total length of approximately 1.50 km.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上述道路均采用中国的三级厂矿道路标准，路面宽7m，沥青混凝土路面。</w:t>
      </w:r>
    </w:p>
    <w:p>
      <w:pPr>
        <w:pStyle w:val="31"/>
        <w:widowControl/>
        <w:numPr>
          <w:ilvl w:val="0"/>
          <w:numId w:val="0"/>
        </w:numPr>
        <w:adjustRightInd/>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above roads all adopt China's third-grade factory and mine road standard, with a pavement width of 7m and asphalt concrete pavement.</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铁路：</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railway</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MUARA ENIM县内仅有的一条铁路离厂址较远，位于厂址西北方向，自北转向西从该地区通过。</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only railway in MUARA ENIM County is located northwest of the factory site, running westward from the north through the area.</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水路：</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waterway </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Lematang河为季节性河流，仅具备季节性通航条件，Enim河基本上不具备通航条件，离厂址最近的码头为西北方向约200km的O.gan河私人码头。</w:t>
      </w:r>
    </w:p>
    <w:p>
      <w:pPr>
        <w:pStyle w:val="31"/>
        <w:widowControl/>
        <w:numPr>
          <w:ilvl w:val="0"/>
          <w:numId w:val="0"/>
        </w:numPr>
        <w:adjustRightInd/>
        <w:ind w:firstLine="480" w:firstLineChars="200"/>
        <w:rPr>
          <w:rFonts w:hint="eastAsia" w:ascii="仿宋_GB2312" w:hAnsi="仿宋_GB2312" w:eastAsia="仿宋_GB2312" w:cs="仿宋_GB2312"/>
          <w:b w:val="0"/>
          <w:color w:val="auto"/>
          <w:kern w:val="0"/>
          <w:sz w:val="24"/>
          <w:szCs w:val="24"/>
        </w:rPr>
      </w:pPr>
      <w:r>
        <w:rPr>
          <w:rFonts w:hint="eastAsia" w:ascii="仿宋_GB2312" w:hAnsi="仿宋_GB2312" w:eastAsia="仿宋_GB2312" w:cs="仿宋_GB2312"/>
          <w:sz w:val="24"/>
          <w:szCs w:val="24"/>
        </w:rPr>
        <w:t>The Lematang River is a seasonal waterway with only seasonal navigability, while the Enim River is essentially non-navigable. The nearest port to the plant site is the private O.gan River terminal, located approximately 200km northwest.</w:t>
      </w:r>
    </w:p>
    <w:p>
      <w:pPr>
        <w:numPr>
          <w:ilvl w:val="0"/>
          <w:numId w:val="0"/>
        </w:num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hAnsi="宋体" w:eastAsia="仿宋_GB2312"/>
          <w:color w:val="auto"/>
          <w:kern w:val="0"/>
          <w:sz w:val="24"/>
          <w:lang w:val="en-US" w:eastAsia="zh-CN"/>
        </w:rPr>
        <w:t>4.</w:t>
      </w:r>
      <w:r>
        <w:rPr>
          <w:rFonts w:hint="eastAsia" w:ascii="仿宋_GB2312" w:eastAsia="仿宋_GB2312"/>
          <w:color w:val="auto"/>
          <w:kern w:val="0"/>
          <w:sz w:val="24"/>
        </w:rPr>
        <w:t>设备现状</w:t>
      </w:r>
    </w:p>
    <w:p>
      <w:pPr>
        <w:numPr>
          <w:ilvl w:val="0"/>
          <w:numId w:val="0"/>
        </w:num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4.</w:t>
      </w:r>
      <w:r>
        <w:rPr>
          <w:rFonts w:hint="eastAsia" w:ascii="仿宋_GB2312" w:eastAsia="仿宋_GB2312"/>
          <w:color w:val="auto"/>
          <w:kern w:val="0"/>
          <w:sz w:val="24"/>
        </w:rPr>
        <w:t>Device status</w:t>
      </w:r>
    </w:p>
    <w:p>
      <w:pPr>
        <w:spacing w:line="360" w:lineRule="auto"/>
        <w:ind w:firstLine="470" w:firstLineChars="196"/>
        <w:rPr>
          <w:rFonts w:hint="eastAsia" w:ascii="仿宋_GB2312" w:eastAsia="仿宋_GB2312"/>
          <w:color w:val="auto"/>
          <w:sz w:val="24"/>
        </w:rPr>
      </w:pPr>
      <w:r>
        <w:rPr>
          <w:rFonts w:hint="eastAsia" w:ascii="仿宋_GB2312" w:eastAsia="仿宋_GB2312"/>
          <w:color w:val="auto"/>
          <w:kern w:val="0"/>
          <w:sz w:val="24"/>
          <w:lang w:val="en-US" w:eastAsia="zh-CN"/>
        </w:rPr>
        <w:t>玻雅分公司</w:t>
      </w:r>
      <w:r>
        <w:rPr>
          <w:rFonts w:hint="eastAsia" w:ascii="仿宋_GB2312" w:eastAsia="仿宋_GB2312"/>
          <w:color w:val="auto"/>
          <w:kern w:val="0"/>
          <w:sz w:val="24"/>
        </w:rPr>
        <w:t>2×6</w:t>
      </w:r>
      <w:r>
        <w:rPr>
          <w:rFonts w:hint="eastAsia" w:ascii="仿宋_GB2312" w:eastAsia="仿宋_GB2312"/>
          <w:color w:val="auto"/>
          <w:kern w:val="0"/>
          <w:sz w:val="24"/>
          <w:lang w:val="en-US" w:eastAsia="zh-CN"/>
        </w:rPr>
        <w:t>6</w:t>
      </w:r>
      <w:r>
        <w:rPr>
          <w:rFonts w:hint="eastAsia" w:ascii="仿宋_GB2312" w:eastAsia="仿宋_GB2312"/>
          <w:color w:val="auto"/>
          <w:kern w:val="0"/>
          <w:sz w:val="24"/>
        </w:rPr>
        <w:t>0MW机组于20</w:t>
      </w:r>
      <w:r>
        <w:rPr>
          <w:rFonts w:hint="eastAsia" w:ascii="仿宋_GB2312" w:eastAsia="仿宋_GB2312"/>
          <w:color w:val="auto"/>
          <w:kern w:val="0"/>
          <w:sz w:val="24"/>
          <w:lang w:val="en-US" w:eastAsia="zh-CN"/>
        </w:rPr>
        <w:t>23</w:t>
      </w:r>
      <w:r>
        <w:rPr>
          <w:rFonts w:hint="eastAsia" w:ascii="仿宋_GB2312" w:eastAsia="仿宋_GB2312"/>
          <w:color w:val="auto"/>
          <w:kern w:val="0"/>
          <w:sz w:val="24"/>
        </w:rPr>
        <w:t>年</w:t>
      </w:r>
      <w:r>
        <w:rPr>
          <w:rFonts w:hint="eastAsia" w:ascii="仿宋_GB2312" w:eastAsia="仿宋_GB2312"/>
          <w:color w:val="auto"/>
          <w:kern w:val="0"/>
          <w:sz w:val="24"/>
          <w:lang w:val="en-US" w:eastAsia="zh-CN"/>
        </w:rPr>
        <w:t>10月</w:t>
      </w:r>
      <w:r>
        <w:rPr>
          <w:rFonts w:hint="eastAsia" w:ascii="仿宋_GB2312" w:eastAsia="仿宋_GB2312"/>
          <w:color w:val="auto"/>
          <w:kern w:val="0"/>
          <w:sz w:val="24"/>
        </w:rPr>
        <w:t>投入</w:t>
      </w:r>
      <w:r>
        <w:rPr>
          <w:rFonts w:hint="eastAsia" w:ascii="仿宋_GB2312" w:eastAsia="仿宋_GB2312"/>
          <w:color w:val="auto"/>
          <w:kern w:val="0"/>
          <w:sz w:val="24"/>
          <w:lang w:val="en-US" w:eastAsia="zh-CN"/>
        </w:rPr>
        <w:t>商业</w:t>
      </w:r>
      <w:r>
        <w:rPr>
          <w:rFonts w:hint="eastAsia" w:ascii="仿宋_GB2312" w:eastAsia="仿宋_GB2312"/>
          <w:color w:val="auto"/>
          <w:kern w:val="0"/>
          <w:sz w:val="24"/>
        </w:rPr>
        <w:t>运行，</w:t>
      </w:r>
      <w:r>
        <w:rPr>
          <w:rFonts w:hint="eastAsia" w:ascii="仿宋_GB2312" w:eastAsia="仿宋_GB2312"/>
          <w:color w:val="auto"/>
          <w:kern w:val="0"/>
          <w:sz w:val="24"/>
          <w:lang w:eastAsia="zh-CN"/>
        </w:rPr>
        <w:t>根据年度检修计</w:t>
      </w:r>
      <w:r>
        <w:rPr>
          <w:rFonts w:hint="eastAsia" w:ascii="仿宋_GB2312" w:eastAsia="仿宋_GB2312"/>
          <w:color w:val="auto"/>
          <w:kern w:val="0"/>
          <w:sz w:val="24"/>
          <w:lang w:val="en-US" w:eastAsia="zh-CN"/>
        </w:rPr>
        <w:t>划</w:t>
      </w:r>
      <w:r>
        <w:rPr>
          <w:rFonts w:hint="eastAsia" w:ascii="仿宋_GB2312" w:eastAsia="仿宋_GB2312"/>
          <w:color w:val="auto"/>
          <w:sz w:val="24"/>
        </w:rPr>
        <w:t>，现拟对</w:t>
      </w:r>
      <w:r>
        <w:rPr>
          <w:rFonts w:hint="eastAsia" w:ascii="仿宋_GB2312" w:eastAsia="仿宋_GB2312"/>
          <w:color w:val="auto"/>
          <w:sz w:val="24"/>
          <w:lang w:val="en-US" w:eastAsia="zh-CN"/>
        </w:rPr>
        <w:t>#2锅炉部分</w:t>
      </w:r>
      <w:r>
        <w:rPr>
          <w:rFonts w:hint="eastAsia" w:ascii="仿宋_GB2312" w:eastAsia="仿宋_GB2312"/>
          <w:color w:val="auto"/>
          <w:sz w:val="24"/>
        </w:rPr>
        <w:t>磨煤机</w:t>
      </w:r>
      <w:r>
        <w:rPr>
          <w:rFonts w:hint="eastAsia" w:ascii="仿宋_GB2312" w:eastAsia="仿宋_GB2312"/>
          <w:color w:val="auto"/>
          <w:sz w:val="24"/>
          <w:lang w:val="en-US" w:eastAsia="zh-CN"/>
        </w:rPr>
        <w:t>磨辊套、磨盘衬板</w:t>
      </w:r>
      <w:r>
        <w:rPr>
          <w:rFonts w:hint="eastAsia" w:ascii="仿宋_GB2312" w:eastAsia="仿宋_GB2312"/>
          <w:color w:val="auto"/>
          <w:sz w:val="24"/>
        </w:rPr>
        <w:t>堆焊修复。</w:t>
      </w:r>
    </w:p>
    <w:p>
      <w:pPr>
        <w:spacing w:line="360" w:lineRule="auto"/>
        <w:ind w:firstLine="470" w:firstLineChars="196"/>
        <w:rPr>
          <w:rFonts w:hint="eastAsia" w:ascii="仿宋_GB2312" w:eastAsia="仿宋_GB2312"/>
          <w:color w:val="auto"/>
          <w:sz w:val="24"/>
        </w:rPr>
      </w:pPr>
      <w:r>
        <w:rPr>
          <w:rFonts w:hint="eastAsia" w:ascii="仿宋_GB2312" w:eastAsia="仿宋_GB2312"/>
          <w:color w:val="auto"/>
          <w:sz w:val="24"/>
        </w:rPr>
        <w:t>In October 2023, the 2×660MW units of Boya Branch commenced commercial operation. According to the annual maintenance schedule, we plan to perform overlay welding repairs on the grinding roller sleeves and grinding plate liners of some coal mills.</w:t>
      </w:r>
    </w:p>
    <w:p>
      <w:pPr>
        <w:spacing w:line="360" w:lineRule="auto"/>
        <w:ind w:firstLine="600" w:firstLineChars="250"/>
        <w:rPr>
          <w:rFonts w:hint="eastAsia" w:ascii="仿宋_GB2312" w:eastAsia="仿宋_GB2312"/>
          <w:color w:val="auto"/>
          <w:sz w:val="24"/>
        </w:rPr>
      </w:pPr>
      <w:r>
        <w:rPr>
          <w:rFonts w:hint="eastAsia" w:ascii="仿宋_GB2312" w:eastAsia="仿宋_GB2312"/>
          <w:color w:val="auto"/>
          <w:sz w:val="24"/>
        </w:rPr>
        <w:t>磨煤机</w:t>
      </w:r>
      <w:r>
        <w:rPr>
          <w:rFonts w:hint="eastAsia" w:ascii="仿宋_GB2312" w:eastAsia="仿宋_GB2312"/>
          <w:color w:val="auto"/>
          <w:sz w:val="24"/>
          <w:lang w:eastAsia="zh-CN"/>
        </w:rPr>
        <w:t>协议</w:t>
      </w:r>
      <w:r>
        <w:rPr>
          <w:rFonts w:hint="eastAsia" w:ascii="仿宋_GB2312" w:eastAsia="仿宋_GB2312"/>
          <w:color w:val="auto"/>
          <w:sz w:val="24"/>
        </w:rPr>
        <w:t>如下：</w:t>
      </w:r>
    </w:p>
    <w:p>
      <w:pPr>
        <w:spacing w:line="360" w:lineRule="auto"/>
        <w:ind w:firstLine="600" w:firstLineChars="250"/>
        <w:rPr>
          <w:rFonts w:hint="eastAsia" w:ascii="仿宋_GB2312" w:eastAsia="仿宋_GB2312"/>
          <w:color w:val="auto"/>
          <w:sz w:val="24"/>
        </w:rPr>
      </w:pPr>
      <w:r>
        <w:rPr>
          <w:rFonts w:hint="eastAsia" w:ascii="仿宋_GB2312" w:eastAsia="仿宋_GB2312"/>
          <w:color w:val="auto"/>
          <w:sz w:val="24"/>
        </w:rPr>
        <w:t>The coal mill agreement is as follows</w:t>
      </w:r>
    </w:p>
    <w:tbl>
      <w:tblPr>
        <w:tblStyle w:val="17"/>
        <w:tblW w:w="83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5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noWrap w:val="0"/>
            <w:vAlign w:val="top"/>
          </w:tcPr>
          <w:p>
            <w:pPr>
              <w:spacing w:line="360" w:lineRule="auto"/>
              <w:rPr>
                <w:rFonts w:hint="eastAsia" w:ascii="仿宋_GB2312" w:eastAsia="仿宋_GB2312"/>
                <w:color w:val="auto"/>
                <w:sz w:val="24"/>
              </w:rPr>
            </w:pPr>
            <w:r>
              <w:rPr>
                <w:rFonts w:hint="eastAsia" w:ascii="仿宋_GB2312" w:eastAsia="仿宋_GB2312"/>
                <w:color w:val="auto"/>
                <w:sz w:val="24"/>
              </w:rPr>
              <w:t>适应煤种</w:t>
            </w:r>
          </w:p>
          <w:p>
            <w:pPr>
              <w:spacing w:line="360" w:lineRule="auto"/>
              <w:rPr>
                <w:rFonts w:hint="eastAsia" w:ascii="仿宋_GB2312" w:eastAsia="仿宋_GB2312"/>
                <w:color w:val="auto"/>
                <w:sz w:val="24"/>
              </w:rPr>
            </w:pPr>
            <w:r>
              <w:rPr>
                <w:rFonts w:hint="eastAsia" w:ascii="仿宋_GB2312" w:eastAsia="仿宋_GB2312"/>
                <w:color w:val="auto"/>
                <w:sz w:val="24"/>
              </w:rPr>
              <w:t>Coal type</w:t>
            </w:r>
          </w:p>
        </w:tc>
        <w:tc>
          <w:tcPr>
            <w:tcW w:w="5548" w:type="dxa"/>
            <w:noWrap w:val="0"/>
            <w:vAlign w:val="top"/>
          </w:tcPr>
          <w:p>
            <w:pPr>
              <w:adjustRightInd w:val="0"/>
              <w:snapToGrid w:val="0"/>
              <w:spacing w:line="360" w:lineRule="auto"/>
              <w:rPr>
                <w:rFonts w:hint="eastAsia" w:ascii="仿宋_GB2312" w:eastAsia="仿宋_GB2312"/>
                <w:color w:val="auto"/>
                <w:sz w:val="24"/>
              </w:rPr>
            </w:pPr>
            <w:r>
              <w:rPr>
                <w:rFonts w:hint="eastAsia" w:ascii="仿宋_GB2312" w:eastAsia="仿宋_GB2312"/>
                <w:color w:val="auto"/>
                <w:sz w:val="24"/>
              </w:rPr>
              <w:t>烟煤、无烟煤、褐煤、贫瘦煤</w:t>
            </w:r>
          </w:p>
          <w:p>
            <w:pPr>
              <w:adjustRightInd w:val="0"/>
              <w:snapToGrid w:val="0"/>
              <w:spacing w:line="360" w:lineRule="auto"/>
              <w:rPr>
                <w:rFonts w:hint="eastAsia" w:ascii="仿宋_GB2312" w:eastAsia="仿宋_GB2312"/>
                <w:color w:val="auto"/>
                <w:sz w:val="24"/>
              </w:rPr>
            </w:pPr>
            <w:r>
              <w:rPr>
                <w:rFonts w:hint="eastAsia" w:ascii="仿宋_GB2312" w:eastAsia="仿宋_GB2312"/>
                <w:color w:val="auto"/>
                <w:sz w:val="24"/>
              </w:rPr>
              <w:t>Bituminous coal, anthracite, lignite, lean coal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noWrap w:val="0"/>
            <w:vAlign w:val="top"/>
          </w:tcPr>
          <w:p>
            <w:pPr>
              <w:spacing w:line="360" w:lineRule="auto"/>
              <w:rPr>
                <w:rFonts w:hint="eastAsia" w:ascii="仿宋_GB2312" w:eastAsia="仿宋_GB2312"/>
                <w:color w:val="auto"/>
                <w:sz w:val="24"/>
              </w:rPr>
            </w:pPr>
            <w:r>
              <w:rPr>
                <w:rFonts w:hint="eastAsia" w:ascii="仿宋_GB2312" w:eastAsia="仿宋_GB2312"/>
                <w:color w:val="auto"/>
                <w:sz w:val="24"/>
              </w:rPr>
              <w:t xml:space="preserve">可磨性系数 Grindability coefficient       </w:t>
            </w:r>
          </w:p>
        </w:tc>
        <w:tc>
          <w:tcPr>
            <w:tcW w:w="5548" w:type="dxa"/>
            <w:noWrap w:val="0"/>
            <w:vAlign w:val="top"/>
          </w:tcPr>
          <w:p>
            <w:pPr>
              <w:spacing w:line="360" w:lineRule="auto"/>
              <w:rPr>
                <w:rFonts w:hint="eastAsia" w:ascii="仿宋_GB2312" w:eastAsia="仿宋_GB2312"/>
                <w:color w:val="auto"/>
                <w:sz w:val="24"/>
                <w:lang w:eastAsia="zh-CN"/>
              </w:rPr>
            </w:pPr>
            <w:r>
              <w:rPr>
                <w:rFonts w:hint="eastAsia" w:ascii="仿宋_GB2312" w:eastAsia="仿宋_GB2312"/>
                <w:color w:val="auto"/>
                <w:sz w:val="24"/>
              </w:rPr>
              <w:t>HGI&gt;35</w:t>
            </w:r>
            <w:r>
              <w:rPr>
                <w:rFonts w:hint="eastAsia" w:ascii="仿宋_GB2312" w:eastAsia="仿宋_GB2312"/>
                <w:color w:val="auto"/>
                <w:sz w:val="24"/>
                <w:lang w:eastAsia="zh-CN"/>
              </w:rPr>
              <w:t>（</w:t>
            </w:r>
            <w:r>
              <w:rPr>
                <w:rFonts w:hint="eastAsia" w:ascii="仿宋_GB2312" w:eastAsia="仿宋_GB2312"/>
                <w:color w:val="auto"/>
                <w:sz w:val="24"/>
                <w:lang w:val="en-US" w:eastAsia="zh-CN"/>
              </w:rPr>
              <w:t>哈氏可磨度</w:t>
            </w:r>
            <w:r>
              <w:rPr>
                <w:rFonts w:hint="eastAsia" w:ascii="仿宋_GB2312" w:eastAsia="仿宋_GB2312"/>
                <w:color w:val="auto"/>
                <w:sz w:val="24"/>
                <w:lang w:eastAsia="zh-CN"/>
              </w:rPr>
              <w:t>）</w:t>
            </w:r>
          </w:p>
          <w:p>
            <w:pPr>
              <w:spacing w:line="360" w:lineRule="auto"/>
              <w:rPr>
                <w:rFonts w:hint="eastAsia" w:ascii="仿宋_GB2312" w:eastAsia="仿宋_GB2312"/>
                <w:color w:val="auto"/>
                <w:sz w:val="24"/>
                <w:lang w:eastAsia="zh-CN"/>
              </w:rPr>
            </w:pPr>
            <w:r>
              <w:rPr>
                <w:rFonts w:hint="eastAsia" w:ascii="仿宋_GB2312" w:eastAsia="仿宋_GB2312"/>
                <w:color w:val="auto"/>
                <w:sz w:val="24"/>
                <w:lang w:eastAsia="zh-CN"/>
              </w:rPr>
              <w:t>HGI&gt;35 (Hardness Index)</w:t>
            </w:r>
          </w:p>
          <w:p>
            <w:pPr>
              <w:spacing w:line="360" w:lineRule="auto"/>
              <w:rPr>
                <w:rFonts w:hint="eastAsia"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2840" w:type="dxa"/>
            <w:noWrap w:val="0"/>
            <w:vAlign w:val="top"/>
          </w:tcPr>
          <w:p>
            <w:pPr>
              <w:spacing w:line="360" w:lineRule="auto"/>
              <w:rPr>
                <w:rFonts w:hint="eastAsia" w:ascii="仿宋_GB2312" w:eastAsia="仿宋_GB2312"/>
                <w:color w:val="auto"/>
                <w:sz w:val="24"/>
                <w:lang w:val="en-US" w:eastAsia="zh-CN"/>
              </w:rPr>
            </w:pPr>
            <w:r>
              <w:rPr>
                <w:rFonts w:hint="eastAsia" w:ascii="仿宋_GB2312" w:eastAsia="仿宋_GB2312"/>
                <w:color w:val="auto"/>
                <w:sz w:val="24"/>
              </w:rPr>
              <w:t>原煤</w:t>
            </w:r>
            <w:r>
              <w:rPr>
                <w:rFonts w:hint="eastAsia" w:ascii="仿宋_GB2312" w:eastAsia="仿宋_GB2312"/>
                <w:color w:val="auto"/>
                <w:sz w:val="24"/>
                <w:lang w:val="en-US" w:eastAsia="zh-CN"/>
              </w:rPr>
              <w:t>粒度</w:t>
            </w:r>
          </w:p>
          <w:p>
            <w:pPr>
              <w:spacing w:line="360" w:lineRule="auto"/>
              <w:rPr>
                <w:rFonts w:hint="eastAsia" w:ascii="仿宋_GB2312" w:eastAsia="仿宋_GB2312"/>
                <w:color w:val="auto"/>
                <w:sz w:val="24"/>
              </w:rPr>
            </w:pPr>
            <w:r>
              <w:rPr>
                <w:rFonts w:hint="eastAsia" w:ascii="仿宋_GB2312" w:eastAsia="仿宋_GB2312"/>
                <w:color w:val="auto"/>
                <w:sz w:val="24"/>
                <w:lang w:val="en-US" w:eastAsia="zh-CN"/>
              </w:rPr>
              <w:t>Raw coal particle size</w:t>
            </w:r>
            <w:r>
              <w:rPr>
                <w:rFonts w:hint="eastAsia" w:ascii="仿宋_GB2312" w:eastAsia="仿宋_GB2312"/>
                <w:color w:val="auto"/>
                <w:sz w:val="24"/>
              </w:rPr>
              <w:t xml:space="preserve">          </w:t>
            </w:r>
          </w:p>
        </w:tc>
        <w:tc>
          <w:tcPr>
            <w:tcW w:w="5548" w:type="dxa"/>
            <w:noWrap w:val="0"/>
            <w:vAlign w:val="top"/>
          </w:tcPr>
          <w:p>
            <w:pPr>
              <w:spacing w:line="360" w:lineRule="auto"/>
              <w:rPr>
                <w:rFonts w:hint="eastAsia" w:ascii="仿宋_GB2312" w:eastAsia="仿宋_GB2312"/>
                <w:color w:val="auto"/>
                <w:sz w:val="24"/>
              </w:rPr>
            </w:pPr>
            <w:r>
              <w:rPr>
                <w:rFonts w:hint="eastAsia" w:ascii="仿宋_GB2312" w:eastAsia="仿宋_GB2312"/>
                <w:color w:val="auto"/>
                <w:sz w:val="24"/>
              </w:rPr>
              <w:t>0</w:t>
            </w:r>
            <w:r>
              <w:rPr>
                <w:rFonts w:hint="eastAsia" w:ascii="仿宋_GB2312" w:eastAsia="仿宋_GB2312"/>
                <w:color w:val="auto"/>
                <w:sz w:val="24"/>
                <w:lang w:eastAsia="zh-CN"/>
              </w:rPr>
              <w:t>~</w:t>
            </w:r>
            <w:r>
              <w:rPr>
                <w:rFonts w:hint="eastAsia" w:ascii="仿宋_GB2312" w:eastAsia="仿宋_GB2312"/>
                <w:color w:val="auto"/>
                <w:sz w:val="24"/>
                <w:lang w:val="en-US" w:eastAsia="zh-CN"/>
              </w:rPr>
              <w:t>50</w:t>
            </w:r>
            <w:r>
              <w:rPr>
                <w:rFonts w:hint="eastAsia" w:ascii="仿宋_GB2312" w:eastAsia="仿宋_GB2312"/>
                <w:color w:val="auto"/>
                <w:sz w:val="24"/>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noWrap w:val="0"/>
            <w:vAlign w:val="top"/>
          </w:tcPr>
          <w:p>
            <w:pPr>
              <w:adjustRightInd w:val="0"/>
              <w:snapToGrid w:val="0"/>
              <w:spacing w:line="360" w:lineRule="auto"/>
              <w:rPr>
                <w:rFonts w:hint="eastAsia" w:ascii="仿宋_GB2312" w:eastAsia="仿宋_GB2312"/>
                <w:color w:val="auto"/>
                <w:sz w:val="24"/>
              </w:rPr>
            </w:pPr>
            <w:r>
              <w:rPr>
                <w:rFonts w:hint="eastAsia" w:ascii="仿宋_GB2312" w:eastAsia="仿宋_GB2312"/>
                <w:color w:val="auto"/>
                <w:sz w:val="24"/>
              </w:rPr>
              <w:t>磨煤机磨盘转速</w:t>
            </w:r>
          </w:p>
          <w:p>
            <w:pPr>
              <w:adjustRightInd w:val="0"/>
              <w:snapToGrid w:val="0"/>
              <w:spacing w:line="360" w:lineRule="auto"/>
              <w:rPr>
                <w:rFonts w:hint="eastAsia" w:ascii="仿宋_GB2312" w:eastAsia="仿宋_GB2312"/>
                <w:color w:val="auto"/>
                <w:sz w:val="24"/>
              </w:rPr>
            </w:pPr>
            <w:r>
              <w:rPr>
                <w:rFonts w:hint="eastAsia" w:ascii="仿宋_GB2312" w:eastAsia="仿宋_GB2312"/>
                <w:color w:val="auto"/>
                <w:sz w:val="24"/>
              </w:rPr>
              <w:t>Grinder plate speed</w:t>
            </w:r>
          </w:p>
        </w:tc>
        <w:tc>
          <w:tcPr>
            <w:tcW w:w="5548" w:type="dxa"/>
            <w:noWrap w:val="0"/>
            <w:vAlign w:val="top"/>
          </w:tcPr>
          <w:p>
            <w:pPr>
              <w:spacing w:line="360" w:lineRule="auto"/>
              <w:rPr>
                <w:rFonts w:hint="eastAsia" w:ascii="仿宋_GB2312" w:eastAsia="仿宋_GB2312"/>
                <w:color w:val="auto"/>
                <w:sz w:val="24"/>
              </w:rPr>
            </w:pPr>
            <w:r>
              <w:rPr>
                <w:rFonts w:hint="eastAsia" w:ascii="仿宋_GB2312" w:eastAsia="仿宋_GB2312"/>
                <w:color w:val="auto"/>
                <w:sz w:val="24"/>
                <w:lang w:val="en-US" w:eastAsia="zh-CN"/>
              </w:rPr>
              <w:t>30</w:t>
            </w:r>
            <w:r>
              <w:rPr>
                <w:rFonts w:hint="eastAsia" w:ascii="仿宋_GB2312" w:eastAsia="仿宋_GB2312"/>
                <w:color w:val="auto"/>
                <w:sz w:val="24"/>
              </w:rPr>
              <w:t xml:space="preserve">   r/min</w:t>
            </w:r>
          </w:p>
        </w:tc>
      </w:tr>
    </w:tbl>
    <w:p>
      <w:pPr>
        <w:numPr>
          <w:ilvl w:val="0"/>
          <w:numId w:val="0"/>
        </w:numPr>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本次</w:t>
      </w:r>
      <w:r>
        <w:rPr>
          <w:rFonts w:hint="eastAsia" w:ascii="仿宋_GB2312" w:eastAsia="仿宋_GB2312"/>
          <w:color w:val="auto"/>
          <w:sz w:val="24"/>
          <w:lang w:val="en-US" w:eastAsia="zh-CN"/>
        </w:rPr>
        <w:t>磨辊套、衬板</w:t>
      </w:r>
      <w:r>
        <w:rPr>
          <w:rFonts w:hint="eastAsia" w:ascii="仿宋_GB2312" w:eastAsia="仿宋_GB2312"/>
          <w:color w:val="auto"/>
          <w:sz w:val="24"/>
        </w:rPr>
        <w:t>堆焊修复仅适用</w:t>
      </w:r>
      <w:r>
        <w:rPr>
          <w:rFonts w:hint="eastAsia" w:ascii="仿宋_GB2312" w:eastAsia="仿宋_GB2312"/>
          <w:color w:val="auto"/>
          <w:sz w:val="24"/>
          <w:lang w:val="en-US" w:eastAsia="zh-CN"/>
        </w:rPr>
        <w:t>于玻雅分公司#2机组检查性大修锅炉2台</w:t>
      </w:r>
      <w:r>
        <w:rPr>
          <w:rFonts w:hint="eastAsia" w:ascii="仿宋_GB2312" w:eastAsia="仿宋_GB2312"/>
          <w:color w:val="auto"/>
          <w:sz w:val="24"/>
        </w:rPr>
        <w:t>ZGM113</w:t>
      </w:r>
      <w:r>
        <w:rPr>
          <w:rFonts w:hint="eastAsia" w:ascii="仿宋_GB2312" w:eastAsia="仿宋_GB2312"/>
          <w:color w:val="auto"/>
          <w:sz w:val="24"/>
          <w:lang w:val="en-US" w:eastAsia="zh-CN"/>
        </w:rPr>
        <w:t>N-Ⅱ</w:t>
      </w:r>
      <w:r>
        <w:rPr>
          <w:rFonts w:hint="eastAsia" w:ascii="仿宋_GB2312" w:eastAsia="仿宋_GB2312"/>
          <w:color w:val="auto"/>
          <w:sz w:val="24"/>
        </w:rPr>
        <w:t>型中速磨煤机</w:t>
      </w:r>
      <w:r>
        <w:rPr>
          <w:rFonts w:hint="eastAsia" w:ascii="仿宋_GB2312" w:eastAsia="仿宋_GB2312"/>
          <w:color w:val="auto"/>
          <w:sz w:val="24"/>
          <w:lang w:eastAsia="zh-CN"/>
        </w:rPr>
        <w:t>。</w:t>
      </w:r>
      <w:r>
        <w:rPr>
          <w:rFonts w:hint="eastAsia" w:ascii="仿宋_GB2312" w:eastAsia="仿宋_GB2312"/>
          <w:color w:val="auto"/>
          <w:sz w:val="24"/>
        </w:rPr>
        <w:t>需修复的</w:t>
      </w:r>
      <w:r>
        <w:rPr>
          <w:rFonts w:hint="eastAsia" w:ascii="仿宋_GB2312" w:eastAsia="仿宋_GB2312"/>
          <w:color w:val="auto"/>
          <w:sz w:val="24"/>
          <w:lang w:val="en-US" w:eastAsia="zh-CN"/>
        </w:rPr>
        <w:t>磨辊套</w:t>
      </w:r>
      <w:r>
        <w:rPr>
          <w:rFonts w:hint="eastAsia" w:ascii="仿宋_GB2312" w:eastAsia="仿宋_GB2312"/>
          <w:color w:val="auto"/>
          <w:sz w:val="24"/>
          <w:lang w:eastAsia="zh-CN"/>
        </w:rPr>
        <w:t>、</w:t>
      </w:r>
      <w:r>
        <w:rPr>
          <w:rFonts w:hint="eastAsia" w:ascii="仿宋_GB2312" w:eastAsia="仿宋_GB2312"/>
          <w:color w:val="auto"/>
          <w:sz w:val="24"/>
          <w:lang w:val="en-US" w:eastAsia="zh-CN"/>
        </w:rPr>
        <w:t>磨盘衬板</w:t>
      </w:r>
      <w:r>
        <w:rPr>
          <w:rFonts w:hint="eastAsia" w:ascii="仿宋_GB2312" w:eastAsia="仿宋_GB2312"/>
          <w:color w:val="auto"/>
          <w:sz w:val="24"/>
          <w:lang w:eastAsia="zh-CN"/>
        </w:rPr>
        <w:t>暂定堆焊</w:t>
      </w:r>
      <w:r>
        <w:rPr>
          <w:rFonts w:hint="eastAsia" w:ascii="仿宋_GB2312" w:eastAsia="仿宋_GB2312"/>
          <w:color w:val="auto"/>
          <w:sz w:val="24"/>
        </w:rPr>
        <w:t>重量约为</w:t>
      </w:r>
      <w:r>
        <w:rPr>
          <w:rFonts w:hint="eastAsia" w:ascii="仿宋_GB2312" w:eastAsia="仿宋_GB2312"/>
          <w:color w:val="auto"/>
          <w:sz w:val="24"/>
          <w:lang w:val="en-US" w:eastAsia="zh-CN"/>
        </w:rPr>
        <w:t>5</w:t>
      </w:r>
      <w:r>
        <w:rPr>
          <w:rFonts w:hint="eastAsia" w:ascii="仿宋_GB2312" w:eastAsia="仿宋_GB2312"/>
          <w:color w:val="auto"/>
          <w:sz w:val="24"/>
        </w:rPr>
        <w:t>吨</w:t>
      </w:r>
      <w:r>
        <w:rPr>
          <w:rFonts w:hint="eastAsia" w:ascii="仿宋_GB2312" w:eastAsia="仿宋_GB2312"/>
          <w:color w:val="auto"/>
          <w:sz w:val="24"/>
          <w:lang w:eastAsia="zh-CN"/>
        </w:rPr>
        <w:t>，根据需要采用在线堆焊方式</w:t>
      </w:r>
      <w:r>
        <w:rPr>
          <w:rFonts w:hint="eastAsia" w:ascii="仿宋_GB2312" w:eastAsia="仿宋_GB2312"/>
          <w:color w:val="auto"/>
          <w:sz w:val="24"/>
        </w:rPr>
        <w:t>，具体数量</w:t>
      </w:r>
      <w:r>
        <w:rPr>
          <w:rFonts w:hint="eastAsia" w:ascii="仿宋_GB2312" w:eastAsia="仿宋_GB2312"/>
          <w:color w:val="auto"/>
          <w:sz w:val="24"/>
          <w:lang w:eastAsia="zh-CN"/>
        </w:rPr>
        <w:t>以实际结算数量为准</w:t>
      </w:r>
      <w:r>
        <w:rPr>
          <w:rFonts w:hint="eastAsia" w:ascii="仿宋_GB2312" w:eastAsia="仿宋_GB2312"/>
          <w:color w:val="auto"/>
          <w:sz w:val="24"/>
        </w:rPr>
        <w:t>。</w:t>
      </w:r>
    </w:p>
    <w:p>
      <w:pPr>
        <w:numPr>
          <w:ilvl w:val="0"/>
          <w:numId w:val="0"/>
        </w:numPr>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 xml:space="preserve">This cladding repair service is exclusively for the ZGM113N-II medium-speed coal mill at </w:t>
      </w:r>
      <w:r>
        <w:rPr>
          <w:rFonts w:hint="eastAsia" w:ascii="宋体" w:hAnsi="宋体" w:eastAsia="宋体" w:cs="宋体"/>
          <w:sz w:val="24"/>
          <w:szCs w:val="24"/>
          <w:highlight w:val="none"/>
          <w:lang w:eastAsia="zh-CN"/>
        </w:rPr>
        <w:t>PT.CHD POWER PLANT OPERATION INDONESLA MUARA ENIM BRANCH</w:t>
      </w:r>
      <w:r>
        <w:rPr>
          <w:rFonts w:hint="eastAsia" w:ascii="仿宋_GB2312" w:eastAsia="仿宋_GB2312"/>
          <w:color w:val="auto"/>
          <w:sz w:val="24"/>
        </w:rPr>
        <w:t xml:space="preserve">. The required cladding weight for the grinding roller sleeves and liners is approximately </w:t>
      </w:r>
      <w:r>
        <w:rPr>
          <w:rFonts w:hint="eastAsia" w:ascii="仿宋_GB2312" w:eastAsia="仿宋_GB2312"/>
          <w:color w:val="auto"/>
          <w:sz w:val="24"/>
          <w:lang w:val="en-US" w:eastAsia="zh-CN"/>
        </w:rPr>
        <w:t>5</w:t>
      </w:r>
      <w:r>
        <w:rPr>
          <w:rFonts w:hint="eastAsia" w:ascii="仿宋_GB2312" w:eastAsia="仿宋_GB2312"/>
          <w:color w:val="auto"/>
          <w:sz w:val="24"/>
        </w:rPr>
        <w:t xml:space="preserve"> tons. The repair can be performed either offline or online, with the final quantity determined by actual settlement.</w:t>
      </w:r>
    </w:p>
    <w:p>
      <w:pPr>
        <w:pStyle w:val="4"/>
        <w:numPr>
          <w:ilvl w:val="0"/>
          <w:numId w:val="0"/>
        </w:numPr>
        <w:tabs>
          <w:tab w:val="left" w:pos="480"/>
        </w:tabs>
        <w:jc w:val="both"/>
        <w:rPr>
          <w:rFonts w:hint="eastAsia"/>
          <w:lang w:val="en-US" w:eastAsia="zh-CN"/>
        </w:rPr>
      </w:pPr>
      <w:bookmarkStart w:id="4" w:name="_Toc23502"/>
      <w:r>
        <w:rPr>
          <w:rFonts w:hint="eastAsia" w:ascii="Arial" w:hAnsi="Arial" w:eastAsia="宋体"/>
          <w:b/>
          <w:kern w:val="44"/>
          <w:sz w:val="28"/>
          <w:lang w:val="en-US" w:eastAsia="zh-CN" w:bidi="ar-SA"/>
        </w:rPr>
        <w:t>三、</w:t>
      </w:r>
      <w:r>
        <w:rPr>
          <w:rFonts w:hint="eastAsia"/>
          <w:lang w:val="en-US" w:eastAsia="zh-CN"/>
        </w:rPr>
        <w:t>修复内容及技术要求</w:t>
      </w:r>
      <w:bookmarkEnd w:id="4"/>
    </w:p>
    <w:p>
      <w:pPr>
        <w:pStyle w:val="4"/>
        <w:numPr>
          <w:ilvl w:val="0"/>
          <w:numId w:val="0"/>
        </w:numPr>
        <w:tabs>
          <w:tab w:val="left" w:pos="480"/>
        </w:tabs>
        <w:jc w:val="both"/>
        <w:rPr>
          <w:rFonts w:hint="eastAsia"/>
          <w:lang w:val="en-US" w:eastAsia="zh-CN"/>
        </w:rPr>
      </w:pPr>
      <w:r>
        <w:rPr>
          <w:rFonts w:hint="eastAsia"/>
          <w:lang w:val="en-US" w:eastAsia="zh-CN"/>
        </w:rPr>
        <w:t>三、Fix content and technical requirements</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在磨煤机停运不拆除磨辊套及磨盘衬板的前提下，按照图纸要求对磨煤机磨辊套及磨盘衬板采用明弧堆焊方式施工，不造成设备损坏。</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Without removing the grinding roller sleeve and grinding plate liner when the coal mill is out of operation, the grinding roller sleeve and grinding plate liner of the coal mill are welded with open arc according to the drawing requirements, so as not to cause equipment damage.</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服务方采取在线堆焊的方式安排堆焊修复时，则双方应在堆焊前后对焊丝重量进行确认签字，将签证单作为结算依据。</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If the service provider arranges the repair by online welding, both parties shall confirm and sign the weight of the welding wire before and after the welding, and the visa form shall be used as the basis for settlement.</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磨辊套堆焊焊丝（焊条）具有优良的抗磨性及耐压性能，采用的品牌应达到或优于进口品牌：德国法奥迪VAUTID、德国斯坦因stein、美国司太立Stellite，其至少含有C、Si、Mn、Cr、Fe、Mo、Nb等元素，部分元素含量至少为：C：5%～6%、Si：1%～2%、Mn：0.8%～3.5%、Cr：26%～35%、Nb：5%～7%。</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The roll sleeve spot welding wire (rod) features excellent wear resistance and pressure resistance. The selected brand should meet or exceed imported standards: German VAUTID, German Stein, and American Stellite. It must contain at least the following elements: C: 5%–6%, Si: 1%–2%, Mn: 0.8%–3.5%, Cr: 26%–35%, and Nb: 5%–7%.</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磨辊套、磨盘衬板堆焊焊丝材质用光谱仪检测，确认材质，并提供材质报告，经采购方确认后方可进行堆焊。</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The material of the welding wire used for the grinding roller sleeve and grinding plate backing plate is detected by spectrometer to confirm the material, and the material report is provided. The welding can be carried out only after the confirmation of the purchaser.</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因磨煤机磨辊套及磨盘衬板在线堆焊的工作量主要是焊接材料的耗用，工作量按使用焊丝重量计算，每次焊丝开箱前在采购方人员见证下用电子秤称重，使用前后进行现场签证确认。</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Since the workload of online welding of coal mill grinding roller sleeve and grinding plate liner is mainly the consumption of welding materials, the workload is calculated according to the weight of welding wire used. Before each welding wire is unpacked, it is weighed by electronic scale under the witness of purchasing personnel, and on-site verification is carried out before and after use.</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对磨损的磨辊装置部件进行修复，修复后组装的磨辊装置总成尺寸、性能达到原设计要求。</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The worn parts of the grinding roller device are repaired, and the assembled grinding roller device meets the original design requirements in size and performance.</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磨辊套、磨盘衬板堆焊工艺：</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Roller sleeve and grinding plate backing plate cladding process</w:t>
      </w:r>
    </w:p>
    <w:p>
      <w:pPr>
        <w:numPr>
          <w:ilvl w:val="0"/>
          <w:numId w:val="0"/>
        </w:numPr>
        <w:spacing w:line="360" w:lineRule="auto"/>
        <w:ind w:firstLine="480" w:firstLineChars="200"/>
        <w:rPr>
          <w:rFonts w:hint="default" w:ascii="仿宋_GB2312" w:hAnsi="Times New Roman" w:eastAsia="仿宋_GB2312" w:cs="Times New Roman"/>
          <w:b w:val="0"/>
          <w:color w:val="auto"/>
          <w:kern w:val="0"/>
          <w:sz w:val="24"/>
          <w:szCs w:val="24"/>
          <w:lang w:val="en-US" w:eastAsia="zh-CN" w:bidi="ar-SA"/>
        </w:rPr>
      </w:pP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在现场开工前，需对磨煤机磨辊套、磨盘衬板进行焊前原始数据测量，并做完整记录。</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Before the site work begins, the original data of the mill roller sleeve and the mill plate liner should be measured before welding, and a complete record should be made.</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堆焊前必须安排对工件进行着色探伤检查，确认无影响焊接的裂纹或内部缺陷。如果检查发现裂纹缺陷应通知采购方见证，并打磨直至裂纹缺陷消失后方可实施堆焊工作；堆焊过程中发生由于服务方责任造成的磨辊套、磨盘衬板断裂，服务方应赔偿全新的磨辊套或磨盘衬板。</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Prior to overlay welding, the workpiece must undergo dye penetrant testing to confirm the absence of cracks or internal defects that could compromise the welding process. If cracks are detected, the procuring party must be notified and present as witnesses. The workpiece shall be ground until all defects are eliminated before proceeding with overlay welding. Should the service provider be responsible for the fracture of grinding roller sleeves or grinding disc liners during the overlay welding process, they shall compensate by providing new sleeves or liners.</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在线堆焊时，焊接地线就近搭接，不得连接到磨辊、减速机上，防止轴承、齿轮因电流通过发生过热损坏。</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During online welding, the welding ground wire should be overlapped nearby and should not be connected to the grinding roller or reducer to prevent the bearing and gear from being damaged by overheating due to current passing through.</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堆焊前需去除杂质、硬化层。焊接过程中，应严格控制辊面温度不超过90℃，以确保焊接对基体不产生热应力影响，造成运行中分层、剥落。</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Before welding, impurities and hardened layers should be removed. During welding, the temperature of the roller surface should be strictly controlled not to exceed 90℃ to ensure that welding does not affect the thermal stress of the matrix and cause delamination and peeling during operation.</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焊接时做好降温冷却工艺，防止加工件整体裂化、变形。</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During welding, cooling process should be done to prevent the whole part from cracking and deformation.</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堆焊过程中每层厚度不能大于3毫米，避免剥落。</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The thickness of each layer in the welding process should not be more than 3 mm to avoid peeling.</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磨煤机磨辊套及磨盘衬板的堆焊层不得有贯穿性裂纹和密集型气孔、夹渣等缺陷，堆焊和周围母材必须进行渗透探伤检验，并符合GB/T 9443（铸钢铸铁件 渗透检测）的要求。</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The overlay welding layer of the coal mill grinding roller sleeve and grinding plate liner must be free from penetrating cracks, dense pores, slag inclusions, or other defects. Both the overlay welding and the surrounding base material must undergo penetrant testing to meet the requirements of GB/T 9443 (Cast Steel and Cast Iron Parts-Penetrant Testing).</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过渡层应采用奥氏体不锈钢为焊层打底，以隔离焊接层的裂纹向基体内传递；或消除或减缓因生产过程受到的突然的瞬间冲击，避免硬面层剥落。</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The transition layer should be based on austenitic stainless steel to isolate the cracks of the welding layer from the base body; or eliminate or slow down the sudden impact caused by the production process, so as to avoid the peeling of the hard surface layer.</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焊接后磨辊套、磨盘衬板耐磨层表面形状应符合原设计要求，用专用测量尺检验时，各测量点的间隙均匀。</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After welding, the surface shape of the wear-resistant layer of the grinding roller sleeve and the grinding plate liner should meet the original design requirements. When using the special measuring ruler for inspection, the gap between each measuring point is uniform.</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表面质量用目测的方法检验，尺寸公差用相应的检测工具和仪器进行检验；使用专用卡尺测量堆焊后磨辊、衬板的外形尺寸，对照原产品的图纸要求，其周向尺寸偏差不超过±3mm，径向尺寸偏差不超过±1.5mm，表面应力裂纹均匀，没有明显的凹凸不平，堆焊层表面焊道均匀平整，没有连续性裂纹出现，表面的鳞片状突起不平度不大于3mm；表面硬度用硬度仪检测，堆焊时分层检测，表面硬度HRC≥60。</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Surface quality is visually inspected, while dimensional tolerances are verified using appropriate measuring tools and instruments. Specialized calipers are employed to measure the external dimensions of post-welded grinding rolls and liners. Compared with the original product drawings, the circumferential dimensional deviation should not exceed ±3mm, and the radial dimensional deviation should not exceed ±1.5mm. Surface stress cracks must be uniform without obvious unevenness, and the weld path on the deposited layer surface should be smooth and flat, with no continuous cracks appearing. The scale-like protrusions on the surface shall not exceed 3mm in unevenness. Surface hardness is tested using a hardness tester. During welding, layered inspections are conducted to ensure the surface hardness reaches HRC≥60.</w:t>
      </w:r>
    </w:p>
    <w:p>
      <w:pPr>
        <w:pStyle w:val="32"/>
        <w:numPr>
          <w:ilvl w:val="2"/>
          <w:numId w:val="0"/>
        </w:numPr>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耐磨层的硬度HRC：60-65。堆焊后服务方应提供硬度检测报告，供采购方验收。</w:t>
      </w:r>
    </w:p>
    <w:p>
      <w:pPr>
        <w:pStyle w:val="32"/>
        <w:numPr>
          <w:ilvl w:val="2"/>
          <w:numId w:val="0"/>
        </w:numPr>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The wear-resistant layer has a hardness of HRC 60-65. The service provider shall submit a hardness test report after the overlay welding for the purchaser's acceptance.</w:t>
      </w:r>
    </w:p>
    <w:p>
      <w:pPr>
        <w:pStyle w:val="32"/>
        <w:numPr>
          <w:ilvl w:val="2"/>
          <w:numId w:val="0"/>
        </w:numPr>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在施工进行到验收点时，服务方应按采购方有关规定及时通知采购方有关人员进行验收。</w:t>
      </w:r>
    </w:p>
    <w:p>
      <w:pPr>
        <w:pStyle w:val="32"/>
        <w:numPr>
          <w:ilvl w:val="2"/>
          <w:numId w:val="0"/>
        </w:numPr>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When the construction reaches the acceptance point, the service provider shall notify the relevant personnel of the purchaser in time according to the relevant provisions of the purchaser for acceptance.</w:t>
      </w:r>
    </w:p>
    <w:p>
      <w:pPr>
        <w:pStyle w:val="32"/>
        <w:numPr>
          <w:ilvl w:val="2"/>
          <w:numId w:val="0"/>
        </w:numPr>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因生产需求或其他采购方的特殊原因，堆焊修复的磨煤机磨辊套、磨盘衬板尺寸按采购方意见执行。</w:t>
      </w:r>
    </w:p>
    <w:p>
      <w:pPr>
        <w:pStyle w:val="32"/>
        <w:numPr>
          <w:ilvl w:val="2"/>
          <w:numId w:val="0"/>
        </w:numPr>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Due to production demand or other special reasons of the purchaser, the size of the welding repair of the mill roller sleeve and mill plate liner shall be carried out according to the opinion of the purchaser.</w:t>
      </w:r>
    </w:p>
    <w:p>
      <w:pPr>
        <w:pStyle w:val="32"/>
        <w:keepNext w:val="0"/>
        <w:keepLines w:val="0"/>
        <w:numPr>
          <w:ilvl w:val="2"/>
          <w:numId w:val="0"/>
        </w:numPr>
        <w:tabs>
          <w:tab w:val="left" w:pos="840"/>
        </w:tabs>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磨辊套修复加工主要位置：（1）15°接合面；（2）磨辊套堆焊层。</w:t>
      </w:r>
    </w:p>
    <w:p>
      <w:pPr>
        <w:pStyle w:val="32"/>
        <w:keepNext w:val="0"/>
        <w:keepLines w:val="0"/>
        <w:numPr>
          <w:ilvl w:val="2"/>
          <w:numId w:val="0"/>
        </w:numPr>
        <w:tabs>
          <w:tab w:val="left" w:pos="840"/>
        </w:tabs>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The main repair positions of the grinding roller sleeve are: (1) 15 joint surface; (2) the welding layer of the grinding roller sleeve.</w:t>
      </w:r>
    </w:p>
    <w:p>
      <w:pPr>
        <w:pStyle w:val="32"/>
        <w:keepNext w:val="0"/>
        <w:keepLines w:val="0"/>
        <w:numPr>
          <w:ilvl w:val="2"/>
          <w:numId w:val="0"/>
        </w:numPr>
        <w:tabs>
          <w:tab w:val="left" w:pos="840"/>
        </w:tabs>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磨辊套的15°接合面修复：修复前需进行磨损面材质光谱确认，服务方提供材质分析报告，再用与母体材质相同的硬质合金焊丝进行堆焊修补，最后按照原厂图纸尺寸进行车削加工；修复后应去除多余焊疤及飞边，不得有凹陷等焊接缺陷；修复加工后硬度为50≤HRC≤58，粗糙度要求为1.6。</w:t>
      </w:r>
    </w:p>
    <w:p>
      <w:pPr>
        <w:pStyle w:val="32"/>
        <w:keepNext w:val="0"/>
        <w:keepLines w:val="0"/>
        <w:numPr>
          <w:ilvl w:val="2"/>
          <w:numId w:val="0"/>
        </w:numPr>
        <w:tabs>
          <w:tab w:val="left" w:pos="840"/>
        </w:tabs>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Repair of the 15th mating surface of the grinding roller sleeve: Before repair, the material composition of the worn surface must be confirmed through spectral analysis, with the service provider providing a material analysis report. Subsequent repair involves overlay welding using hard alloy welding wire matching the base material, followed by turning operations according to original factory drawings. Post-repair, excess weld scars and flash must be removed, with no dents or other welding defects allowed. The hardened surface shall achieve a hardness of 50≤HRC≤58, with a surface roughness requirement of 1.6.</w:t>
      </w:r>
    </w:p>
    <w:p>
      <w:pPr>
        <w:pStyle w:val="32"/>
        <w:keepNext w:val="0"/>
        <w:keepLines w:val="0"/>
        <w:numPr>
          <w:ilvl w:val="2"/>
          <w:numId w:val="0"/>
        </w:numPr>
        <w:tabs>
          <w:tab w:val="left" w:pos="840"/>
        </w:tabs>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磨辊套堆焊层修复：堆焊前必须安排对工件进行着色探伤检查，确认无影响焊接的裂纹或内部缺陷；堆焊前需去除杂质、硬化层；焊接过程中，应严格控制辊面温度不超过90℃，以确保焊接对基体不产生热应力影响；堆焊过程中每层厚度不能大于3毫米，避免剥落；堆焊层不得有贯穿性裂纹和密集型气孔、夹渣等缺陷；耐磨层的硬度应HRC≥60，堆焊后服务方应提供硬度检测报告。堆焊前后进行磨辊套称重，过秤过程需要采购方人员见证，堆焊重量计入磨辊套线下堆焊工程量。</w:t>
      </w:r>
    </w:p>
    <w:p>
      <w:pPr>
        <w:pStyle w:val="32"/>
        <w:keepNext w:val="0"/>
        <w:keepLines w:val="0"/>
        <w:numPr>
          <w:ilvl w:val="2"/>
          <w:numId w:val="0"/>
        </w:numPr>
        <w:tabs>
          <w:tab w:val="left" w:pos="840"/>
        </w:tabs>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Roller Sleeve Spot Welding Repair: 1. Pre-welding inspection: Conduct dye penetrant testing on the workpiece to confirm absence of weldable cracks or internal defects. 2. Pre-welding preparation: Remove surface contaminants and existing hardened layers. 3. Welding parameters: Maintain roller surface temperature below 90°C to prevent thermal stress on the base material. 4. Welding specifications: Ensure each weld layer thickness does not exceed 3mm to prevent spalling. 5. Defect control: Spot welds must be free from through-cracks, dense porosity, or slag inclusions. 6. Quality standards: The hardened layer must achieve HRC≥60 hardness, with hardness test reports submitted by the service provider post-welding. 7. Weighing protocol: Perform pre-and post-welding weigh-ins under buyer supervision. Welded weight shall be recorded in the roller sleeve offline spot welding project quantity.</w:t>
      </w:r>
    </w:p>
    <w:p>
      <w:pPr>
        <w:autoSpaceDE w:val="0"/>
        <w:autoSpaceDN w:val="0"/>
        <w:adjustRightInd w:val="0"/>
        <w:spacing w:line="360" w:lineRule="auto"/>
        <w:ind w:firstLine="480" w:firstLineChars="200"/>
        <w:rPr>
          <w:rFonts w:hint="eastAsia" w:ascii="仿宋_GB2312" w:eastAsia="仿宋_GB2312" w:cs="宋体"/>
          <w:color w:val="auto"/>
          <w:sz w:val="24"/>
          <w:lang w:val="zh-CN"/>
        </w:rPr>
      </w:pPr>
      <w:r>
        <w:rPr>
          <w:rFonts w:hint="eastAsia" w:ascii="仿宋_GB2312" w:eastAsia="仿宋_GB2312" w:cs="宋体"/>
          <w:color w:val="auto"/>
          <w:sz w:val="24"/>
          <w:lang w:val="zh-CN"/>
        </w:rPr>
        <w:t>为预防应力异常，</w:t>
      </w:r>
      <w:r>
        <w:rPr>
          <w:rFonts w:hint="eastAsia" w:ascii="仿宋_GB2312" w:hAnsi="宋体" w:eastAsia="仿宋_GB2312"/>
          <w:color w:val="auto"/>
          <w:sz w:val="24"/>
        </w:rPr>
        <w:t>在整个堆焊过程中，焊缝层间温度应严格控制，</w:t>
      </w:r>
      <w:r>
        <w:rPr>
          <w:rFonts w:hint="eastAsia" w:ascii="仿宋_GB2312" w:eastAsia="仿宋_GB2312" w:cs="宋体"/>
          <w:color w:val="auto"/>
          <w:sz w:val="24"/>
          <w:lang w:val="zh-CN"/>
        </w:rPr>
        <w:t>服务方工作人员边焊边检验焊道有无裂纹、气泡等情况，并及时安排处理。</w:t>
      </w:r>
    </w:p>
    <w:p>
      <w:pPr>
        <w:autoSpaceDE w:val="0"/>
        <w:autoSpaceDN w:val="0"/>
        <w:adjustRightInd w:val="0"/>
        <w:spacing w:line="360" w:lineRule="auto"/>
        <w:ind w:firstLine="480" w:firstLineChars="200"/>
        <w:rPr>
          <w:rFonts w:hint="eastAsia" w:ascii="仿宋_GB2312" w:eastAsia="仿宋_GB2312" w:cs="宋体"/>
          <w:color w:val="auto"/>
          <w:sz w:val="24"/>
          <w:lang w:val="zh-CN"/>
        </w:rPr>
      </w:pPr>
      <w:r>
        <w:rPr>
          <w:rFonts w:hint="eastAsia" w:ascii="仿宋_GB2312" w:eastAsia="仿宋_GB2312" w:cs="宋体"/>
          <w:color w:val="auto"/>
          <w:sz w:val="24"/>
          <w:lang w:val="zh-CN"/>
        </w:rPr>
        <w:t>In order to prevent abnormal stress, the temperature between the welding layer should be strictly controlled during the whole welding process. The service staff should check whether there are cracks, bubbles and other conditions in the welding path while welding, and arrange for treatment in time.</w:t>
      </w:r>
    </w:p>
    <w:p>
      <w:pPr>
        <w:autoSpaceDE w:val="0"/>
        <w:autoSpaceDN w:val="0"/>
        <w:adjustRightInd w:val="0"/>
        <w:spacing w:line="360" w:lineRule="auto"/>
        <w:ind w:firstLine="480" w:firstLineChars="200"/>
        <w:rPr>
          <w:rFonts w:hint="eastAsia" w:ascii="仿宋_GB2312" w:eastAsia="仿宋_GB2312" w:cs="宋体"/>
          <w:b w:val="0"/>
          <w:bCs w:val="0"/>
          <w:color w:val="auto"/>
          <w:sz w:val="24"/>
          <w:lang w:val="zh-CN"/>
        </w:rPr>
      </w:pPr>
      <w:r>
        <w:rPr>
          <w:rFonts w:hint="eastAsia" w:ascii="仿宋_GB2312" w:eastAsia="仿宋_GB2312" w:cs="宋体"/>
          <w:b w:val="0"/>
          <w:bCs w:val="0"/>
          <w:color w:val="auto"/>
          <w:sz w:val="24"/>
          <w:lang w:val="zh-CN"/>
        </w:rPr>
        <w:t>如辊套及衬</w:t>
      </w:r>
      <w:r>
        <w:rPr>
          <w:rFonts w:hint="eastAsia" w:ascii="仿宋_GB2312" w:eastAsia="仿宋_GB2312" w:cs="宋体"/>
          <w:b w:val="0"/>
          <w:bCs w:val="0"/>
          <w:color w:val="auto"/>
          <w:sz w:val="24"/>
          <w:lang w:val="en-US" w:eastAsia="zh-CN"/>
        </w:rPr>
        <w:t>板</w:t>
      </w:r>
      <w:r>
        <w:rPr>
          <w:rFonts w:hint="eastAsia" w:ascii="仿宋_GB2312" w:eastAsia="仿宋_GB2312" w:cs="宋体"/>
          <w:b w:val="0"/>
          <w:bCs w:val="0"/>
          <w:color w:val="auto"/>
          <w:sz w:val="24"/>
          <w:lang w:val="zh-CN"/>
        </w:rPr>
        <w:t>因堆焊修复过程中造成开裂或碰撞损坏，服务方需免费赔偿整套全新辊套及衬瓦并保证正常使用。</w:t>
      </w:r>
    </w:p>
    <w:p>
      <w:pPr>
        <w:autoSpaceDE w:val="0"/>
        <w:autoSpaceDN w:val="0"/>
        <w:adjustRightInd w:val="0"/>
        <w:spacing w:line="360" w:lineRule="auto"/>
        <w:ind w:firstLine="480" w:firstLineChars="200"/>
        <w:rPr>
          <w:rFonts w:hint="eastAsia" w:ascii="仿宋_GB2312" w:eastAsia="仿宋_GB2312" w:cs="宋体"/>
          <w:b w:val="0"/>
          <w:bCs w:val="0"/>
          <w:color w:val="auto"/>
          <w:sz w:val="24"/>
          <w:lang w:val="zh-CN"/>
        </w:rPr>
      </w:pPr>
      <w:r>
        <w:rPr>
          <w:rFonts w:hint="eastAsia" w:ascii="仿宋_GB2312" w:eastAsia="仿宋_GB2312" w:cs="宋体"/>
          <w:b w:val="0"/>
          <w:bCs w:val="0"/>
          <w:color w:val="auto"/>
          <w:sz w:val="24"/>
          <w:lang w:val="zh-CN"/>
        </w:rPr>
        <w:t>If the roller sleeve and liner plate are cracked or damaged due to collision during the repair process of overlay welding, the service provider shall compensate the whole set of new roller sleeve and liner plate free of charge and ensure normal use.</w:t>
      </w:r>
    </w:p>
    <w:p>
      <w:pPr>
        <w:autoSpaceDE w:val="0"/>
        <w:autoSpaceDN w:val="0"/>
        <w:adjustRightInd w:val="0"/>
        <w:spacing w:line="360" w:lineRule="auto"/>
        <w:ind w:firstLine="480" w:firstLineChars="200"/>
        <w:rPr>
          <w:rFonts w:hint="eastAsia" w:ascii="仿宋_GB2312" w:eastAsia="仿宋_GB2312" w:cs="宋体"/>
          <w:color w:val="auto"/>
          <w:sz w:val="24"/>
          <w:lang w:val="zh-CN"/>
        </w:rPr>
      </w:pPr>
      <w:r>
        <w:rPr>
          <w:rFonts w:hint="eastAsia" w:ascii="仿宋_GB2312" w:eastAsia="仿宋_GB2312" w:cs="宋体"/>
          <w:color w:val="auto"/>
          <w:sz w:val="24"/>
          <w:lang w:val="zh-CN"/>
        </w:rPr>
        <w:t>辊套、衬板堆焊修复后使用寿命不少于</w:t>
      </w:r>
      <w:r>
        <w:rPr>
          <w:rFonts w:hint="eastAsia" w:ascii="仿宋_GB2312" w:eastAsia="仿宋_GB2312" w:cs="宋体"/>
          <w:color w:val="auto"/>
          <w:sz w:val="24"/>
          <w:lang w:val="en-US" w:eastAsia="zh-CN"/>
        </w:rPr>
        <w:t>10000小时</w:t>
      </w:r>
      <w:r>
        <w:rPr>
          <w:rFonts w:hint="eastAsia" w:ascii="仿宋_GB2312" w:eastAsia="仿宋_GB2312" w:cs="宋体"/>
          <w:color w:val="auto"/>
          <w:sz w:val="24"/>
          <w:lang w:val="zh-CN"/>
        </w:rPr>
        <w:t>，其任一个辊套表面堆焊层不得出现脱落，衬</w:t>
      </w:r>
      <w:r>
        <w:rPr>
          <w:rFonts w:hint="eastAsia" w:ascii="仿宋_GB2312" w:eastAsia="仿宋_GB2312" w:cs="宋体"/>
          <w:color w:val="auto"/>
          <w:sz w:val="24"/>
          <w:lang w:val="en-US" w:eastAsia="zh-CN"/>
        </w:rPr>
        <w:t>板</w:t>
      </w:r>
      <w:r>
        <w:rPr>
          <w:rFonts w:hint="eastAsia" w:ascii="仿宋_GB2312" w:eastAsia="仿宋_GB2312" w:cs="宋体"/>
          <w:color w:val="auto"/>
          <w:sz w:val="24"/>
          <w:lang w:val="zh-CN"/>
        </w:rPr>
        <w:t>本体金属外露不得超过1/2，堆焊层不得出现严重的凹坑；任一块衬</w:t>
      </w:r>
      <w:r>
        <w:rPr>
          <w:rFonts w:hint="eastAsia" w:ascii="仿宋_GB2312" w:eastAsia="仿宋_GB2312" w:cs="宋体"/>
          <w:color w:val="auto"/>
          <w:sz w:val="24"/>
          <w:lang w:val="en-US" w:eastAsia="zh-CN"/>
        </w:rPr>
        <w:t>板</w:t>
      </w:r>
      <w:r>
        <w:rPr>
          <w:rFonts w:hint="eastAsia" w:ascii="仿宋_GB2312" w:eastAsia="仿宋_GB2312" w:cs="宋体"/>
          <w:color w:val="auto"/>
          <w:sz w:val="24"/>
          <w:lang w:val="zh-CN"/>
        </w:rPr>
        <w:t>表面堆焊层不得出现脱落，衬</w:t>
      </w:r>
      <w:r>
        <w:rPr>
          <w:rFonts w:hint="eastAsia" w:ascii="仿宋_GB2312" w:eastAsia="仿宋_GB2312" w:cs="宋体"/>
          <w:color w:val="auto"/>
          <w:sz w:val="24"/>
          <w:lang w:val="en-US" w:eastAsia="zh-CN"/>
        </w:rPr>
        <w:t>板</w:t>
      </w:r>
      <w:r>
        <w:rPr>
          <w:rFonts w:hint="eastAsia" w:ascii="仿宋_GB2312" w:eastAsia="仿宋_GB2312" w:cs="宋体"/>
          <w:color w:val="auto"/>
          <w:sz w:val="24"/>
          <w:lang w:val="zh-CN"/>
        </w:rPr>
        <w:t>本体金属外露不得超过1/2，堆焊层不得出现严重的凹坑。否则由</w:t>
      </w:r>
      <w:r>
        <w:rPr>
          <w:rFonts w:hint="eastAsia" w:ascii="仿宋_GB2312" w:eastAsia="仿宋_GB2312" w:cs="宋体"/>
          <w:color w:val="auto"/>
          <w:sz w:val="24"/>
          <w:lang w:val="en-US" w:eastAsia="zh-CN"/>
        </w:rPr>
        <w:t>服务方</w:t>
      </w:r>
      <w:r>
        <w:rPr>
          <w:rFonts w:hint="eastAsia" w:ascii="仿宋_GB2312" w:eastAsia="仿宋_GB2312" w:cs="宋体"/>
          <w:color w:val="auto"/>
          <w:sz w:val="24"/>
          <w:lang w:val="zh-CN"/>
        </w:rPr>
        <w:t>免费进行修复，并重新计算使用寿命。</w:t>
      </w:r>
    </w:p>
    <w:p>
      <w:pPr>
        <w:autoSpaceDE w:val="0"/>
        <w:autoSpaceDN w:val="0"/>
        <w:adjustRightInd w:val="0"/>
        <w:spacing w:line="360" w:lineRule="auto"/>
        <w:ind w:firstLine="480" w:firstLineChars="200"/>
        <w:rPr>
          <w:rFonts w:hint="eastAsia" w:ascii="仿宋_GB2312" w:eastAsia="仿宋_GB2312" w:cs="宋体"/>
          <w:color w:val="auto"/>
          <w:sz w:val="24"/>
          <w:lang w:val="zh-CN"/>
        </w:rPr>
      </w:pPr>
      <w:r>
        <w:rPr>
          <w:rFonts w:hint="eastAsia" w:ascii="仿宋_GB2312" w:eastAsia="仿宋_GB2312" w:cs="宋体"/>
          <w:color w:val="auto"/>
          <w:sz w:val="24"/>
          <w:lang w:val="zh-CN"/>
        </w:rPr>
        <w:t>The service life of roller sleeves and liner plates after overlay welding repair shall not be less than 10,000 hours. The overlay welding layer on any roller sleeve surface must remain intact without peeling, and the exposed metal of the liner plate body shall not exceed 1/2. The overlay welding layer must not develop severe dents. Similarly, the overlay welding layer on any liner plate surface must remain intact without peeling, and the exposed metal of the liner plate body shall not exceed 1/2. The overlay welding layer must not develop severe dents. In case of non-compliance, the service provider shall carry out free repairs and recalculate the service life.</w:t>
      </w:r>
    </w:p>
    <w:p>
      <w:pPr>
        <w:autoSpaceDE w:val="0"/>
        <w:autoSpaceDN w:val="0"/>
        <w:adjustRightInd w:val="0"/>
        <w:spacing w:line="360" w:lineRule="auto"/>
        <w:ind w:firstLine="480" w:firstLineChars="200"/>
        <w:rPr>
          <w:rFonts w:hint="eastAsia" w:ascii="仿宋_GB2312" w:hAnsi="宋体" w:eastAsia="仿宋_GB2312" w:cs="宋体"/>
          <w:color w:val="auto"/>
          <w:sz w:val="24"/>
          <w:lang w:val="zh-CN"/>
        </w:rPr>
      </w:pPr>
      <w:r>
        <w:rPr>
          <w:rFonts w:hint="eastAsia" w:ascii="仿宋_GB2312" w:eastAsia="仿宋_GB2312" w:cs="宋体"/>
          <w:color w:val="auto"/>
          <w:sz w:val="24"/>
          <w:lang w:val="zh-CN"/>
        </w:rPr>
        <w:t>堆焊修复后，服务方应在堆焊修复件外表面注明修复单位及堆焊修复重量，以便采购方对堆焊修复单位进行质量跟踪及验收。服务方应在堆焊修复后的辊</w:t>
      </w:r>
      <w:r>
        <w:rPr>
          <w:rFonts w:hint="eastAsia" w:ascii="仿宋_GB2312" w:hAnsi="宋体" w:eastAsia="仿宋_GB2312" w:cs="宋体"/>
          <w:color w:val="auto"/>
          <w:sz w:val="24"/>
          <w:lang w:val="zh-CN"/>
        </w:rPr>
        <w:t>套内弧面及衬板非工作面注明第几次堆焊，例如“D1”为第一次堆焊</w:t>
      </w:r>
      <w:r>
        <w:rPr>
          <w:rFonts w:hint="eastAsia" w:ascii="仿宋_GB2312" w:eastAsia="仿宋_GB2312" w:cs="宋体"/>
          <w:color w:val="auto"/>
          <w:sz w:val="24"/>
          <w:lang w:val="zh-CN"/>
        </w:rPr>
        <w:t>，</w:t>
      </w:r>
      <w:r>
        <w:rPr>
          <w:rFonts w:hint="eastAsia" w:ascii="仿宋_GB2312" w:hAnsi="宋体" w:eastAsia="仿宋_GB2312" w:cs="宋体"/>
          <w:color w:val="auto"/>
          <w:sz w:val="24"/>
          <w:lang w:val="zh-CN"/>
        </w:rPr>
        <w:t>“D2”为</w:t>
      </w:r>
      <w:r>
        <w:rPr>
          <w:rFonts w:hint="eastAsia" w:ascii="仿宋_GB2312" w:eastAsia="仿宋_GB2312" w:cs="宋体"/>
          <w:color w:val="auto"/>
          <w:sz w:val="24"/>
          <w:lang w:val="zh-CN"/>
        </w:rPr>
        <w:t>第二次</w:t>
      </w:r>
      <w:r>
        <w:rPr>
          <w:rFonts w:hint="eastAsia" w:ascii="仿宋_GB2312" w:hAnsi="宋体" w:eastAsia="仿宋_GB2312" w:cs="宋体"/>
          <w:color w:val="auto"/>
          <w:sz w:val="24"/>
          <w:lang w:val="zh-CN"/>
        </w:rPr>
        <w:t>堆焊，以便</w:t>
      </w:r>
      <w:r>
        <w:rPr>
          <w:rFonts w:hint="eastAsia" w:ascii="仿宋_GB2312" w:eastAsia="仿宋_GB2312" w:cs="宋体"/>
          <w:color w:val="auto"/>
          <w:sz w:val="24"/>
          <w:lang w:val="zh-CN"/>
        </w:rPr>
        <w:t>采购方掌握</w:t>
      </w:r>
      <w:r>
        <w:rPr>
          <w:rFonts w:hint="eastAsia" w:ascii="仿宋_GB2312" w:hAnsi="宋体" w:eastAsia="仿宋_GB2312" w:cs="宋体"/>
          <w:color w:val="auto"/>
          <w:sz w:val="24"/>
          <w:lang w:val="zh-CN"/>
        </w:rPr>
        <w:t>堆焊</w:t>
      </w:r>
      <w:r>
        <w:rPr>
          <w:rFonts w:hint="eastAsia" w:ascii="仿宋_GB2312" w:eastAsia="仿宋_GB2312" w:cs="宋体"/>
          <w:color w:val="auto"/>
          <w:sz w:val="24"/>
          <w:lang w:val="zh-CN"/>
        </w:rPr>
        <w:t>次数</w:t>
      </w:r>
      <w:r>
        <w:rPr>
          <w:rFonts w:hint="eastAsia" w:ascii="仿宋_GB2312" w:hAnsi="宋体" w:eastAsia="仿宋_GB2312" w:cs="宋体"/>
          <w:color w:val="auto"/>
          <w:sz w:val="24"/>
          <w:lang w:val="zh-CN"/>
        </w:rPr>
        <w:t>。</w:t>
      </w:r>
    </w:p>
    <w:p>
      <w:pPr>
        <w:autoSpaceDE w:val="0"/>
        <w:autoSpaceDN w:val="0"/>
        <w:adjustRightInd w:val="0"/>
        <w:spacing w:line="360" w:lineRule="auto"/>
        <w:ind w:firstLine="480" w:firstLineChars="200"/>
        <w:rPr>
          <w:rFonts w:hint="eastAsia" w:ascii="仿宋_GB2312" w:hAnsi="宋体" w:eastAsia="仿宋_GB2312" w:cs="宋体"/>
          <w:color w:val="auto"/>
          <w:sz w:val="24"/>
          <w:lang w:val="zh-CN"/>
        </w:rPr>
      </w:pPr>
      <w:r>
        <w:rPr>
          <w:rFonts w:hint="eastAsia" w:ascii="仿宋_GB2312" w:hAnsi="宋体" w:eastAsia="仿宋_GB2312" w:cs="宋体"/>
          <w:color w:val="auto"/>
          <w:sz w:val="24"/>
          <w:lang w:val="zh-CN"/>
        </w:rPr>
        <w:t>After the cladding repair, the service provider shall mark the repair unit and the cladding weight on the outer surface of the repaired part, enabling the purchaser to track and inspect the quality of the repair unit. The service provider shall also indicate the cladding sequence on the inner arc surface of the rolled sleeve and the non-working surface of the liner, such as "D1" for the first cladding and "D2" for the second cladding, allowing the purchaser to track the cladding sequence.</w:t>
      </w:r>
    </w:p>
    <w:p>
      <w:pPr>
        <w:autoSpaceDE w:val="0"/>
        <w:autoSpaceDN w:val="0"/>
        <w:adjustRightInd w:val="0"/>
        <w:spacing w:line="360" w:lineRule="auto"/>
        <w:ind w:firstLine="480" w:firstLineChars="200"/>
        <w:rPr>
          <w:rFonts w:hint="eastAsia" w:ascii="仿宋_GB2312" w:hAnsi="宋体" w:eastAsia="仿宋_GB2312" w:cs="宋体"/>
          <w:color w:val="auto"/>
          <w:sz w:val="24"/>
        </w:rPr>
      </w:pPr>
      <w:r>
        <w:rPr>
          <w:rFonts w:hint="eastAsia" w:ascii="仿宋_GB2312" w:hAnsi="宋体" w:eastAsia="仿宋_GB2312" w:cs="宋体"/>
          <w:color w:val="auto"/>
          <w:sz w:val="24"/>
          <w:lang w:val="zh-CN"/>
        </w:rPr>
        <w:t>严禁不按照</w:t>
      </w:r>
      <w:r>
        <w:rPr>
          <w:rFonts w:hint="eastAsia" w:ascii="仿宋_GB2312" w:eastAsia="仿宋_GB2312"/>
          <w:color w:val="auto"/>
          <w:sz w:val="24"/>
        </w:rPr>
        <w:t>辊套、衬</w:t>
      </w:r>
      <w:r>
        <w:rPr>
          <w:rFonts w:hint="eastAsia" w:ascii="仿宋_GB2312" w:eastAsia="仿宋_GB2312"/>
          <w:color w:val="auto"/>
          <w:sz w:val="24"/>
          <w:lang w:val="en-US" w:eastAsia="zh-CN"/>
        </w:rPr>
        <w:t>板</w:t>
      </w:r>
      <w:r>
        <w:rPr>
          <w:rFonts w:hint="eastAsia" w:ascii="仿宋_GB2312" w:eastAsia="仿宋_GB2312"/>
          <w:color w:val="auto"/>
          <w:sz w:val="24"/>
        </w:rPr>
        <w:t>原尺寸进行堆焊修复，如发现因堆焊尺寸不合格造成现场不能</w:t>
      </w:r>
      <w:r>
        <w:rPr>
          <w:rFonts w:hint="eastAsia" w:ascii="仿宋_GB2312" w:eastAsia="仿宋_GB2312"/>
          <w:color w:val="auto"/>
          <w:sz w:val="24"/>
          <w:lang w:eastAsia="zh-CN"/>
        </w:rPr>
        <w:t>修复</w:t>
      </w:r>
      <w:r>
        <w:rPr>
          <w:rFonts w:hint="eastAsia" w:ascii="仿宋_GB2312" w:hAnsi="宋体" w:eastAsia="仿宋_GB2312" w:cs="宋体"/>
          <w:color w:val="auto"/>
          <w:sz w:val="24"/>
        </w:rPr>
        <w:t>的需由</w:t>
      </w:r>
      <w:r>
        <w:rPr>
          <w:rFonts w:hint="eastAsia" w:ascii="仿宋_GB2312" w:eastAsia="仿宋_GB2312" w:cs="宋体"/>
          <w:color w:val="auto"/>
          <w:sz w:val="24"/>
          <w:lang w:eastAsia="zh-CN"/>
        </w:rPr>
        <w:t>服务方</w:t>
      </w:r>
      <w:r>
        <w:rPr>
          <w:rFonts w:hint="eastAsia" w:ascii="仿宋_GB2312" w:hAnsi="宋体" w:eastAsia="仿宋_GB2312" w:cs="宋体"/>
          <w:color w:val="auto"/>
          <w:sz w:val="24"/>
        </w:rPr>
        <w:t>赔偿</w:t>
      </w:r>
      <w:r>
        <w:rPr>
          <w:rFonts w:hint="eastAsia" w:ascii="仿宋_GB2312" w:eastAsia="仿宋_GB2312" w:cs="宋体"/>
          <w:color w:val="auto"/>
          <w:sz w:val="24"/>
          <w:lang w:eastAsia="zh-CN"/>
        </w:rPr>
        <w:t>采购方</w:t>
      </w:r>
      <w:r>
        <w:rPr>
          <w:rFonts w:hint="eastAsia" w:ascii="仿宋_GB2312" w:hAnsi="宋体" w:eastAsia="仿宋_GB2312" w:cs="宋体"/>
          <w:color w:val="auto"/>
          <w:sz w:val="24"/>
        </w:rPr>
        <w:t>全部损失；对虽经修复调整才能勉强满足生产要求的，将由</w:t>
      </w:r>
      <w:r>
        <w:rPr>
          <w:rFonts w:hint="eastAsia" w:ascii="仿宋_GB2312" w:eastAsia="仿宋_GB2312" w:cs="宋体"/>
          <w:color w:val="auto"/>
          <w:sz w:val="24"/>
          <w:lang w:eastAsia="zh-CN"/>
        </w:rPr>
        <w:t>采购方</w:t>
      </w:r>
      <w:r>
        <w:rPr>
          <w:rFonts w:hint="eastAsia" w:ascii="仿宋_GB2312" w:hAnsi="宋体" w:eastAsia="仿宋_GB2312" w:cs="宋体"/>
          <w:color w:val="auto"/>
          <w:sz w:val="24"/>
        </w:rPr>
        <w:t>对</w:t>
      </w:r>
      <w:r>
        <w:rPr>
          <w:rFonts w:hint="eastAsia" w:ascii="仿宋_GB2312" w:eastAsia="仿宋_GB2312" w:cs="宋体"/>
          <w:color w:val="auto"/>
          <w:sz w:val="24"/>
          <w:lang w:eastAsia="zh-CN"/>
        </w:rPr>
        <w:t>服务方</w:t>
      </w:r>
      <w:r>
        <w:rPr>
          <w:rFonts w:hint="eastAsia" w:ascii="仿宋_GB2312" w:hAnsi="宋体" w:eastAsia="仿宋_GB2312" w:cs="宋体"/>
          <w:color w:val="auto"/>
          <w:sz w:val="24"/>
        </w:rPr>
        <w:t>的多余堆焊重量</w:t>
      </w:r>
      <w:r>
        <w:rPr>
          <w:rFonts w:hint="eastAsia" w:ascii="仿宋_GB2312" w:eastAsia="仿宋_GB2312" w:cs="宋体"/>
          <w:color w:val="auto"/>
          <w:sz w:val="24"/>
          <w:lang w:eastAsia="zh-CN"/>
        </w:rPr>
        <w:t>（</w:t>
      </w:r>
      <w:r>
        <w:rPr>
          <w:rFonts w:hint="eastAsia" w:ascii="仿宋_GB2312" w:hAnsi="宋体" w:eastAsia="仿宋_GB2312" w:cs="宋体"/>
          <w:color w:val="auto"/>
          <w:sz w:val="24"/>
        </w:rPr>
        <w:t>或堆焊偏差重量</w:t>
      </w:r>
      <w:r>
        <w:rPr>
          <w:rFonts w:hint="eastAsia" w:ascii="仿宋_GB2312" w:eastAsia="仿宋_GB2312" w:cs="宋体"/>
          <w:color w:val="auto"/>
          <w:sz w:val="24"/>
          <w:lang w:eastAsia="zh-CN"/>
        </w:rPr>
        <w:t>）</w:t>
      </w:r>
      <w:r>
        <w:rPr>
          <w:rFonts w:hint="eastAsia" w:ascii="仿宋_GB2312" w:hAnsi="宋体" w:eastAsia="仿宋_GB2312" w:cs="宋体"/>
          <w:color w:val="auto"/>
          <w:sz w:val="24"/>
        </w:rPr>
        <w:t>在费用结算时给予3-5倍的扣除。</w:t>
      </w:r>
    </w:p>
    <w:p>
      <w:pPr>
        <w:autoSpaceDE w:val="0"/>
        <w:autoSpaceDN w:val="0"/>
        <w:adjustRightInd w:val="0"/>
        <w:spacing w:line="360" w:lineRule="auto"/>
        <w:ind w:firstLine="480" w:firstLineChars="200"/>
        <w:rPr>
          <w:rFonts w:hint="eastAsia" w:ascii="仿宋_GB2312" w:hAnsi="宋体" w:eastAsia="仿宋_GB2312" w:cs="宋体"/>
          <w:color w:val="auto"/>
          <w:sz w:val="24"/>
        </w:rPr>
      </w:pPr>
      <w:r>
        <w:rPr>
          <w:rFonts w:hint="eastAsia" w:ascii="仿宋_GB2312" w:hAnsi="宋体" w:eastAsia="仿宋_GB2312" w:cs="宋体"/>
          <w:color w:val="auto"/>
          <w:sz w:val="24"/>
        </w:rPr>
        <w:t>It is strictly prohibited to perform overlay welding repairs without adhering to the original dimensions of the roll sleeve and liner plates. If the repair cannot be completed on-site due to non-compliant overlay welding dimensions, the service provider shall compensate the purchaser for all losses. For cases where adjustments are required to barely meet production requirements, the purchaser shall deduct 3-5 times the excess overlay welding weight (or deviation weight) from the service provider during cost settlement.</w:t>
      </w:r>
    </w:p>
    <w:p>
      <w:pPr>
        <w:pStyle w:val="4"/>
        <w:numPr>
          <w:ilvl w:val="0"/>
          <w:numId w:val="0"/>
        </w:numPr>
        <w:tabs>
          <w:tab w:val="left" w:pos="480"/>
        </w:tabs>
        <w:jc w:val="both"/>
        <w:rPr>
          <w:rFonts w:hint="eastAsia"/>
          <w:lang w:eastAsia="zh-CN"/>
        </w:rPr>
      </w:pPr>
      <w:bookmarkStart w:id="5" w:name="_Toc12199"/>
      <w:r>
        <w:rPr>
          <w:rFonts w:hint="eastAsia" w:ascii="Arial" w:hAnsi="Arial" w:eastAsia="宋体"/>
          <w:b/>
          <w:kern w:val="44"/>
          <w:sz w:val="28"/>
          <w:lang w:val="en-US" w:eastAsia="zh-CN" w:bidi="ar-SA"/>
        </w:rPr>
        <w:t>四、</w:t>
      </w:r>
      <w:r>
        <w:rPr>
          <w:rFonts w:hint="eastAsia"/>
          <w:lang w:eastAsia="zh-CN"/>
        </w:rPr>
        <w:t>双方责任</w:t>
      </w:r>
      <w:bookmarkEnd w:id="5"/>
    </w:p>
    <w:p>
      <w:pPr>
        <w:pStyle w:val="4"/>
        <w:numPr>
          <w:ilvl w:val="0"/>
          <w:numId w:val="0"/>
        </w:numPr>
        <w:tabs>
          <w:tab w:val="left" w:pos="480"/>
        </w:tabs>
        <w:jc w:val="both"/>
        <w:rPr>
          <w:rFonts w:hint="eastAsia"/>
          <w:lang w:eastAsia="zh-CN"/>
        </w:rPr>
      </w:pPr>
      <w:r>
        <w:rPr>
          <w:rFonts w:hint="eastAsia"/>
          <w:lang w:val="en-US" w:eastAsia="zh-CN"/>
        </w:rPr>
        <w:t>四、</w:t>
      </w:r>
      <w:r>
        <w:rPr>
          <w:rFonts w:hint="eastAsia"/>
          <w:lang w:eastAsia="zh-CN"/>
        </w:rPr>
        <w:t>Responsibilities of both parties</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eastAsia="zh-CN"/>
        </w:rPr>
        <w:t>1.采购方</w:t>
      </w:r>
      <w:r>
        <w:rPr>
          <w:rFonts w:hint="eastAsia" w:ascii="仿宋_GB2312" w:eastAsia="仿宋_GB2312"/>
          <w:color w:val="auto"/>
          <w:kern w:val="0"/>
          <w:sz w:val="24"/>
        </w:rPr>
        <w:t>责任</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1.</w:t>
      </w:r>
      <w:r>
        <w:rPr>
          <w:rFonts w:hint="eastAsia" w:ascii="仿宋_GB2312" w:eastAsia="仿宋_GB2312"/>
          <w:color w:val="auto"/>
          <w:kern w:val="0"/>
          <w:sz w:val="24"/>
        </w:rPr>
        <w:t>Purchaser's Responsibility</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rPr>
        <w:t>1.1　负责对</w:t>
      </w:r>
      <w:r>
        <w:rPr>
          <w:rFonts w:hint="eastAsia" w:ascii="仿宋_GB2312" w:eastAsia="仿宋_GB2312"/>
          <w:color w:val="auto"/>
          <w:kern w:val="0"/>
          <w:sz w:val="24"/>
          <w:lang w:eastAsia="zh-CN"/>
        </w:rPr>
        <w:t>服务方</w:t>
      </w:r>
      <w:r>
        <w:rPr>
          <w:rFonts w:hint="eastAsia" w:ascii="仿宋_GB2312" w:eastAsia="仿宋_GB2312"/>
          <w:color w:val="auto"/>
          <w:kern w:val="0"/>
          <w:sz w:val="24"/>
        </w:rPr>
        <w:t>修复后的辊套、衬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进行质量验收。</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1.1</w:t>
      </w:r>
      <w:r>
        <w:rPr>
          <w:rFonts w:hint="eastAsia" w:ascii="仿宋_GB2312" w:eastAsia="仿宋_GB2312"/>
          <w:color w:val="auto"/>
          <w:kern w:val="0"/>
          <w:sz w:val="24"/>
        </w:rPr>
        <w:t>Responsible for quality acceptance of repaired roller sleeves and liners provided by the service provider</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rPr>
        <w:t>1.2　负责向</w:t>
      </w:r>
      <w:r>
        <w:rPr>
          <w:rFonts w:hint="eastAsia" w:ascii="仿宋_GB2312" w:eastAsia="仿宋_GB2312"/>
          <w:color w:val="auto"/>
          <w:kern w:val="0"/>
          <w:sz w:val="24"/>
          <w:lang w:eastAsia="zh-CN"/>
        </w:rPr>
        <w:t>服务方</w:t>
      </w:r>
      <w:r>
        <w:rPr>
          <w:rFonts w:hint="eastAsia" w:ascii="仿宋_GB2312" w:eastAsia="仿宋_GB2312"/>
          <w:color w:val="auto"/>
          <w:kern w:val="0"/>
          <w:sz w:val="24"/>
        </w:rPr>
        <w:t>指定需堆焊的辊套及衬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 xml:space="preserve">1.2 </w:t>
      </w:r>
      <w:r>
        <w:rPr>
          <w:rFonts w:hint="eastAsia" w:ascii="仿宋_GB2312" w:eastAsia="仿宋_GB2312"/>
          <w:color w:val="auto"/>
          <w:kern w:val="0"/>
          <w:sz w:val="24"/>
        </w:rPr>
        <w:t>Responsible for specifying the roll sleeve and liner to be welded to the service provider.</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rPr>
        <w:t>1.3　负责与</w:t>
      </w:r>
      <w:r>
        <w:rPr>
          <w:rFonts w:hint="eastAsia" w:ascii="仿宋_GB2312" w:eastAsia="仿宋_GB2312"/>
          <w:color w:val="auto"/>
          <w:kern w:val="0"/>
          <w:sz w:val="24"/>
          <w:lang w:eastAsia="zh-CN"/>
        </w:rPr>
        <w:t>服务方</w:t>
      </w:r>
      <w:r>
        <w:rPr>
          <w:rFonts w:hint="eastAsia" w:ascii="仿宋_GB2312" w:eastAsia="仿宋_GB2312"/>
          <w:color w:val="auto"/>
          <w:kern w:val="0"/>
          <w:sz w:val="24"/>
        </w:rPr>
        <w:t>共同对辊套、衬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出入厂区时进行称重。</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 xml:space="preserve">1.3 </w:t>
      </w:r>
      <w:r>
        <w:rPr>
          <w:rFonts w:hint="eastAsia" w:ascii="仿宋_GB2312" w:eastAsia="仿宋_GB2312"/>
          <w:color w:val="auto"/>
          <w:kern w:val="0"/>
          <w:sz w:val="24"/>
        </w:rPr>
        <w:t>Responsible for weighing roller sleeves and liners when they enter and leave the factory together with the service party.</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eastAsia="zh-CN"/>
        </w:rPr>
        <w:t>2.服务方</w:t>
      </w:r>
      <w:r>
        <w:rPr>
          <w:rFonts w:hint="eastAsia" w:ascii="仿宋_GB2312" w:eastAsia="仿宋_GB2312"/>
          <w:color w:val="auto"/>
          <w:kern w:val="0"/>
          <w:sz w:val="24"/>
        </w:rPr>
        <w:t>责任</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 xml:space="preserve">2. </w:t>
      </w:r>
      <w:r>
        <w:rPr>
          <w:rFonts w:hint="eastAsia" w:ascii="仿宋_GB2312" w:eastAsia="仿宋_GB2312"/>
          <w:color w:val="auto"/>
          <w:kern w:val="0"/>
          <w:sz w:val="24"/>
        </w:rPr>
        <w:t>Service provider responsibility</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rPr>
        <w:t>2.1　负责辊套、衬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堆焊修复的整项工作，并对全部堆焊件质量负责。</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 xml:space="preserve">2.1 </w:t>
      </w:r>
      <w:r>
        <w:rPr>
          <w:rFonts w:hint="eastAsia" w:ascii="仿宋_GB2312" w:eastAsia="仿宋_GB2312"/>
          <w:color w:val="auto"/>
          <w:kern w:val="0"/>
          <w:sz w:val="24"/>
        </w:rPr>
        <w:t>Responsible for the whole work of roll sleeve and liner plate welding repair, and responsible for the quality of all welded parts.</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rPr>
        <w:t>2.2　负责因辊套、衬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堆焊修复所需的全部运输工作。</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2.2</w:t>
      </w:r>
      <w:r>
        <w:rPr>
          <w:rFonts w:hint="eastAsia" w:ascii="仿宋_GB2312" w:eastAsia="仿宋_GB2312"/>
          <w:color w:val="auto"/>
          <w:kern w:val="0"/>
          <w:sz w:val="24"/>
        </w:rPr>
        <w:t>Responsible for all transportation required for roll sleeve and liner plate welding repair.</w:t>
      </w:r>
    </w:p>
    <w:p>
      <w:pPr>
        <w:autoSpaceDE w:val="0"/>
        <w:autoSpaceDN w:val="0"/>
        <w:adjustRightInd w:val="0"/>
        <w:spacing w:line="360" w:lineRule="auto"/>
        <w:ind w:left="357" w:leftChars="170" w:firstLine="0" w:firstLineChars="0"/>
        <w:jc w:val="left"/>
        <w:rPr>
          <w:rFonts w:hint="eastAsia" w:ascii="仿宋_GB2312" w:eastAsia="仿宋_GB2312"/>
          <w:color w:val="auto"/>
          <w:kern w:val="0"/>
          <w:sz w:val="24"/>
        </w:rPr>
      </w:pPr>
      <w:r>
        <w:rPr>
          <w:rFonts w:hint="eastAsia" w:ascii="仿宋_GB2312" w:eastAsia="仿宋_GB2312"/>
          <w:color w:val="auto"/>
          <w:kern w:val="0"/>
          <w:sz w:val="24"/>
        </w:rPr>
        <w:t>2.3  负责与</w:t>
      </w:r>
      <w:r>
        <w:rPr>
          <w:rFonts w:hint="eastAsia" w:ascii="仿宋_GB2312" w:eastAsia="仿宋_GB2312"/>
          <w:color w:val="auto"/>
          <w:kern w:val="0"/>
          <w:sz w:val="24"/>
          <w:lang w:eastAsia="zh-CN"/>
        </w:rPr>
        <w:t>采购方</w:t>
      </w:r>
      <w:r>
        <w:rPr>
          <w:rFonts w:hint="eastAsia" w:ascii="仿宋_GB2312" w:eastAsia="仿宋_GB2312"/>
          <w:color w:val="auto"/>
          <w:kern w:val="0"/>
          <w:sz w:val="24"/>
        </w:rPr>
        <w:t>共同对辊套、衬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堆焊修复相关工作的质量验收。</w:t>
      </w:r>
      <w:r>
        <w:rPr>
          <w:rFonts w:hint="eastAsia" w:ascii="仿宋_GB2312" w:eastAsia="仿宋_GB2312"/>
          <w:color w:val="auto"/>
          <w:kern w:val="0"/>
          <w:sz w:val="24"/>
          <w:lang w:val="en-US" w:eastAsia="zh-CN"/>
        </w:rPr>
        <w:t>2.3</w:t>
      </w:r>
      <w:r>
        <w:rPr>
          <w:rFonts w:hint="eastAsia" w:ascii="仿宋_GB2312" w:eastAsia="仿宋_GB2312"/>
          <w:color w:val="auto"/>
          <w:kern w:val="0"/>
          <w:sz w:val="24"/>
        </w:rPr>
        <w:t>Responsible for the quality acceptance of roll sleeve and liner plate welding repair with the purchaser.</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rPr>
        <w:t>2.4　负责与</w:t>
      </w:r>
      <w:r>
        <w:rPr>
          <w:rFonts w:hint="eastAsia" w:ascii="仿宋_GB2312" w:eastAsia="仿宋_GB2312"/>
          <w:color w:val="auto"/>
          <w:kern w:val="0"/>
          <w:sz w:val="24"/>
          <w:lang w:eastAsia="zh-CN"/>
        </w:rPr>
        <w:t>采购方</w:t>
      </w:r>
      <w:r>
        <w:rPr>
          <w:rFonts w:hint="eastAsia" w:ascii="仿宋_GB2312" w:eastAsia="仿宋_GB2312"/>
          <w:color w:val="auto"/>
          <w:kern w:val="0"/>
          <w:sz w:val="24"/>
        </w:rPr>
        <w:t>共同对辊套、衬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出入厂区时进行称重。</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2.4</w:t>
      </w:r>
      <w:r>
        <w:rPr>
          <w:rFonts w:hint="eastAsia" w:ascii="仿宋_GB2312" w:eastAsia="仿宋_GB2312"/>
          <w:color w:val="auto"/>
          <w:kern w:val="0"/>
          <w:sz w:val="24"/>
        </w:rPr>
        <w:t>Responsible for weighing roller sleeve and liner plate when entering and leaving the factory together with purchasers.</w:t>
      </w:r>
    </w:p>
    <w:p>
      <w:pPr>
        <w:pStyle w:val="4"/>
        <w:numPr>
          <w:ilvl w:val="0"/>
          <w:numId w:val="0"/>
        </w:numPr>
        <w:tabs>
          <w:tab w:val="left" w:pos="480"/>
        </w:tabs>
        <w:jc w:val="both"/>
        <w:rPr>
          <w:rFonts w:hint="eastAsia"/>
          <w:lang w:val="zh-CN" w:eastAsia="zh-CN"/>
        </w:rPr>
      </w:pPr>
      <w:bookmarkStart w:id="6" w:name="_Toc27745"/>
      <w:r>
        <w:rPr>
          <w:rFonts w:hint="eastAsia" w:ascii="Arial" w:hAnsi="Arial" w:eastAsia="宋体"/>
          <w:b/>
          <w:kern w:val="44"/>
          <w:sz w:val="28"/>
          <w:lang w:val="zh-CN" w:eastAsia="zh-CN" w:bidi="ar-SA"/>
        </w:rPr>
        <w:t>五、</w:t>
      </w:r>
      <w:r>
        <w:rPr>
          <w:rFonts w:hint="eastAsia"/>
          <w:lang w:val="zh-CN" w:eastAsia="zh-CN"/>
        </w:rPr>
        <w:t>工期要求</w:t>
      </w:r>
      <w:bookmarkEnd w:id="6"/>
    </w:p>
    <w:p>
      <w:pPr>
        <w:pStyle w:val="4"/>
        <w:numPr>
          <w:ilvl w:val="0"/>
          <w:numId w:val="0"/>
        </w:numPr>
        <w:tabs>
          <w:tab w:val="left" w:pos="480"/>
        </w:tabs>
        <w:jc w:val="both"/>
        <w:rPr>
          <w:rFonts w:hint="eastAsia"/>
          <w:lang w:val="zh-CN" w:eastAsia="zh-CN"/>
        </w:rPr>
      </w:pPr>
      <w:r>
        <w:rPr>
          <w:rFonts w:hint="eastAsia"/>
          <w:lang w:val="en-US" w:eastAsia="zh-CN"/>
        </w:rPr>
        <w:t>五、</w:t>
      </w:r>
      <w:r>
        <w:rPr>
          <w:rFonts w:hint="eastAsia"/>
          <w:lang w:val="zh-CN" w:eastAsia="zh-CN"/>
        </w:rPr>
        <w:t>Construction timeline</w:t>
      </w:r>
    </w:p>
    <w:p>
      <w:pPr>
        <w:tabs>
          <w:tab w:val="left" w:pos="1440"/>
        </w:tabs>
        <w:spacing w:line="312" w:lineRule="auto"/>
        <w:ind w:firstLine="540" w:firstLineChars="225"/>
        <w:rPr>
          <w:rFonts w:hint="eastAsia" w:ascii="仿宋_GB2312" w:eastAsia="仿宋_GB2312"/>
          <w:color w:val="auto"/>
          <w:sz w:val="24"/>
          <w:lang w:val="en-US" w:eastAsia="zh-CN"/>
        </w:rPr>
      </w:pPr>
      <w:r>
        <w:rPr>
          <w:rFonts w:hint="eastAsia" w:ascii="仿宋_GB2312" w:eastAsia="仿宋_GB2312"/>
          <w:color w:val="auto"/>
          <w:sz w:val="24"/>
          <w:lang w:val="en-US" w:eastAsia="zh-CN"/>
        </w:rPr>
        <w:t>在线堆焊：2025年12月#2机组检查性大修期间。</w:t>
      </w:r>
    </w:p>
    <w:p>
      <w:pPr>
        <w:tabs>
          <w:tab w:val="left" w:pos="1440"/>
        </w:tabs>
        <w:spacing w:line="312" w:lineRule="auto"/>
        <w:ind w:firstLine="540" w:firstLineChars="225"/>
        <w:rPr>
          <w:rFonts w:hint="eastAsia" w:ascii="仿宋_GB2312" w:eastAsia="仿宋_GB2312"/>
          <w:color w:val="auto"/>
          <w:sz w:val="24"/>
          <w:lang w:val="en-US" w:eastAsia="zh-CN"/>
        </w:rPr>
      </w:pPr>
      <w:r>
        <w:rPr>
          <w:rFonts w:hint="eastAsia" w:ascii="仿宋_GB2312" w:eastAsia="仿宋_GB2312"/>
          <w:color w:val="auto"/>
          <w:sz w:val="24"/>
          <w:lang w:val="en-US" w:eastAsia="zh-CN"/>
        </w:rPr>
        <w:t>Online cladding: During the inspection overhaul of Unit #2 in December 2025.</w:t>
      </w:r>
    </w:p>
    <w:p>
      <w:pPr>
        <w:pStyle w:val="4"/>
        <w:numPr>
          <w:ilvl w:val="0"/>
          <w:numId w:val="4"/>
        </w:numPr>
        <w:tabs>
          <w:tab w:val="left" w:pos="480"/>
        </w:tabs>
        <w:jc w:val="both"/>
        <w:rPr>
          <w:rFonts w:hint="eastAsia"/>
          <w:lang w:val="zh-CN" w:eastAsia="zh-CN"/>
        </w:rPr>
      </w:pPr>
      <w:bookmarkStart w:id="7" w:name="_Toc24975"/>
      <w:r>
        <w:rPr>
          <w:rFonts w:hint="eastAsia"/>
          <w:lang w:val="zh-CN" w:eastAsia="zh-CN"/>
        </w:rPr>
        <w:t>质量保证：</w:t>
      </w:r>
      <w:bookmarkEnd w:id="7"/>
    </w:p>
    <w:p>
      <w:pPr>
        <w:pStyle w:val="4"/>
        <w:numPr>
          <w:ilvl w:val="0"/>
          <w:numId w:val="0"/>
        </w:numPr>
        <w:tabs>
          <w:tab w:val="left" w:pos="480"/>
        </w:tabs>
        <w:jc w:val="both"/>
        <w:rPr>
          <w:rFonts w:hint="eastAsia"/>
          <w:lang w:val="zh-CN" w:eastAsia="zh-CN"/>
        </w:rPr>
      </w:pPr>
      <w:r>
        <w:rPr>
          <w:rFonts w:hint="eastAsia"/>
          <w:lang w:val="en-US" w:eastAsia="zh-CN"/>
        </w:rPr>
        <w:t>六、</w:t>
      </w:r>
      <w:r>
        <w:rPr>
          <w:rFonts w:hint="eastAsia"/>
          <w:lang w:val="zh-CN" w:eastAsia="zh-CN"/>
        </w:rPr>
        <w:t>quality assurance</w:t>
      </w:r>
    </w:p>
    <w:p>
      <w:pPr>
        <w:numPr>
          <w:ilvl w:val="0"/>
          <w:numId w:val="0"/>
        </w:numPr>
        <w:tabs>
          <w:tab w:val="left" w:pos="1440"/>
        </w:tabs>
        <w:spacing w:line="312" w:lineRule="auto"/>
        <w:ind w:firstLine="480" w:firstLineChars="200"/>
        <w:rPr>
          <w:rFonts w:hint="eastAsia" w:ascii="仿宋_GB2312" w:eastAsia="仿宋_GB2312" w:cs="宋体"/>
          <w:color w:val="auto"/>
          <w:sz w:val="24"/>
          <w:lang w:val="zh-CN"/>
        </w:rPr>
      </w:pPr>
      <w:r>
        <w:rPr>
          <w:rFonts w:hint="eastAsia" w:ascii="仿宋_GB2312" w:eastAsia="仿宋_GB2312" w:cs="宋体"/>
          <w:color w:val="auto"/>
          <w:sz w:val="24"/>
          <w:lang w:val="en-US" w:eastAsia="zh-CN"/>
        </w:rPr>
        <w:t>1.修复后的辊套、衬板质量保证期为1年</w:t>
      </w:r>
      <w:r>
        <w:rPr>
          <w:rFonts w:hint="eastAsia" w:ascii="仿宋_GB2312" w:eastAsia="仿宋_GB2312" w:cs="宋体"/>
          <w:color w:val="auto"/>
          <w:sz w:val="24"/>
          <w:lang w:val="zh-CN"/>
        </w:rPr>
        <w:t>。</w:t>
      </w:r>
    </w:p>
    <w:p>
      <w:pPr>
        <w:numPr>
          <w:ilvl w:val="0"/>
          <w:numId w:val="0"/>
        </w:numPr>
        <w:tabs>
          <w:tab w:val="left" w:pos="1440"/>
        </w:tabs>
        <w:spacing w:line="312" w:lineRule="auto"/>
        <w:ind w:firstLine="480" w:firstLineChars="200"/>
        <w:rPr>
          <w:rFonts w:hint="eastAsia" w:ascii="仿宋_GB2312" w:eastAsia="仿宋_GB2312" w:cs="宋体"/>
          <w:color w:val="auto"/>
          <w:sz w:val="24"/>
          <w:lang w:val="zh-CN"/>
        </w:rPr>
      </w:pPr>
      <w:r>
        <w:rPr>
          <w:rFonts w:hint="eastAsia" w:ascii="仿宋_GB2312" w:eastAsia="仿宋_GB2312" w:cs="宋体"/>
          <w:color w:val="auto"/>
          <w:sz w:val="24"/>
          <w:lang w:val="en-US" w:eastAsia="zh-CN"/>
        </w:rPr>
        <w:t>1.</w:t>
      </w:r>
      <w:r>
        <w:rPr>
          <w:rFonts w:hint="eastAsia" w:ascii="仿宋_GB2312" w:eastAsia="仿宋_GB2312" w:cs="宋体"/>
          <w:color w:val="auto"/>
          <w:sz w:val="24"/>
          <w:lang w:val="zh-CN"/>
        </w:rPr>
        <w:t>The warranty period for repaired roller sleeves and liners is 1 year</w:t>
      </w:r>
    </w:p>
    <w:p>
      <w:pPr>
        <w:numPr>
          <w:ilvl w:val="0"/>
          <w:numId w:val="0"/>
        </w:numPr>
        <w:tabs>
          <w:tab w:val="left" w:pos="1440"/>
        </w:tabs>
        <w:spacing w:line="312" w:lineRule="auto"/>
        <w:ind w:firstLine="480" w:firstLineChars="200"/>
        <w:rPr>
          <w:rFonts w:hint="eastAsia" w:ascii="仿宋_GB2312" w:eastAsia="仿宋_GB2312" w:cs="宋体"/>
          <w:color w:val="auto"/>
          <w:sz w:val="24"/>
          <w:lang w:val="en-US" w:eastAsia="zh-CN"/>
        </w:rPr>
      </w:pPr>
      <w:r>
        <w:rPr>
          <w:rFonts w:hint="eastAsia" w:ascii="仿宋_GB2312" w:eastAsia="仿宋_GB2312" w:cs="宋体"/>
          <w:color w:val="auto"/>
          <w:sz w:val="24"/>
          <w:lang w:val="en-US" w:eastAsia="zh-CN"/>
        </w:rPr>
        <w:t>2.在线堆焊过程中，如因堆焊工艺控制不当或焊材问题而发生辊套断裂的，扣除全部质保金，承担全部损失并免费更换新辊套，新辊套费用由服务方自理。半年内焊件堆焊表面焊材磨损量达20mm以上的,则对发生磨损超标焊件按10000元/个扣相应的质保金。</w:t>
      </w:r>
    </w:p>
    <w:p>
      <w:pPr>
        <w:numPr>
          <w:ilvl w:val="0"/>
          <w:numId w:val="0"/>
        </w:numPr>
        <w:tabs>
          <w:tab w:val="left" w:pos="1440"/>
        </w:tabs>
        <w:spacing w:line="312" w:lineRule="auto"/>
        <w:ind w:firstLine="480" w:firstLineChars="200"/>
        <w:rPr>
          <w:rFonts w:hint="eastAsia" w:ascii="仿宋_GB2312" w:eastAsia="仿宋_GB2312" w:cs="宋体"/>
          <w:color w:val="auto"/>
          <w:sz w:val="24"/>
          <w:lang w:val="en-US" w:eastAsia="zh-CN"/>
        </w:rPr>
      </w:pPr>
      <w:r>
        <w:rPr>
          <w:rFonts w:hint="eastAsia" w:ascii="仿宋_GB2312" w:eastAsia="仿宋_GB2312" w:cs="宋体"/>
          <w:color w:val="auto"/>
          <w:sz w:val="24"/>
          <w:lang w:val="en-US" w:eastAsia="zh-CN"/>
        </w:rPr>
        <w:t>2.During the online cladding process, if roller sleeve fractures occur due to improper cladding process control or welding material issues, the full warranty deposit will be deducted, all losses will be borne, and a new roller sleeve will be provided free of charge. The service provider shall bear the cost of the new sleeve. For welded components with surface wear exceeding 20mm within six months, the corresponding warranty deposit will be deducted at a rate of 10,000 yuan per unit for those exceeding the wear limit.</w:t>
      </w:r>
    </w:p>
    <w:p>
      <w:pPr>
        <w:numPr>
          <w:ilvl w:val="0"/>
          <w:numId w:val="0"/>
        </w:numPr>
        <w:tabs>
          <w:tab w:val="left" w:pos="1440"/>
        </w:tabs>
        <w:spacing w:line="312" w:lineRule="auto"/>
        <w:ind w:firstLine="480" w:firstLineChars="200"/>
        <w:rPr>
          <w:rFonts w:hint="eastAsia" w:ascii="仿宋_GB2312" w:eastAsia="仿宋_GB2312" w:cs="宋体"/>
          <w:color w:val="auto"/>
          <w:sz w:val="24"/>
          <w:lang w:val="en-US" w:eastAsia="zh-CN"/>
        </w:rPr>
      </w:pPr>
      <w:r>
        <w:rPr>
          <w:rFonts w:hint="eastAsia" w:ascii="仿宋_GB2312" w:eastAsia="仿宋_GB2312" w:cs="宋体"/>
          <w:color w:val="auto"/>
          <w:sz w:val="24"/>
          <w:lang w:val="en-US" w:eastAsia="zh-CN"/>
        </w:rPr>
        <w:t>3.质保期内</w:t>
      </w:r>
      <w:r>
        <w:rPr>
          <w:rFonts w:hint="eastAsia" w:ascii="仿宋_GB2312" w:eastAsia="仿宋_GB2312" w:cs="宋体"/>
          <w:color w:val="auto"/>
          <w:sz w:val="24"/>
          <w:lang w:val="zh-CN"/>
        </w:rPr>
        <w:t>衬瓦本体金属外露不得超过1/2，堆焊层不得出现严重的凹坑；任一块衬瓦表面堆焊层不得出现脱落，发生一次，考核</w:t>
      </w:r>
      <w:r>
        <w:rPr>
          <w:rFonts w:hint="eastAsia" w:ascii="仿宋_GB2312" w:eastAsia="仿宋_GB2312" w:cs="宋体"/>
          <w:color w:val="auto"/>
          <w:sz w:val="24"/>
          <w:lang w:val="en-US" w:eastAsia="zh-CN"/>
        </w:rPr>
        <w:t>10000元。        3.During the service life, the exposed metal of the lining body shall not exceed 1/2, and the severe depression shall not appear in the welding layer; the welding layer on any surface of the lining body shall not fall off, and the assessment shall be 1000 to 100,000yuan.</w:t>
      </w:r>
    </w:p>
    <w:p>
      <w:pPr>
        <w:adjustRightInd w:val="0"/>
        <w:snapToGrid w:val="0"/>
        <w:spacing w:line="360" w:lineRule="auto"/>
        <w:jc w:val="left"/>
        <w:rPr>
          <w:rFonts w:hint="eastAsia" w:ascii="仿宋_GB2312" w:hAnsi="仿宋_GB2312" w:eastAsia="仿宋_GB2312" w:cs="仿宋_GB2312"/>
          <w:b/>
          <w:bCs/>
          <w:sz w:val="32"/>
          <w:szCs w:val="32"/>
          <w:highlight w:val="none"/>
        </w:rPr>
      </w:pPr>
    </w:p>
    <w:p>
      <w:pPr>
        <w:pStyle w:val="8"/>
        <w:snapToGrid w:val="0"/>
        <w:spacing w:after="0" w:line="240" w:lineRule="auto"/>
        <w:jc w:val="center"/>
        <w:rPr>
          <w:rFonts w:eastAsia="FangSong_GB2312" w:cs="Times New Roman"/>
          <w:b/>
          <w:spacing w:val="40"/>
          <w:sz w:val="44"/>
          <w:szCs w:val="44"/>
        </w:rPr>
      </w:pPr>
    </w:p>
    <w:sectPr>
      <w:footerReference r:id="rId9" w:type="default"/>
      <w:pgSz w:w="11906" w:h="16838"/>
      <w:pgMar w:top="1440" w:right="1803" w:bottom="1440" w:left="1803" w:header="720" w:footer="720"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FangSong_GB2312">
    <w:altName w:val="仿宋"/>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pPr>
                          <w:r>
                            <w:fldChar w:fldCharType="begin"/>
                          </w:r>
                          <w:r>
                            <w:instrText xml:space="preserve"> PAGE  \* MERGEFORMAT </w:instrText>
                          </w:r>
                          <w:r>
                            <w:fldChar w:fldCharType="separate"/>
                          </w:r>
                          <w:r>
                            <w:t>- 2 -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H1c+rLcBAABXAwAADgAAAAAAAAABACAAAAAiAQAAZHJzL2Uyb0RvYy54bWxQSwUGAAAAAAYA&#10;BgBZAQAASwUAAAAA&#10;">
              <v:fill on="f" focussize="0,0"/>
              <v:stroke on="f" weight="1.2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ABluWqtgEAAFUDAAAOAAAAAAAAAAEAIAAAACIBAABkcnMvZTJvRG9jLnhtbFBLBQYAAAAABgAG&#10;AFkBAABKBQAAAAA=&#10;">
              <v:fill on="f" focussize="0,0"/>
              <v:stroke on="f" weight="1.2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syDgEsQEA&#10;AEgDAAAOAAAAAAAAAAEAIAAAAB4BAABkcnMvZTJvRG9jLnhtbFBLBQYAAAAABgAGAFkBAABBBQAA&#10;AAA=&#10;">
              <v:fill on="f" focussize="0,0"/>
              <v:stroke on="f"/>
              <v:imagedata o:title=""/>
              <o:lock v:ext="edit" aspectratio="f"/>
              <v:textbox inset="0mm,0mm,0mm,0mm" style="mso-fit-shape-to-text:t;">
                <w:txbxContent>
                  <w:p>
                    <w:pPr>
                      <w:pStyle w:val="11"/>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2"/>
      </w:pBdr>
      <w:tabs>
        <w:tab w:val="left" w:pos="5829"/>
        <w:tab w:val="clear" w:pos="8306"/>
      </w:tabs>
      <w:spacing w:after="200"/>
      <w:jc w:val="right"/>
      <w:rPr>
        <w:rFonts w:hint="eastAsia" w:ascii="宋体" w:hAnsi="宋体" w:eastAsia="宋体"/>
        <w:b/>
        <w:lang w:eastAsia="zh-CN"/>
      </w:rPr>
    </w:pPr>
    <w:r>
      <w:rPr>
        <w:rFonts w:hint="eastAsia"/>
        <w:color w:val="000000"/>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2"/>
      </w:pBdr>
      <w:tabs>
        <w:tab w:val="left" w:pos="5829"/>
      </w:tabs>
      <w:spacing w:after="20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2"/>
      </w:pBdr>
      <w:tabs>
        <w:tab w:val="left" w:pos="5829"/>
        <w:tab w:val="clear" w:pos="8306"/>
      </w:tabs>
      <w:spacing w:after="200"/>
      <w:jc w:val="right"/>
      <w:rPr>
        <w:rFonts w:hint="eastAsia" w:ascii="Times New Roman" w:hAnsi="Times New Roman" w:eastAsia="宋体" w:cs="Times New Roman"/>
        <w:b w:val="0"/>
        <w:bCs w:val="0"/>
        <w:color w:val="000000"/>
        <w:sz w:val="18"/>
        <w:szCs w:val="20"/>
        <w:lang w:val="en-US" w:eastAsia="zh-CN"/>
      </w:rPr>
    </w:pPr>
    <w:r>
      <w:rPr>
        <w:rFonts w:hint="eastAsia"/>
        <w:color w:val="000000"/>
        <w:lang w:val="en-US" w:eastAsia="zh-CN"/>
      </w:rPr>
      <w:t xml:space="preserve"> #2机组大修锅炉</w:t>
    </w:r>
    <w:r>
      <w:rPr>
        <w:rFonts w:hint="eastAsia" w:ascii="Times New Roman" w:hAnsi="Times New Roman" w:eastAsia="宋体" w:cs="Times New Roman"/>
        <w:b w:val="0"/>
        <w:bCs w:val="0"/>
        <w:color w:val="000000"/>
        <w:sz w:val="18"/>
        <w:szCs w:val="20"/>
        <w:lang w:val="en-US"/>
      </w:rPr>
      <w:t>中速磨煤机</w:t>
    </w:r>
    <w:r>
      <w:rPr>
        <w:rFonts w:hint="eastAsia" w:ascii="Times New Roman" w:hAnsi="Times New Roman" w:eastAsia="宋体" w:cs="Times New Roman"/>
        <w:b w:val="0"/>
        <w:bCs w:val="0"/>
        <w:color w:val="000000"/>
        <w:sz w:val="18"/>
        <w:szCs w:val="20"/>
        <w:lang w:val="en-US" w:eastAsia="zh-CN"/>
      </w:rPr>
      <w:t>磨辊套、磨盘衬板</w:t>
    </w:r>
    <w:r>
      <w:rPr>
        <w:rFonts w:hint="eastAsia" w:ascii="Times New Roman" w:hAnsi="Times New Roman" w:eastAsia="宋体" w:cs="Times New Roman"/>
        <w:b w:val="0"/>
        <w:bCs w:val="0"/>
        <w:color w:val="000000"/>
        <w:sz w:val="18"/>
        <w:szCs w:val="20"/>
        <w:lang w:val="en-US"/>
      </w:rPr>
      <w:t>堆焊</w:t>
    </w:r>
    <w:r>
      <w:rPr>
        <w:rFonts w:hint="eastAsia" w:ascii="Times New Roman" w:hAnsi="Times New Roman" w:eastAsia="宋体" w:cs="Times New Roman"/>
        <w:b w:val="0"/>
        <w:bCs w:val="0"/>
        <w:color w:val="000000"/>
        <w:sz w:val="18"/>
        <w:szCs w:val="20"/>
        <w:lang w:val="en-US" w:eastAsia="zh-CN"/>
      </w:rPr>
      <w:t>技术规范书</w:t>
    </w:r>
  </w:p>
  <w:p>
    <w:pPr>
      <w:pStyle w:val="12"/>
      <w:pBdr>
        <w:bottom w:val="single" w:color="auto" w:sz="4" w:space="2"/>
      </w:pBdr>
      <w:tabs>
        <w:tab w:val="left" w:pos="5829"/>
        <w:tab w:val="clear" w:pos="8306"/>
      </w:tabs>
      <w:spacing w:after="200"/>
      <w:jc w:val="right"/>
      <w:rPr>
        <w:rFonts w:hint="eastAsia" w:ascii="宋体" w:hAnsi="宋体" w:eastAsia="宋体"/>
        <w:b/>
        <w:lang w:eastAsia="zh-CN"/>
      </w:rPr>
    </w:pPr>
    <w:r>
      <w:rPr>
        <w:rFonts w:hint="eastAsia"/>
        <w:color w:val="000000"/>
        <w:lang w:val="en-US" w:eastAsia="zh-CN"/>
      </w:rPr>
      <w:t xml:space="preserve">boiler medium-speed coal mill grinding roller sleeve and grinding plate lining welding technical specification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2"/>
      </w:pBdr>
      <w:tabs>
        <w:tab w:val="left" w:pos="5829"/>
      </w:tabs>
      <w:spacing w:after="2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03E866"/>
    <w:multiLevelType w:val="singleLevel"/>
    <w:tmpl w:val="E603E866"/>
    <w:lvl w:ilvl="0" w:tentative="0">
      <w:start w:val="6"/>
      <w:numFmt w:val="chineseCounting"/>
      <w:suff w:val="nothing"/>
      <w:lvlText w:val="%1、"/>
      <w:lvlJc w:val="left"/>
      <w:rPr>
        <w:rFonts w:hint="eastAsia"/>
      </w:rPr>
    </w:lvl>
  </w:abstractNum>
  <w:abstractNum w:abstractNumId="1">
    <w:nsid w:val="4B8E3ADC"/>
    <w:multiLevelType w:val="multilevel"/>
    <w:tmpl w:val="4B8E3ADC"/>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pStyle w:val="32"/>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2">
    <w:nsid w:val="53022C7F"/>
    <w:multiLevelType w:val="multilevel"/>
    <w:tmpl w:val="53022C7F"/>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pStyle w:val="6"/>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3">
    <w:nsid w:val="66E26E90"/>
    <w:multiLevelType w:val="singleLevel"/>
    <w:tmpl w:val="66E26E90"/>
    <w:lvl w:ilvl="0" w:tentative="0">
      <w:start w:val="2"/>
      <w:numFmt w:val="chineseCounting"/>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kOGNiNDNhNDJlNzhhYTA0YThkNjg1YzYyZDI0ZGIifQ=="/>
  </w:docVars>
  <w:rsids>
    <w:rsidRoot w:val="7DD43DF5"/>
    <w:rsid w:val="00286DB9"/>
    <w:rsid w:val="00590DD6"/>
    <w:rsid w:val="005D0471"/>
    <w:rsid w:val="00755792"/>
    <w:rsid w:val="00756D98"/>
    <w:rsid w:val="00757743"/>
    <w:rsid w:val="009E5DDF"/>
    <w:rsid w:val="009F7628"/>
    <w:rsid w:val="00A32D89"/>
    <w:rsid w:val="00D13C66"/>
    <w:rsid w:val="00DF3FE4"/>
    <w:rsid w:val="00EA6EA8"/>
    <w:rsid w:val="00EF4B43"/>
    <w:rsid w:val="07803966"/>
    <w:rsid w:val="0894041E"/>
    <w:rsid w:val="09065FBF"/>
    <w:rsid w:val="0A193BCC"/>
    <w:rsid w:val="175844CD"/>
    <w:rsid w:val="19BF14CB"/>
    <w:rsid w:val="1A1B5D79"/>
    <w:rsid w:val="21A14CEF"/>
    <w:rsid w:val="24D24179"/>
    <w:rsid w:val="2E997812"/>
    <w:rsid w:val="2F9556DB"/>
    <w:rsid w:val="394A1D75"/>
    <w:rsid w:val="3CD03ABD"/>
    <w:rsid w:val="3ECF62A5"/>
    <w:rsid w:val="424A274F"/>
    <w:rsid w:val="448F3FD4"/>
    <w:rsid w:val="45273802"/>
    <w:rsid w:val="477E5309"/>
    <w:rsid w:val="47B07BC4"/>
    <w:rsid w:val="493232CD"/>
    <w:rsid w:val="49F22A6C"/>
    <w:rsid w:val="518C12E7"/>
    <w:rsid w:val="54630D76"/>
    <w:rsid w:val="588C6C9A"/>
    <w:rsid w:val="59E67533"/>
    <w:rsid w:val="5F0F34CA"/>
    <w:rsid w:val="62AC28DB"/>
    <w:rsid w:val="68CE71FF"/>
    <w:rsid w:val="6B891E22"/>
    <w:rsid w:val="6E856903"/>
    <w:rsid w:val="6FBE3570"/>
    <w:rsid w:val="6FFF21CA"/>
    <w:rsid w:val="71D7247A"/>
    <w:rsid w:val="731418EA"/>
    <w:rsid w:val="73DB3D53"/>
    <w:rsid w:val="75A90447"/>
    <w:rsid w:val="76C56BBE"/>
    <w:rsid w:val="7ADC2111"/>
    <w:rsid w:val="7D1F1383"/>
    <w:rsid w:val="7DD43DF5"/>
    <w:rsid w:val="7F315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460" w:after="450" w:line="360" w:lineRule="auto"/>
      <w:ind w:left="100" w:leftChars="100" w:right="100" w:rightChars="100"/>
      <w:jc w:val="center"/>
      <w:outlineLvl w:val="0"/>
    </w:pPr>
    <w:rPr>
      <w:b/>
      <w:bCs/>
      <w:kern w:val="44"/>
      <w:sz w:val="30"/>
      <w:szCs w:val="44"/>
    </w:rPr>
  </w:style>
  <w:style w:type="paragraph" w:styleId="2">
    <w:name w:val="heading 2"/>
    <w:basedOn w:val="1"/>
    <w:next w:val="3"/>
    <w:qFormat/>
    <w:uiPriority w:val="0"/>
    <w:pPr>
      <w:keepNext/>
      <w:keepLines/>
      <w:adjustRightInd w:val="0"/>
      <w:snapToGrid w:val="0"/>
      <w:spacing w:line="360" w:lineRule="auto"/>
      <w:jc w:val="left"/>
      <w:outlineLvl w:val="1"/>
    </w:pPr>
    <w:rPr>
      <w:rFonts w:ascii="Arial" w:hAnsi="Arial" w:eastAsia="宋体"/>
      <w:sz w:val="28"/>
    </w:rPr>
  </w:style>
  <w:style w:type="paragraph" w:styleId="5">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kern w:val="0"/>
      <w:sz w:val="26"/>
      <w:szCs w:val="26"/>
    </w:rPr>
  </w:style>
  <w:style w:type="paragraph" w:styleId="6">
    <w:name w:val="heading 4"/>
    <w:basedOn w:val="1"/>
    <w:next w:val="1"/>
    <w:unhideWhenUsed/>
    <w:qFormat/>
    <w:uiPriority w:val="9"/>
    <w:pPr>
      <w:keepNext/>
      <w:keepLines/>
      <w:numPr>
        <w:ilvl w:val="3"/>
        <w:numId w:val="1"/>
      </w:numPr>
      <w:spacing w:before="280" w:after="290" w:line="376" w:lineRule="auto"/>
      <w:outlineLvl w:val="3"/>
    </w:pPr>
    <w:rPr>
      <w:rFonts w:ascii="Cambria" w:hAnsi="Cambria" w:eastAsia="宋体" w:cs="Times New Roman"/>
      <w:b/>
      <w:bCs/>
      <w:sz w:val="28"/>
      <w:szCs w:val="28"/>
    </w:rPr>
  </w:style>
  <w:style w:type="character" w:default="1" w:styleId="19">
    <w:name w:val="Default Paragraph Font"/>
    <w:semiHidden/>
    <w:unhideWhenUsed/>
    <w:qFormat/>
    <w:uiPriority w:val="1"/>
  </w:style>
  <w:style w:type="table" w:default="1" w:styleId="17">
    <w:name w:val="Normal Table"/>
    <w:semiHidden/>
    <w:unhideWhenUsed/>
    <w:uiPriority w:val="99"/>
    <w:tblPr>
      <w:tblLayout w:type="fixed"/>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7">
    <w:name w:val="toc 7"/>
    <w:basedOn w:val="1"/>
    <w:next w:val="1"/>
    <w:unhideWhenUsed/>
    <w:qFormat/>
    <w:uiPriority w:val="39"/>
    <w:pPr>
      <w:ind w:left="1260"/>
      <w:jc w:val="left"/>
    </w:pPr>
    <w:rPr>
      <w:rFonts w:ascii="Calibri" w:hAnsi="Calibri" w:cs="Calibri"/>
      <w:sz w:val="18"/>
      <w:szCs w:val="18"/>
    </w:rPr>
  </w:style>
  <w:style w:type="paragraph" w:styleId="8">
    <w:name w:val="Body Text"/>
    <w:basedOn w:val="1"/>
    <w:uiPriority w:val="0"/>
    <w:rPr>
      <w:rFonts w:ascii="Times New Roman" w:hAnsi="Times New Roman" w:eastAsia="宋体"/>
    </w:rPr>
  </w:style>
  <w:style w:type="paragraph" w:styleId="9">
    <w:name w:val="Body Text Indent"/>
    <w:basedOn w:val="1"/>
    <w:next w:val="1"/>
    <w:qFormat/>
    <w:uiPriority w:val="0"/>
    <w:pPr>
      <w:spacing w:after="120"/>
      <w:ind w:left="420" w:leftChars="200"/>
    </w:pPr>
  </w:style>
  <w:style w:type="paragraph" w:styleId="10">
    <w:name w:val="Body Text Indent 2"/>
    <w:basedOn w:val="1"/>
    <w:qFormat/>
    <w:uiPriority w:val="0"/>
    <w:pPr>
      <w:spacing w:after="120" w:line="480" w:lineRule="auto"/>
      <w:ind w:left="420" w:leftChars="200"/>
    </w:pPr>
  </w:style>
  <w:style w:type="paragraph" w:styleId="11">
    <w:name w:val="footer"/>
    <w:basedOn w:val="1"/>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100" w:beforeAutospacing="1" w:after="100" w:afterAutospacing="1"/>
      <w:jc w:val="left"/>
    </w:pPr>
    <w:rPr>
      <w:rFonts w:cs="Times New Roman"/>
      <w:kern w:val="0"/>
      <w:sz w:val="24"/>
    </w:rPr>
  </w:style>
  <w:style w:type="paragraph" w:styleId="16">
    <w:name w:val="Body Text First Indent 2"/>
    <w:basedOn w:val="9"/>
    <w:next w:val="7"/>
    <w:qFormat/>
    <w:uiPriority w:val="0"/>
    <w:pPr>
      <w:ind w:firstLine="640" w:firstLineChars="200"/>
    </w:pPr>
    <w:rPr>
      <w:rFonts w:hint="eastAsia" w:ascii="宋体" w:hAnsi="宋体"/>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0">
    <w:name w:val="Strong"/>
    <w:basedOn w:val="19"/>
    <w:qFormat/>
    <w:uiPriority w:val="0"/>
    <w:rPr>
      <w:b/>
    </w:rPr>
  </w:style>
  <w:style w:type="character" w:styleId="21">
    <w:name w:val="Emphasis"/>
    <w:basedOn w:val="19"/>
    <w:qFormat/>
    <w:uiPriority w:val="0"/>
    <w:rPr>
      <w:i/>
      <w:iCs/>
    </w:rPr>
  </w:style>
  <w:style w:type="paragraph" w:customStyle="1" w:styleId="22">
    <w:name w:val="Default"/>
    <w:qFormat/>
    <w:uiPriority w:val="0"/>
    <w:pPr>
      <w:widowControl w:val="0"/>
      <w:autoSpaceDE w:val="0"/>
      <w:autoSpaceDN w:val="0"/>
      <w:adjustRightInd w:val="0"/>
      <w:spacing w:after="160" w:line="278" w:lineRule="auto"/>
    </w:pPr>
    <w:rPr>
      <w:rFonts w:asciiTheme="minorHAnsi" w:hAnsiTheme="minorHAnsi" w:eastAsiaTheme="minorEastAsia" w:cstheme="minorBidi"/>
      <w:color w:val="000000"/>
      <w:sz w:val="24"/>
      <w:szCs w:val="24"/>
      <w:lang w:val="en-US" w:eastAsia="zh-CN" w:bidi="ar-SA"/>
    </w:rPr>
  </w:style>
  <w:style w:type="paragraph" w:customStyle="1" w:styleId="23">
    <w:name w:val="修订1"/>
    <w:hidden/>
    <w:unhideWhenUsed/>
    <w:qFormat/>
    <w:uiPriority w:val="99"/>
    <w:pPr>
      <w:spacing w:after="160" w:line="278" w:lineRule="auto"/>
    </w:pPr>
    <w:rPr>
      <w:rFonts w:asciiTheme="minorHAnsi" w:hAnsiTheme="minorHAnsi" w:eastAsiaTheme="minorEastAsia" w:cstheme="minorBidi"/>
      <w:kern w:val="2"/>
      <w:sz w:val="21"/>
      <w:szCs w:val="24"/>
      <w:lang w:val="en-US" w:eastAsia="zh-CN" w:bidi="ar-SA"/>
    </w:rPr>
  </w:style>
  <w:style w:type="paragraph" w:customStyle="1" w:styleId="24">
    <w:name w:val="北海分级目录"/>
    <w:basedOn w:val="1"/>
    <w:qFormat/>
    <w:uiPriority w:val="0"/>
    <w:rPr>
      <w:rFonts w:ascii="宋体" w:hAnsi="宋体"/>
      <w:color w:val="000000"/>
      <w:kern w:val="0"/>
      <w:szCs w:val="21"/>
    </w:rPr>
  </w:style>
  <w:style w:type="character" w:customStyle="1" w:styleId="25">
    <w:name w:val="font51"/>
    <w:basedOn w:val="19"/>
    <w:qFormat/>
    <w:uiPriority w:val="0"/>
    <w:rPr>
      <w:rFonts w:ascii="Calibri" w:hAnsi="Calibri" w:cs="Calibri"/>
      <w:color w:val="000000"/>
      <w:sz w:val="21"/>
      <w:szCs w:val="21"/>
      <w:u w:val="none"/>
    </w:rPr>
  </w:style>
  <w:style w:type="character" w:customStyle="1" w:styleId="26">
    <w:name w:val="font61"/>
    <w:basedOn w:val="19"/>
    <w:qFormat/>
    <w:uiPriority w:val="0"/>
    <w:rPr>
      <w:rFonts w:hint="default" w:ascii="Calibri" w:hAnsi="Calibri" w:cs="Calibri"/>
      <w:color w:val="000000"/>
      <w:sz w:val="21"/>
      <w:szCs w:val="21"/>
      <w:u w:val="none"/>
    </w:rPr>
  </w:style>
  <w:style w:type="paragraph" w:customStyle="1" w:styleId="27">
    <w:name w:val="_Style 15"/>
    <w:basedOn w:val="1"/>
    <w:next w:val="1"/>
    <w:qFormat/>
    <w:uiPriority w:val="0"/>
    <w:pPr>
      <w:pBdr>
        <w:top w:val="single" w:color="auto" w:sz="6" w:space="1"/>
      </w:pBdr>
      <w:jc w:val="center"/>
    </w:pPr>
    <w:rPr>
      <w:rFonts w:ascii="Arial" w:eastAsia="宋体"/>
      <w:vanish/>
      <w:sz w:val="16"/>
    </w:rPr>
  </w:style>
  <w:style w:type="paragraph" w:customStyle="1" w:styleId="28">
    <w:name w:val="Body Text First Indent 21"/>
    <w:basedOn w:val="29"/>
    <w:qFormat/>
    <w:uiPriority w:val="0"/>
    <w:pPr>
      <w:adjustRightInd/>
      <w:spacing w:after="120" w:line="240" w:lineRule="auto"/>
      <w:ind w:left="420" w:leftChars="200" w:firstLine="420" w:firstLineChars="200"/>
      <w:jc w:val="both"/>
    </w:pPr>
    <w:rPr>
      <w:rFonts w:ascii="Times New Roman" w:hAnsi="Times New Roman"/>
      <w:sz w:val="21"/>
    </w:rPr>
  </w:style>
  <w:style w:type="paragraph" w:customStyle="1" w:styleId="29">
    <w:name w:val="Body Text Indent1"/>
    <w:basedOn w:val="1"/>
    <w:qFormat/>
    <w:uiPriority w:val="0"/>
    <w:pPr>
      <w:adjustRightInd w:val="0"/>
      <w:spacing w:line="360" w:lineRule="auto"/>
      <w:ind w:left="454"/>
      <w:jc w:val="left"/>
      <w:textAlignment w:val="baseline"/>
    </w:pPr>
    <w:rPr>
      <w:rFonts w:ascii="宋体"/>
      <w:kern w:val="0"/>
      <w:sz w:val="24"/>
    </w:rPr>
  </w:style>
  <w:style w:type="paragraph" w:customStyle="1" w:styleId="30">
    <w:name w:val="Revision"/>
    <w:hidden/>
    <w:unhideWhenUsed/>
    <w:qFormat/>
    <w:uiPriority w:val="99"/>
    <w:pPr>
      <w:spacing w:after="0" w:line="240" w:lineRule="auto"/>
    </w:pPr>
    <w:rPr>
      <w:rFonts w:asciiTheme="minorHAnsi" w:hAnsiTheme="minorHAnsi" w:eastAsiaTheme="minorEastAsia" w:cstheme="minorBidi"/>
      <w:kern w:val="2"/>
      <w:sz w:val="21"/>
      <w:szCs w:val="24"/>
      <w:lang w:val="en-US" w:eastAsia="zh-CN" w:bidi="ar-SA"/>
    </w:rPr>
  </w:style>
  <w:style w:type="paragraph" w:customStyle="1" w:styleId="31">
    <w:name w:val="正文1"/>
    <w:basedOn w:val="1"/>
    <w:qFormat/>
    <w:uiPriority w:val="0"/>
    <w:pPr>
      <w:adjustRightInd w:val="0"/>
      <w:spacing w:line="360" w:lineRule="atLeast"/>
      <w:jc w:val="left"/>
      <w:textAlignment w:val="baseline"/>
    </w:pPr>
    <w:rPr>
      <w:rFonts w:ascii="宋体"/>
      <w:kern w:val="0"/>
      <w:sz w:val="24"/>
      <w:szCs w:val="20"/>
    </w:rPr>
  </w:style>
  <w:style w:type="paragraph" w:customStyle="1" w:styleId="32">
    <w:name w:val="技术规范书-3级列表"/>
    <w:basedOn w:val="6"/>
    <w:qFormat/>
    <w:uiPriority w:val="0"/>
    <w:pPr>
      <w:numPr>
        <w:ilvl w:val="2"/>
        <w:numId w:val="2"/>
      </w:numPr>
      <w:spacing w:before="0" w:after="0" w:line="360" w:lineRule="auto"/>
    </w:pPr>
    <w:rPr>
      <w:rFonts w:ascii="宋体" w:hAnsi="宋体"/>
      <w:b w:val="0"/>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64</Pages>
  <Words>9578</Words>
  <Characters>54601</Characters>
  <Lines>455</Lines>
  <Paragraphs>128</Paragraphs>
  <TotalTime>6</TotalTime>
  <ScaleCrop>false</ScaleCrop>
  <LinksUpToDate>false</LinksUpToDate>
  <CharactersWithSpaces>64051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2024-06-14T04:48:00Z</dcterms:created>
  <dc:creator>arie vernandy</dc:creator>
  <cp:lastModifiedBy>yzj</cp:lastModifiedBy>
  <cp:lastPrinted>2024-12-10T10:36:00Z</cp:lastPrinted>
  <dcterms:modified xsi:type="dcterms:W3CDTF">2025-11-27T03:39:21Z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48DA0D4D9DF7410CAE977F8A2D228AC1</vt:lpwstr>
  </property>
</Properties>
</file>