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560"/>
        </w:tabs>
        <w:jc w:val="center"/>
        <w:rPr>
          <w:rFonts w:ascii="Times New Roman" w:eastAsia="仿宋"/>
          <w:b/>
          <w:sz w:val="28"/>
          <w:szCs w:val="28"/>
        </w:rPr>
      </w:pPr>
      <w:bookmarkStart w:id="0" w:name="OLE_LINK1"/>
      <w:r>
        <w:rPr>
          <w:rFonts w:ascii="Times New Roman" w:eastAsia="仿宋"/>
          <w:b/>
          <w:sz w:val="28"/>
          <w:szCs w:val="28"/>
        </w:rPr>
        <w:t>印尼玻雅分公司2025年-2026年签证代理服务询比采购文件</w:t>
      </w:r>
    </w:p>
    <w:bookmarkEnd w:id="0"/>
    <w:p>
      <w:pPr>
        <w:jc w:val="center"/>
        <w:rPr>
          <w:rFonts w:ascii="Times New Roman" w:eastAsia="仿宋"/>
          <w:b/>
          <w:sz w:val="28"/>
          <w:szCs w:val="28"/>
        </w:rPr>
      </w:pPr>
      <w:r>
        <w:rPr>
          <w:rFonts w:ascii="Times New Roman" w:eastAsia="Times New Roman"/>
          <w:b/>
          <w:bCs/>
          <w:color w:val="000000"/>
          <w:sz w:val="27"/>
          <w:szCs w:val="27"/>
        </w:rPr>
        <w:t>Dokumen Permintaan Penawaran Layanan Agen Visa Tahun 2025–2026</w:t>
      </w:r>
      <w:r>
        <w:rPr>
          <w:rFonts w:ascii="Times New Roman" w:eastAsia="仿宋"/>
          <w:b/>
          <w:i/>
          <w:iCs/>
          <w:sz w:val="28"/>
          <w:szCs w:val="28"/>
        </w:rPr>
        <w:t xml:space="preserve"> </w:t>
      </w:r>
      <w:r>
        <w:rPr>
          <w:rFonts w:ascii="Times New Roman" w:eastAsia="仿宋"/>
          <w:b/>
          <w:sz w:val="28"/>
          <w:szCs w:val="28"/>
        </w:rPr>
        <w:t xml:space="preserve">Cabang SUMSEL-8 Indonesia </w:t>
      </w:r>
    </w:p>
    <w:p>
      <w:pPr>
        <w:rPr>
          <w:rFonts w:ascii="Times New Roman" w:eastAsia="仿宋"/>
          <w:bCs/>
          <w:sz w:val="24"/>
          <w:szCs w:val="24"/>
        </w:rPr>
      </w:pPr>
    </w:p>
    <w:p>
      <w:pPr>
        <w:spacing w:line="360" w:lineRule="auto"/>
        <w:rPr>
          <w:rFonts w:ascii="Times New Roman" w:eastAsia="仿宋"/>
          <w:bCs/>
          <w:sz w:val="24"/>
          <w:szCs w:val="24"/>
        </w:rPr>
      </w:pPr>
      <w:r>
        <w:rPr>
          <w:rFonts w:ascii="Times New Roman" w:eastAsia="仿宋"/>
          <w:bCs/>
          <w:sz w:val="24"/>
          <w:szCs w:val="24"/>
        </w:rPr>
        <w:t>一、资格条件</w:t>
      </w:r>
      <w:r>
        <w:rPr>
          <w:rFonts w:ascii="Times New Roman" w:eastAsia="仿宋"/>
          <w:sz w:val="24"/>
          <w:szCs w:val="24"/>
        </w:rPr>
        <w:t>Kualifikasi</w:t>
      </w:r>
      <w:r>
        <w:rPr>
          <w:rFonts w:ascii="Times New Roman" w:eastAsia="仿宋"/>
          <w:bCs/>
          <w:sz w:val="24"/>
          <w:szCs w:val="24"/>
        </w:rPr>
        <w:t>：</w:t>
      </w:r>
    </w:p>
    <w:p>
      <w:pPr>
        <w:widowControl/>
        <w:tabs>
          <w:tab w:val="left" w:pos="567"/>
        </w:tabs>
        <w:spacing w:line="360" w:lineRule="auto"/>
        <w:ind w:left="426" w:firstLine="53" w:firstLineChars="22"/>
        <w:rPr>
          <w:rFonts w:ascii="Times New Roman" w:eastAsia="仿宋"/>
          <w:bCs/>
          <w:sz w:val="24"/>
          <w:szCs w:val="24"/>
        </w:rPr>
      </w:pPr>
      <w:r>
        <w:rPr>
          <w:rFonts w:ascii="Times New Roman" w:eastAsia="仿宋"/>
          <w:bCs/>
          <w:sz w:val="24"/>
          <w:szCs w:val="24"/>
        </w:rPr>
        <w:t>1、供应商是印度尼西亚注册公司, 具有独立的法人资格，持有有效营业执照，能够独立承担民事责任。</w:t>
      </w:r>
    </w:p>
    <w:p>
      <w:pPr>
        <w:pStyle w:val="5"/>
        <w:tabs>
          <w:tab w:val="left" w:pos="567"/>
        </w:tabs>
        <w:spacing w:line="360" w:lineRule="auto"/>
        <w:ind w:left="426" w:firstLine="48" w:firstLineChars="22"/>
        <w:rPr>
          <w:rFonts w:ascii="Times New Roman" w:eastAsia="仿宋"/>
          <w:sz w:val="22"/>
        </w:rPr>
      </w:pPr>
      <w:r>
        <w:rPr>
          <w:rFonts w:ascii="Times New Roman" w:eastAsia="仿宋"/>
          <w:sz w:val="22"/>
        </w:rPr>
        <w:t>Penawar adalah perusahaan terdaftar di Indonesia, memiliki badan hukum independen, memiliki izin usaha yang sah, dapat menanggung tanggung jawab perdata secara mandiri, dan dapat menandatangani kontrak secara mandiri</w:t>
      </w:r>
    </w:p>
    <w:p>
      <w:pPr>
        <w:numPr>
          <w:ilvl w:val="0"/>
          <w:numId w:val="2"/>
        </w:numPr>
        <w:spacing w:line="360" w:lineRule="auto"/>
        <w:rPr>
          <w:rFonts w:ascii="Times New Roman" w:eastAsia="仿宋"/>
          <w:bCs/>
          <w:sz w:val="24"/>
          <w:szCs w:val="24"/>
        </w:rPr>
      </w:pPr>
      <w:r>
        <w:rPr>
          <w:rFonts w:ascii="Times New Roman" w:eastAsia="仿宋"/>
          <w:bCs/>
          <w:sz w:val="24"/>
          <w:szCs w:val="24"/>
        </w:rPr>
        <w:t>服务内容</w:t>
      </w:r>
      <w:r>
        <w:rPr>
          <w:rFonts w:hint="default" w:ascii="Times New Roman" w:eastAsia="仿宋"/>
          <w:bCs/>
          <w:sz w:val="24"/>
          <w:szCs w:val="24"/>
        </w:rPr>
        <w:t>及工作要求</w:t>
      </w:r>
      <w:r>
        <w:rPr>
          <w:rFonts w:ascii="Times New Roman" w:eastAsia="仿宋"/>
          <w:bCs/>
          <w:sz w:val="24"/>
          <w:szCs w:val="24"/>
        </w:rPr>
        <w:t xml:space="preserve"> </w:t>
      </w:r>
    </w:p>
    <w:p>
      <w:pPr>
        <w:spacing w:line="360" w:lineRule="auto"/>
        <w:rPr>
          <w:rFonts w:ascii="Times New Roman" w:eastAsia="仿宋"/>
          <w:bCs/>
          <w:sz w:val="22"/>
        </w:rPr>
      </w:pPr>
      <w:r>
        <w:rPr>
          <w:rFonts w:ascii="Times New Roman" w:eastAsia="仿宋"/>
          <w:bCs/>
          <w:sz w:val="24"/>
          <w:szCs w:val="24"/>
        </w:rPr>
        <w:t>二、</w:t>
      </w:r>
      <w:r>
        <w:rPr>
          <w:rFonts w:ascii="Times New Roman" w:eastAsia="Times New Roman"/>
          <w:color w:val="000000"/>
          <w:sz w:val="22"/>
        </w:rPr>
        <w:t>Ruang Lingkup Layanan dan Persyaratan Pekerjaan</w:t>
      </w:r>
      <w:r>
        <w:rPr>
          <w:rFonts w:ascii="Times New Roman" w:eastAsia="仿宋"/>
          <w:bCs/>
          <w:sz w:val="22"/>
        </w:rPr>
        <w:t>：</w:t>
      </w:r>
    </w:p>
    <w:p>
      <w:pPr>
        <w:pStyle w:val="11"/>
        <w:spacing w:line="360" w:lineRule="auto"/>
        <w:ind w:left="426" w:leftChars="0" w:firstLine="0" w:firstLineChars="0"/>
        <w:rPr>
          <w:rFonts w:ascii="Times New Roman" w:hAnsi="Times New Roman" w:eastAsia="仿宋"/>
          <w:sz w:val="24"/>
          <w:szCs w:val="24"/>
          <w:lang w:val="id-ID"/>
        </w:rPr>
      </w:pPr>
      <w:bookmarkStart w:id="1" w:name="OLE_LINK2"/>
      <w:r>
        <w:rPr>
          <w:rFonts w:ascii="Times New Roman" w:hAnsi="Times New Roman" w:eastAsia="仿宋"/>
          <w:sz w:val="24"/>
          <w:szCs w:val="24"/>
        </w:rPr>
        <w:t xml:space="preserve"> 1、服务内容：提供工作签、商务签、商务签转工签、注销签证、用工计划书等相关服务内容</w:t>
      </w:r>
      <w:bookmarkEnd w:id="1"/>
      <w:r>
        <w:rPr>
          <w:rFonts w:ascii="Times New Roman" w:hAnsi="Times New Roman" w:eastAsia="仿宋"/>
          <w:sz w:val="24"/>
          <w:szCs w:val="24"/>
        </w:rPr>
        <w:t>。</w:t>
      </w:r>
    </w:p>
    <w:p>
      <w:pPr>
        <w:pStyle w:val="11"/>
        <w:spacing w:line="360" w:lineRule="auto"/>
        <w:ind w:left="426" w:leftChars="0" w:firstLine="0" w:firstLineChars="0"/>
        <w:rPr>
          <w:rFonts w:ascii="Times New Roman" w:hAnsi="Times New Roman" w:eastAsia="仿宋"/>
          <w:sz w:val="22"/>
          <w:lang w:val="id-ID"/>
        </w:rPr>
      </w:pPr>
      <w:r>
        <w:rPr>
          <w:rFonts w:ascii="Times New Roman" w:hAnsi="Times New Roman" w:eastAsia="Times New Roman"/>
          <w:color w:val="000000"/>
          <w:sz w:val="22"/>
        </w:rPr>
        <w:t>Ruang Lingkup Layanan: Menyediakan layanan pengurusan visa kerja, visa bisnis, pengalihan visa bisnis menjadi visa kerja, pembatalan visa, serta penyusunan rencana tenaga kerja dan layanan terkait lainnya.</w:t>
      </w:r>
    </w:p>
    <w:p>
      <w:pPr>
        <w:adjustRightInd w:val="0"/>
        <w:snapToGrid w:val="0"/>
        <w:spacing w:line="360" w:lineRule="auto"/>
        <w:ind w:firstLine="480" w:firstLineChars="200"/>
        <w:outlineLvl w:val="1"/>
        <w:rPr>
          <w:rFonts w:ascii="Times New Roman" w:eastAsia="仿宋"/>
          <w:bCs/>
          <w:iCs/>
          <w:sz w:val="24"/>
          <w:szCs w:val="24"/>
          <w:lang w:val="id-ID"/>
        </w:rPr>
      </w:pPr>
      <w:r>
        <w:rPr>
          <w:rFonts w:ascii="Times New Roman" w:eastAsia="仿宋"/>
          <w:bCs/>
          <w:iCs/>
          <w:sz w:val="24"/>
          <w:szCs w:val="24"/>
        </w:rPr>
        <w:t>2、工作要求：</w:t>
      </w:r>
    </w:p>
    <w:p>
      <w:pPr>
        <w:adjustRightInd w:val="0"/>
        <w:snapToGrid w:val="0"/>
        <w:spacing w:line="360" w:lineRule="auto"/>
        <w:ind w:firstLine="480" w:firstLineChars="200"/>
        <w:outlineLvl w:val="1"/>
        <w:rPr>
          <w:rFonts w:ascii="Times New Roman" w:eastAsia="仿宋"/>
          <w:bCs/>
          <w:iCs/>
          <w:sz w:val="24"/>
          <w:szCs w:val="24"/>
          <w:lang w:val="id-ID"/>
        </w:rPr>
      </w:pPr>
      <w:r>
        <w:rPr>
          <w:rFonts w:ascii="Times New Roman" w:eastAsia="仿宋"/>
          <w:bCs/>
          <w:iCs/>
          <w:sz w:val="24"/>
          <w:szCs w:val="24"/>
          <w:lang w:val="id-ID"/>
        </w:rPr>
        <w:t>Persyaratan Pekerjaan:</w:t>
      </w:r>
    </w:p>
    <w:p>
      <w:pPr>
        <w:adjustRightInd w:val="0"/>
        <w:snapToGrid w:val="0"/>
        <w:spacing w:line="360" w:lineRule="auto"/>
        <w:ind w:firstLine="485" w:firstLineChars="200"/>
        <w:outlineLvl w:val="1"/>
        <w:rPr>
          <w:rFonts w:hint="eastAsia" w:ascii="仿宋" w:hAnsi="仿宋" w:eastAsia="仿宋" w:cs="仿宋"/>
          <w:spacing w:val="-1"/>
          <w:kern w:val="2"/>
          <w:sz w:val="24"/>
          <w:szCs w:val="24"/>
        </w:rPr>
      </w:pPr>
      <w:r>
        <w:rPr>
          <w:rFonts w:hint="eastAsia" w:ascii="仿宋" w:hAnsi="仿宋" w:eastAsia="仿宋" w:cs="仿宋"/>
          <w:b/>
          <w:bCs/>
          <w:spacing w:val="-1"/>
          <w:sz w:val="24"/>
          <w:szCs w:val="24"/>
        </w:rPr>
        <w:t>2.1</w:t>
      </w:r>
      <w:r>
        <w:rPr>
          <w:rFonts w:hint="eastAsia" w:ascii="仿宋" w:hAnsi="仿宋" w:eastAsia="仿宋" w:cs="仿宋"/>
          <w:spacing w:val="-1"/>
          <w:sz w:val="24"/>
          <w:szCs w:val="24"/>
        </w:rPr>
        <w:t>乙方</w:t>
      </w:r>
      <w:r>
        <w:rPr>
          <w:rFonts w:hint="eastAsia" w:ascii="仿宋" w:hAnsi="仿宋" w:eastAsia="仿宋" w:cs="仿宋"/>
          <w:spacing w:val="-1"/>
          <w:kern w:val="2"/>
          <w:sz w:val="24"/>
          <w:szCs w:val="24"/>
        </w:rPr>
        <w:t>服务期限内可随时提供7*24小时响应服务，通过网络、手机客户端、在线客服、电话、电子邮件等多种方式提供合同内服务。</w:t>
      </w:r>
    </w:p>
    <w:p>
      <w:pPr>
        <w:adjustRightInd w:val="0"/>
        <w:snapToGrid w:val="0"/>
        <w:spacing w:line="360" w:lineRule="auto"/>
        <w:ind w:firstLine="440" w:firstLineChars="200"/>
        <w:outlineLvl w:val="1"/>
        <w:rPr>
          <w:rFonts w:ascii="Times New Roman"/>
          <w:spacing w:val="-1"/>
          <w:kern w:val="2"/>
          <w:sz w:val="22"/>
        </w:rPr>
      </w:pPr>
      <w:r>
        <w:rPr>
          <w:rFonts w:ascii="Times New Roman" w:eastAsia="Times New Roman"/>
          <w:color w:val="000000"/>
          <w:sz w:val="22"/>
        </w:rPr>
        <w:t>Selama masa layanan, Pihak Kedua harus dapat memberikan layanan respons 24 jam sehari, 7 hari seminggu, melalui berbagai saluran seperti internet, aplikasi seluler, layanan pelanggan online, telepon, dan email untuk menyediakan layanan sesuai kontrak.</w:t>
      </w:r>
    </w:p>
    <w:p>
      <w:pPr>
        <w:adjustRightInd w:val="0"/>
        <w:snapToGrid w:val="0"/>
        <w:spacing w:line="360" w:lineRule="auto"/>
        <w:ind w:firstLine="485" w:firstLineChars="200"/>
        <w:outlineLvl w:val="1"/>
        <w:rPr>
          <w:rFonts w:hint="eastAsia" w:ascii="仿宋" w:hAnsi="仿宋" w:eastAsia="仿宋" w:cs="仿宋"/>
          <w:spacing w:val="-1"/>
          <w:sz w:val="24"/>
          <w:szCs w:val="24"/>
        </w:rPr>
      </w:pPr>
      <w:r>
        <w:rPr>
          <w:rFonts w:hint="eastAsia" w:ascii="仿宋" w:hAnsi="仿宋" w:eastAsia="仿宋" w:cs="仿宋"/>
          <w:b/>
          <w:bCs/>
          <w:spacing w:val="-1"/>
          <w:kern w:val="2"/>
          <w:sz w:val="24"/>
          <w:szCs w:val="24"/>
        </w:rPr>
        <w:t>2.2</w:t>
      </w:r>
      <w:r>
        <w:rPr>
          <w:rFonts w:hint="eastAsia" w:ascii="仿宋" w:hAnsi="仿宋" w:eastAsia="仿宋" w:cs="仿宋"/>
          <w:spacing w:val="-1"/>
          <w:sz w:val="24"/>
          <w:szCs w:val="24"/>
        </w:rPr>
        <w:t>为甲方员工办理符合印尼政策的工作签、商务签、商务签转工签、注销签证、用工计划书等相关服务，并负责甲方续签人员往返移民局拍照的车辆与司机。</w:t>
      </w:r>
    </w:p>
    <w:p>
      <w:pPr>
        <w:adjustRightInd w:val="0"/>
        <w:snapToGrid w:val="0"/>
        <w:spacing w:line="360" w:lineRule="auto"/>
        <w:ind w:firstLine="440" w:firstLineChars="200"/>
        <w:outlineLvl w:val="1"/>
        <w:rPr>
          <w:rFonts w:ascii="Times New Roman"/>
          <w:spacing w:val="-1"/>
          <w:sz w:val="22"/>
        </w:rPr>
      </w:pPr>
      <w:r>
        <w:rPr>
          <w:rFonts w:ascii="Times New Roman" w:eastAsia="Times New Roman"/>
          <w:color w:val="000000"/>
          <w:sz w:val="22"/>
        </w:rPr>
        <w:t>Menguruskan visa kerja, visa bisnis, pengalihan visa bisnis menjadi visa kerja, pembatalan visa, rencana ketenagakerjaan, dan layanan terkait lainnya sesuai dengan kebijakan Indonesia untuk karyawan Pihak Pertama, serta bertanggung jawab menyediakan kendaraan dan sopir untuk keperluan karyawan Pihak Pertama yang memperpanjang visa saat pergi-pulang ke kantor imigrasi untuk pengambilan foto.</w:t>
      </w:r>
    </w:p>
    <w:p>
      <w:pPr>
        <w:adjustRightInd w:val="0"/>
        <w:snapToGrid w:val="0"/>
        <w:spacing w:line="360" w:lineRule="auto"/>
        <w:ind w:firstLine="485" w:firstLineChars="200"/>
        <w:outlineLvl w:val="1"/>
        <w:rPr>
          <w:rFonts w:ascii="Times New Roman"/>
          <w:spacing w:val="-1"/>
          <w:sz w:val="24"/>
          <w:szCs w:val="24"/>
          <w:lang w:val="id-ID"/>
        </w:rPr>
      </w:pPr>
      <w:r>
        <w:rPr>
          <w:rFonts w:hint="eastAsia" w:ascii="仿宋" w:hAnsi="仿宋" w:eastAsia="仿宋" w:cs="仿宋"/>
          <w:b/>
          <w:bCs/>
          <w:spacing w:val="-1"/>
          <w:kern w:val="2"/>
          <w:sz w:val="24"/>
          <w:szCs w:val="24"/>
        </w:rPr>
        <w:t>2.3</w:t>
      </w:r>
      <w:r>
        <w:rPr>
          <w:rFonts w:hint="eastAsia" w:ascii="仿宋" w:hAnsi="仿宋" w:eastAsia="仿宋" w:cs="仿宋"/>
          <w:spacing w:val="-1"/>
          <w:sz w:val="24"/>
          <w:szCs w:val="24"/>
        </w:rPr>
        <w:t>乙方按照甲方提供的人员资料在约定的工作日内办理好相应类型签。</w:t>
      </w:r>
    </w:p>
    <w:p>
      <w:pPr>
        <w:adjustRightInd w:val="0"/>
        <w:snapToGrid w:val="0"/>
        <w:spacing w:line="360" w:lineRule="auto"/>
        <w:ind w:firstLine="440" w:firstLineChars="200"/>
        <w:outlineLvl w:val="1"/>
        <w:rPr>
          <w:rFonts w:ascii="Times New Roman"/>
          <w:spacing w:val="-1"/>
          <w:sz w:val="22"/>
        </w:rPr>
      </w:pPr>
      <w:r>
        <w:rPr>
          <w:rFonts w:ascii="Times New Roman" w:eastAsia="Times New Roman"/>
          <w:color w:val="000000"/>
          <w:sz w:val="22"/>
        </w:rPr>
        <w:t>Pihak Kedua wajib mengurus dan menyelesaikan jenis visa yang sesuai dalam jangka waktu hari kerja yang telah disepakati, berdasarkan data karyawan yang diberikan oleh Pihak Pertama.</w:t>
      </w:r>
    </w:p>
    <w:p>
      <w:pPr>
        <w:tabs>
          <w:tab w:val="left" w:pos="640"/>
        </w:tabs>
        <w:adjustRightInd w:val="0"/>
        <w:snapToGrid w:val="0"/>
        <w:spacing w:line="360" w:lineRule="auto"/>
        <w:ind w:firstLine="485" w:firstLineChars="200"/>
        <w:rPr>
          <w:rFonts w:ascii="Times New Roman"/>
          <w:spacing w:val="-1"/>
          <w:sz w:val="24"/>
          <w:szCs w:val="24"/>
        </w:rPr>
      </w:pPr>
      <w:r>
        <w:rPr>
          <w:rFonts w:hint="eastAsia" w:ascii="仿宋" w:hAnsi="仿宋" w:eastAsia="仿宋" w:cs="仿宋"/>
          <w:b/>
          <w:bCs/>
          <w:spacing w:val="-1"/>
          <w:kern w:val="2"/>
          <w:sz w:val="24"/>
          <w:szCs w:val="24"/>
        </w:rPr>
        <w:t>2.4</w:t>
      </w:r>
      <w:r>
        <w:rPr>
          <w:rFonts w:hint="eastAsia" w:ascii="仿宋" w:hAnsi="仿宋" w:eastAsia="仿宋" w:cs="仿宋"/>
          <w:spacing w:val="-1"/>
          <w:sz w:val="24"/>
          <w:szCs w:val="24"/>
        </w:rPr>
        <w:t>乙方对于甲方提供的员工资料要做好保密工作，除了正常的工作流程提交资料外，不得外泄给他人或其它公司。</w:t>
      </w:r>
    </w:p>
    <w:p>
      <w:pPr>
        <w:tabs>
          <w:tab w:val="left" w:pos="640"/>
        </w:tabs>
        <w:adjustRightInd w:val="0"/>
        <w:snapToGrid w:val="0"/>
        <w:spacing w:line="360" w:lineRule="auto"/>
        <w:ind w:firstLine="440" w:firstLineChars="200"/>
        <w:rPr>
          <w:rFonts w:ascii="Times New Roman"/>
          <w:spacing w:val="-1"/>
          <w:sz w:val="22"/>
        </w:rPr>
      </w:pPr>
      <w:r>
        <w:rPr>
          <w:rFonts w:ascii="Times New Roman" w:eastAsia="Times New Roman"/>
          <w:color w:val="000000"/>
          <w:sz w:val="22"/>
        </w:rPr>
        <w:t>Pihak Kedua wajib menjaga kerahasiaan data karyawan yang diberikan oleh Pihak Pertama. Selain untuk keperluan proses kerja yang normal, data tersebut tidak boleh disebarkan kepada pihak lain atau perusahaan lain.</w:t>
      </w:r>
    </w:p>
    <w:p>
      <w:pPr>
        <w:tabs>
          <w:tab w:val="left" w:pos="640"/>
        </w:tabs>
        <w:adjustRightInd w:val="0"/>
        <w:snapToGrid w:val="0"/>
        <w:ind w:firstLine="476" w:firstLineChars="200"/>
        <w:rPr>
          <w:rFonts w:hint="eastAsia" w:ascii="仿宋" w:hAnsi="仿宋" w:eastAsia="仿宋" w:cs="仿宋"/>
          <w:spacing w:val="-1"/>
          <w:kern w:val="2"/>
          <w:sz w:val="24"/>
          <w:szCs w:val="24"/>
        </w:rPr>
      </w:pPr>
      <w:r>
        <w:rPr>
          <w:rFonts w:hint="eastAsia" w:ascii="仿宋" w:hAnsi="仿宋" w:eastAsia="仿宋" w:cs="仿宋"/>
          <w:spacing w:val="-1"/>
          <w:kern w:val="2"/>
          <w:sz w:val="24"/>
          <w:szCs w:val="24"/>
        </w:rPr>
        <w:t>2.5向当地政府银行缴纳的税费由乙方负责代缴，甲方根据最终发票金额向乙方据实结算。（代缴税费不含技能发展基金DPKK）</w:t>
      </w:r>
    </w:p>
    <w:p>
      <w:pPr>
        <w:keepNext w:val="0"/>
        <w:keepLines w:val="0"/>
        <w:pageBreakBefore w:val="0"/>
        <w:widowControl w:val="0"/>
        <w:tabs>
          <w:tab w:val="left" w:pos="640"/>
        </w:tabs>
        <w:kinsoku/>
        <w:wordWrap/>
        <w:overflowPunct/>
        <w:topLinePunct w:val="0"/>
        <w:autoSpaceDE/>
        <w:autoSpaceDN/>
        <w:bidi w:val="0"/>
        <w:adjustRightInd w:val="0"/>
        <w:snapToGrid w:val="0"/>
        <w:spacing w:line="360" w:lineRule="auto"/>
        <w:ind w:left="0" w:leftChars="0" w:right="0" w:rightChars="0" w:firstLine="440" w:firstLineChars="200"/>
        <w:jc w:val="both"/>
        <w:textAlignment w:val="auto"/>
        <w:outlineLvl w:val="9"/>
        <w:rPr>
          <w:rFonts w:ascii="Times New Roman" w:hAnsi="Times New Roman" w:eastAsia="Times New Roman" w:cs="Times New Roman"/>
          <w:color w:val="000000"/>
          <w:position w:val="-6"/>
          <w:sz w:val="22"/>
          <w:szCs w:val="22"/>
          <w:lang w:val="id-ID" w:eastAsia="zh-CN" w:bidi="ar-SA"/>
        </w:rPr>
      </w:pPr>
      <w:r>
        <w:rPr>
          <w:rFonts w:ascii="Times New Roman" w:hAnsi="Times New Roman" w:eastAsia="Times New Roman" w:cs="Times New Roman"/>
          <w:color w:val="000000"/>
          <w:position w:val="-6"/>
          <w:sz w:val="22"/>
          <w:szCs w:val="22"/>
          <w:lang w:val="en-US" w:eastAsia="zh-CN" w:bidi="ar-SA"/>
        </w:rPr>
        <w:t>Pajak dan biaya yang dibayarkan kepada bank pemerintah setempat menjadi tanggung jawab Pihak Kedua untuk dibayarkan terlebih dahulu, kemudian Pihak Pertama akan melakukan pembayaran kepada Pihak Kedua sesuai jumlah pada faktur akhir (biaya pajak ini tidak termasuk Dana Pengembangan Keahlian/DPKK).</w:t>
      </w:r>
    </w:p>
    <w:p>
      <w:pPr>
        <w:numPr>
          <w:ilvl w:val="0"/>
          <w:numId w:val="2"/>
        </w:numPr>
        <w:spacing w:line="360" w:lineRule="auto"/>
        <w:rPr>
          <w:rFonts w:ascii="Times New Roman" w:eastAsia="仿宋"/>
          <w:bCs/>
          <w:sz w:val="24"/>
          <w:szCs w:val="24"/>
        </w:rPr>
      </w:pPr>
      <w:r>
        <w:rPr>
          <w:rFonts w:ascii="Times New Roman" w:eastAsia="仿宋"/>
          <w:bCs/>
          <w:sz w:val="24"/>
          <w:szCs w:val="24"/>
        </w:rPr>
        <w:t xml:space="preserve">其他要求 </w:t>
      </w:r>
    </w:p>
    <w:p>
      <w:pPr>
        <w:spacing w:line="360" w:lineRule="auto"/>
        <w:rPr>
          <w:rFonts w:ascii="Times New Roman" w:eastAsia="仿宋"/>
          <w:bCs/>
          <w:sz w:val="24"/>
          <w:szCs w:val="24"/>
        </w:rPr>
      </w:pPr>
      <w:r>
        <w:rPr>
          <w:rFonts w:ascii="Times New Roman" w:eastAsia="仿宋"/>
          <w:bCs/>
          <w:sz w:val="24"/>
          <w:szCs w:val="24"/>
        </w:rPr>
        <w:t>三、Persyaratan Lainnya：</w:t>
      </w:r>
    </w:p>
    <w:p>
      <w:pPr>
        <w:tabs>
          <w:tab w:val="left" w:pos="851"/>
        </w:tabs>
        <w:spacing w:line="360" w:lineRule="auto"/>
        <w:ind w:left="411" w:hanging="411"/>
        <w:rPr>
          <w:rFonts w:ascii="Times New Roman" w:eastAsia="仿宋"/>
          <w:bCs/>
          <w:sz w:val="24"/>
          <w:szCs w:val="24"/>
        </w:rPr>
      </w:pPr>
      <w:r>
        <w:rPr>
          <w:rFonts w:ascii="Times New Roman" w:eastAsia="仿宋"/>
          <w:bCs/>
          <w:sz w:val="24"/>
          <w:szCs w:val="24"/>
        </w:rPr>
        <w:t>1、报价要求：分别报出单价，以及总价格，根据供应商报价确定的服务单价在服务有效期内固定不变，各项税费包含在所报价格中代扣代缴税由采购方负责</w:t>
      </w:r>
    </w:p>
    <w:p>
      <w:pPr>
        <w:pStyle w:val="5"/>
        <w:tabs>
          <w:tab w:val="left" w:pos="851"/>
        </w:tabs>
        <w:spacing w:line="360" w:lineRule="auto"/>
        <w:ind w:left="480" w:hanging="480" w:hangingChars="200"/>
        <w:rPr>
          <w:rFonts w:ascii="Times New Roman"/>
          <w:sz w:val="22"/>
        </w:rPr>
      </w:pPr>
      <w:r>
        <w:rPr>
          <w:rFonts w:ascii="Times New Roman" w:eastAsia="仿宋"/>
          <w:sz w:val="24"/>
          <w:szCs w:val="24"/>
        </w:rPr>
        <w:t xml:space="preserve">1、 </w:t>
      </w:r>
      <w:r>
        <w:rPr>
          <w:rFonts w:ascii="Times New Roman" w:eastAsia="Times New Roman"/>
          <w:color w:val="000000"/>
          <w:sz w:val="22"/>
        </w:rPr>
        <w:t>Persyaratan Penawaran: Cantumkan secara terpisah harga satuan dan total harga. Harga layanan yang ditentukan berdasarkan penawaran pemasok akan tetap tetap selama masa berlaku layanan. Semua pajak dan biaya sudah termasuk dalam harga yang ditawarkan, sedangkan pemotongan dan penyetoran pajak akan dilakukan oleh pihak pembeli.</w:t>
      </w:r>
    </w:p>
    <w:p>
      <w:pPr>
        <w:spacing w:line="360" w:lineRule="auto"/>
        <w:rPr>
          <w:rFonts w:ascii="Times New Roman" w:eastAsia="仿宋"/>
          <w:bCs/>
          <w:sz w:val="24"/>
          <w:szCs w:val="24"/>
        </w:rPr>
      </w:pPr>
      <w:r>
        <w:rPr>
          <w:rFonts w:ascii="Times New Roman" w:eastAsia="仿宋"/>
          <w:b/>
          <w:sz w:val="24"/>
          <w:szCs w:val="24"/>
        </w:rPr>
        <w:t xml:space="preserve"> </w:t>
      </w:r>
      <w:r>
        <w:rPr>
          <w:rFonts w:ascii="Times New Roman" w:eastAsia="仿宋"/>
          <w:bCs/>
          <w:sz w:val="24"/>
          <w:szCs w:val="24"/>
        </w:rPr>
        <w:t>2. 本合同为固定单价合同。所有税率按适用税率执行，如遇国家税率调整，不含税总价不变，税率、税费按新的规定执行。</w:t>
      </w:r>
    </w:p>
    <w:p>
      <w:pPr>
        <w:pStyle w:val="5"/>
        <w:adjustRightInd w:val="0"/>
        <w:snapToGrid w:val="0"/>
        <w:spacing w:line="360" w:lineRule="auto"/>
        <w:ind w:left="480" w:hanging="480" w:hangingChars="200"/>
        <w:rPr>
          <w:rFonts w:ascii="Times New Roman" w:eastAsia="仿宋"/>
          <w:sz w:val="22"/>
          <w:szCs w:val="22"/>
        </w:rPr>
      </w:pPr>
      <w:r>
        <w:rPr>
          <w:rFonts w:ascii="Times New Roman" w:eastAsia="仿宋"/>
          <w:sz w:val="24"/>
          <w:szCs w:val="24"/>
        </w:rPr>
        <w:t xml:space="preserve"> </w:t>
      </w:r>
      <w:r>
        <w:rPr>
          <w:rFonts w:ascii="Times New Roman" w:eastAsia="仿宋"/>
          <w:sz w:val="22"/>
          <w:szCs w:val="22"/>
        </w:rPr>
        <w:t>2.Kontrak ini merupakan kontrak harga satuan tetap.Jika tarif pajak nasionaldisesuaikan, total harga tidak termasuk pajak tidak akan berubah, dan tarif pajak serta pajak akan diterapkan sesuai dengan peraturan baru.</w:t>
      </w:r>
      <w:bookmarkStart w:id="2" w:name="_GoBack"/>
      <w:bookmarkEnd w:id="2"/>
    </w:p>
    <w:p>
      <w:pPr>
        <w:spacing w:line="360" w:lineRule="auto"/>
        <w:ind w:left="426" w:hanging="426"/>
        <w:rPr>
          <w:rFonts w:ascii="Times New Roman" w:eastAsia="仿宋"/>
          <w:bCs/>
          <w:sz w:val="24"/>
          <w:szCs w:val="24"/>
        </w:rPr>
      </w:pPr>
      <w:r>
        <w:rPr>
          <w:rFonts w:ascii="Times New Roman" w:eastAsia="仿宋"/>
          <w:bCs/>
          <w:sz w:val="24"/>
          <w:szCs w:val="24"/>
        </w:rPr>
        <w:t xml:space="preserve"> 3. 付款方式：甲方按月或季度支付服务费，双方对详细清单及税务发票核对无误后，甲方在收到乙方正确、合法合规发票后30天内支付本次服务费及向当地政府银行缴纳的税费。</w:t>
      </w:r>
    </w:p>
    <w:p>
      <w:pPr>
        <w:pStyle w:val="5"/>
        <w:spacing w:line="360" w:lineRule="auto"/>
        <w:ind w:left="426" w:hanging="426" w:firstLineChars="0"/>
        <w:rPr>
          <w:rFonts w:ascii="Times New Roman" w:eastAsia="仿宋"/>
          <w:sz w:val="22"/>
        </w:rPr>
      </w:pPr>
      <w:r>
        <w:rPr>
          <w:rFonts w:ascii="Times New Roman" w:eastAsia="仿宋"/>
          <w:sz w:val="24"/>
          <w:szCs w:val="24"/>
        </w:rPr>
        <w:t xml:space="preserve"> 3、</w:t>
      </w:r>
      <w:r>
        <w:rPr>
          <w:rFonts w:ascii="Times New Roman" w:eastAsia="仿宋"/>
          <w:sz w:val="22"/>
        </w:rPr>
        <w:t>M</w:t>
      </w:r>
      <w:r>
        <w:rPr>
          <w:rFonts w:ascii="Times New Roman" w:eastAsia="Times New Roman"/>
          <w:color w:val="000000"/>
          <w:sz w:val="22"/>
        </w:rPr>
        <w:t>etode Pembayaran: Pihak Pertama akan membayar biaya layanan setiap bulan atau setiap kuartal. Setelah kedua belah pihak memverifikasi dan menyetujui rincian daftar serta faktur pajak, Pihak Pertama akan melakukan pembayaran biaya layanan dan pajak yang dibayarkan ke bank pemerintah setempat dalam waktu 30 hari setelah menerima faktur yang benar, sah, dan sesuai ketentuan dari Pihak Kedua.</w:t>
      </w:r>
    </w:p>
    <w:p>
      <w:pPr>
        <w:spacing w:line="360" w:lineRule="auto"/>
        <w:ind w:left="426" w:hanging="426"/>
        <w:rPr>
          <w:rFonts w:ascii="Times New Roman" w:eastAsia="仿宋"/>
          <w:sz w:val="24"/>
          <w:szCs w:val="24"/>
        </w:rPr>
      </w:pPr>
      <w:r>
        <w:rPr>
          <w:rFonts w:ascii="Times New Roman" w:eastAsia="仿宋"/>
          <w:sz w:val="24"/>
          <w:szCs w:val="24"/>
        </w:rPr>
        <w:t xml:space="preserve"> 4. 评审方式：经评审的最低价法。</w:t>
      </w:r>
    </w:p>
    <w:p>
      <w:pPr>
        <w:spacing w:line="360" w:lineRule="auto"/>
        <w:ind w:left="426" w:hanging="426"/>
        <w:rPr>
          <w:rFonts w:ascii="Times New Roman"/>
          <w:sz w:val="24"/>
          <w:szCs w:val="24"/>
        </w:rPr>
      </w:pPr>
      <w:r>
        <w:rPr>
          <w:rFonts w:ascii="Times New Roman"/>
          <w:sz w:val="24"/>
          <w:szCs w:val="24"/>
        </w:rPr>
        <w:t xml:space="preserve"> 4、</w:t>
      </w:r>
      <w:r>
        <w:rPr>
          <w:rFonts w:ascii="Times New Roman" w:eastAsia="仿宋"/>
          <w:sz w:val="24"/>
          <w:szCs w:val="24"/>
        </w:rPr>
        <w:t>Metode evaluasi: metode harga terendah setelah evaluasi.</w:t>
      </w:r>
    </w:p>
    <w:p>
      <w:pPr>
        <w:spacing w:line="360" w:lineRule="auto"/>
        <w:ind w:left="426" w:hanging="426"/>
        <w:rPr>
          <w:rFonts w:ascii="Times New Roman" w:eastAsia="仿宋"/>
          <w:bCs/>
          <w:sz w:val="24"/>
          <w:szCs w:val="24"/>
        </w:rPr>
      </w:pPr>
      <w:r>
        <w:rPr>
          <w:rFonts w:ascii="Times New Roman" w:eastAsia="仿宋"/>
          <w:bCs/>
          <w:sz w:val="24"/>
          <w:szCs w:val="24"/>
        </w:rPr>
        <w:t xml:space="preserve"> 5. 报价截止时间2025年7月2</w:t>
      </w:r>
      <w:r>
        <w:rPr>
          <w:rFonts w:hint="eastAsia" w:ascii="Times New Roman" w:eastAsia="仿宋"/>
          <w:bCs/>
          <w:sz w:val="24"/>
          <w:szCs w:val="24"/>
          <w:lang w:val="en-US" w:eastAsia="zh-CN"/>
        </w:rPr>
        <w:t>2</w:t>
      </w:r>
      <w:r>
        <w:rPr>
          <w:rFonts w:ascii="Times New Roman" w:eastAsia="仿宋"/>
          <w:bCs/>
          <w:sz w:val="24"/>
          <w:szCs w:val="24"/>
        </w:rPr>
        <w:t>日雅加达时间1</w:t>
      </w:r>
      <w:r>
        <w:rPr>
          <w:rFonts w:hint="eastAsia" w:ascii="Times New Roman" w:eastAsia="仿宋"/>
          <w:bCs/>
          <w:sz w:val="24"/>
          <w:szCs w:val="24"/>
          <w:lang w:val="en-US" w:eastAsia="zh-CN"/>
        </w:rPr>
        <w:t>7</w:t>
      </w:r>
      <w:r>
        <w:rPr>
          <w:rFonts w:ascii="Times New Roman" w:eastAsia="仿宋"/>
          <w:bCs/>
          <w:sz w:val="24"/>
          <w:szCs w:val="24"/>
        </w:rPr>
        <w:t>:00前。</w:t>
      </w:r>
    </w:p>
    <w:p>
      <w:pPr>
        <w:spacing w:line="360" w:lineRule="auto"/>
        <w:ind w:left="426" w:hanging="426"/>
        <w:rPr>
          <w:rFonts w:ascii="Times New Roman" w:eastAsia="仿宋"/>
          <w:sz w:val="24"/>
          <w:szCs w:val="24"/>
        </w:rPr>
      </w:pPr>
      <w:r>
        <w:rPr>
          <w:rFonts w:ascii="Times New Roman" w:eastAsia="仿宋"/>
          <w:sz w:val="24"/>
          <w:szCs w:val="24"/>
        </w:rPr>
        <w:t xml:space="preserve"> 5、Penawaran jatuh tempo pada tanggal 2</w:t>
      </w:r>
      <w:r>
        <w:rPr>
          <w:rFonts w:hint="eastAsia" w:ascii="Times New Roman" w:eastAsia="仿宋"/>
          <w:sz w:val="24"/>
          <w:szCs w:val="24"/>
          <w:lang w:val="en-US" w:eastAsia="zh-CN"/>
        </w:rPr>
        <w:t>2</w:t>
      </w:r>
      <w:r>
        <w:rPr>
          <w:rFonts w:ascii="Times New Roman" w:eastAsia="仿宋"/>
          <w:sz w:val="24"/>
          <w:szCs w:val="24"/>
        </w:rPr>
        <w:t xml:space="preserve"> Juli 2025 pukul 1</w:t>
      </w:r>
      <w:r>
        <w:rPr>
          <w:rFonts w:hint="eastAsia" w:ascii="Times New Roman" w:eastAsia="仿宋"/>
          <w:sz w:val="24"/>
          <w:szCs w:val="24"/>
          <w:lang w:val="en-US" w:eastAsia="zh-CN"/>
        </w:rPr>
        <w:t>7：</w:t>
      </w:r>
      <w:r>
        <w:rPr>
          <w:rFonts w:ascii="Times New Roman" w:eastAsia="仿宋"/>
          <w:sz w:val="24"/>
          <w:szCs w:val="24"/>
        </w:rPr>
        <w:t>00 waktu Jakarta.</w:t>
      </w:r>
    </w:p>
    <w:p>
      <w:pPr>
        <w:spacing w:line="360" w:lineRule="auto"/>
        <w:ind w:left="426" w:hanging="426"/>
        <w:rPr>
          <w:rFonts w:ascii="Times New Roman" w:eastAsia="仿宋"/>
          <w:sz w:val="24"/>
          <w:szCs w:val="24"/>
        </w:rPr>
      </w:pPr>
      <w:r>
        <w:rPr>
          <w:rFonts w:ascii="Times New Roman" w:eastAsia="仿宋"/>
          <w:sz w:val="24"/>
          <w:szCs w:val="24"/>
        </w:rPr>
        <w:t xml:space="preserve"> 6.投标文件递交方式：纸版密封或发送到指定邮箱731465071@qq.com。</w:t>
      </w:r>
    </w:p>
    <w:p>
      <w:pPr>
        <w:spacing w:line="360" w:lineRule="auto"/>
        <w:rPr>
          <w:rFonts w:ascii="Times New Roman" w:eastAsia="仿宋"/>
          <w:sz w:val="24"/>
          <w:szCs w:val="24"/>
        </w:rPr>
      </w:pPr>
      <w:r>
        <w:rPr>
          <w:rFonts w:ascii="Times New Roman" w:eastAsia="仿宋"/>
          <w:bCs/>
          <w:sz w:val="24"/>
          <w:szCs w:val="24"/>
        </w:rPr>
        <w:t xml:space="preserve"> </w:t>
      </w:r>
      <w:r>
        <w:rPr>
          <w:rFonts w:ascii="Times New Roman" w:eastAsia="仿宋"/>
          <w:sz w:val="24"/>
          <w:szCs w:val="24"/>
        </w:rPr>
        <w:t>6、Cara penyerahan dokumen penawaran: versi kertas harus disegel atau dikirim ke alamar email yang ditunjuk 731465071@qq.com.</w:t>
      </w:r>
    </w:p>
    <w:p>
      <w:pPr>
        <w:spacing w:line="360" w:lineRule="auto"/>
        <w:ind w:left="426" w:hanging="426"/>
        <w:rPr>
          <w:rFonts w:ascii="Times New Roman" w:eastAsia="仿宋"/>
          <w:bCs/>
          <w:sz w:val="24"/>
          <w:szCs w:val="24"/>
        </w:rPr>
      </w:pPr>
      <w:r>
        <w:rPr>
          <w:rFonts w:ascii="Times New Roman" w:eastAsia="仿宋"/>
          <w:bCs/>
          <w:sz w:val="24"/>
          <w:szCs w:val="24"/>
        </w:rPr>
        <w:t xml:space="preserve"> 7.投标文件递交地点：华电（印尼）玻雅发电公司行政办公楼二楼物资部 </w:t>
      </w:r>
    </w:p>
    <w:p>
      <w:pPr>
        <w:spacing w:line="360" w:lineRule="auto"/>
        <w:ind w:left="426" w:hanging="426"/>
        <w:rPr>
          <w:rFonts w:ascii="Times New Roman"/>
        </w:rPr>
      </w:pPr>
      <w:r>
        <w:rPr>
          <w:rFonts w:ascii="Times New Roman" w:eastAsia="仿宋"/>
          <w:sz w:val="24"/>
          <w:szCs w:val="24"/>
        </w:rPr>
        <w:t xml:space="preserve"> 7、</w:t>
      </w:r>
      <w:r>
        <w:rPr>
          <w:rFonts w:ascii="Times New Roman" w:eastAsia="仿宋"/>
          <w:bCs/>
          <w:sz w:val="24"/>
          <w:szCs w:val="24"/>
        </w:rPr>
        <w:t>Lokasi penyerahan dokumen penawaran: Bagian Material di lantai dua gedung kantor administrasi Perusahaan Pembangkit Listrik SUMSEL-8 (Indonesia)</w:t>
      </w:r>
    </w:p>
    <w:p>
      <w:pPr>
        <w:spacing w:line="360" w:lineRule="auto"/>
        <w:ind w:left="426" w:hanging="426"/>
        <w:rPr>
          <w:rFonts w:ascii="Times New Roman" w:eastAsia="仿宋"/>
          <w:bCs/>
          <w:sz w:val="24"/>
          <w:szCs w:val="24"/>
        </w:rPr>
      </w:pPr>
      <w:r>
        <w:rPr>
          <w:rFonts w:ascii="Times New Roman" w:eastAsia="仿宋"/>
          <w:bCs/>
          <w:sz w:val="24"/>
          <w:szCs w:val="24"/>
        </w:rPr>
        <w:t>四、服务期限</w:t>
      </w:r>
      <w:r>
        <w:rPr>
          <w:rFonts w:ascii="Times New Roman" w:eastAsia="仿宋"/>
          <w:sz w:val="24"/>
          <w:szCs w:val="24"/>
        </w:rPr>
        <w:t>Masa Layanan</w:t>
      </w:r>
      <w:r>
        <w:rPr>
          <w:rFonts w:ascii="Times New Roman" w:eastAsia="仿宋"/>
          <w:bCs/>
          <w:sz w:val="24"/>
          <w:szCs w:val="24"/>
        </w:rPr>
        <w:t>：</w:t>
      </w:r>
    </w:p>
    <w:p>
      <w:pPr>
        <w:widowControl/>
        <w:spacing w:line="360" w:lineRule="auto"/>
        <w:ind w:left="426"/>
        <w:rPr>
          <w:rFonts w:ascii="Times New Roman" w:eastAsia="仿宋"/>
          <w:kern w:val="2"/>
          <w:sz w:val="24"/>
          <w:szCs w:val="24"/>
        </w:rPr>
      </w:pPr>
      <w:r>
        <w:rPr>
          <w:rFonts w:ascii="Times New Roman" w:eastAsia="仿宋"/>
          <w:kern w:val="2"/>
          <w:sz w:val="24"/>
          <w:szCs w:val="24"/>
        </w:rPr>
        <w:t>服务期限12个月，具体时间以合同签订为准。</w:t>
      </w:r>
    </w:p>
    <w:p>
      <w:pPr>
        <w:widowControl/>
        <w:spacing w:line="360" w:lineRule="auto"/>
        <w:ind w:left="426"/>
        <w:rPr>
          <w:rFonts w:ascii="Times New Roman" w:eastAsia="仿宋"/>
          <w:kern w:val="2"/>
          <w:sz w:val="22"/>
        </w:rPr>
      </w:pPr>
      <w:r>
        <w:rPr>
          <w:rFonts w:ascii="Times New Roman" w:eastAsia="Times New Roman"/>
          <w:color w:val="000000"/>
          <w:sz w:val="22"/>
        </w:rPr>
        <w:t>Masa layanan adalah 12 bulan,, dengan waktu pasti mengacu pada tanggal penandatanganan kontrak.</w:t>
      </w:r>
    </w:p>
    <w:p>
      <w:pPr>
        <w:widowControl/>
        <w:spacing w:line="360" w:lineRule="auto"/>
        <w:ind w:left="426" w:hanging="426"/>
        <w:rPr>
          <w:rFonts w:ascii="Times New Roman" w:eastAsia="仿宋"/>
          <w:bCs/>
          <w:sz w:val="24"/>
          <w:szCs w:val="24"/>
        </w:rPr>
      </w:pPr>
      <w:r>
        <w:rPr>
          <w:rFonts w:ascii="Times New Roman" w:eastAsia="仿宋"/>
          <w:bCs/>
          <w:sz w:val="24"/>
          <w:szCs w:val="24"/>
        </w:rPr>
        <w:t>五、印度尼西亚雅加达、南苏门答腊省穆拉埃宁县</w:t>
      </w:r>
      <w:r>
        <w:rPr>
          <w:rFonts w:ascii="Times New Roman" w:eastAsia="仿宋"/>
          <w:sz w:val="24"/>
          <w:szCs w:val="24"/>
        </w:rPr>
        <w:t xml:space="preserve">Tempat Penyerahan Barang </w:t>
      </w:r>
      <w:r>
        <w:rPr>
          <w:rFonts w:ascii="Times New Roman" w:eastAsia="仿宋"/>
          <w:bCs/>
          <w:sz w:val="24"/>
          <w:szCs w:val="24"/>
        </w:rPr>
        <w:t>：</w:t>
      </w:r>
    </w:p>
    <w:p>
      <w:pPr>
        <w:spacing w:line="360" w:lineRule="auto"/>
        <w:ind w:left="426" w:hanging="426"/>
        <w:rPr>
          <w:rFonts w:ascii="Times New Roman" w:eastAsia="仿宋"/>
          <w:bCs/>
          <w:sz w:val="24"/>
          <w:szCs w:val="24"/>
        </w:rPr>
      </w:pPr>
      <w:r>
        <w:rPr>
          <w:rFonts w:ascii="Times New Roman" w:eastAsia="仿宋"/>
          <w:bCs/>
          <w:sz w:val="24"/>
          <w:szCs w:val="24"/>
        </w:rPr>
        <w:t xml:space="preserve">    印度尼西亚MUARA Enim县以南Darmo镇东南约3.5km</w:t>
      </w:r>
    </w:p>
    <w:p>
      <w:pPr>
        <w:spacing w:line="360" w:lineRule="auto"/>
        <w:ind w:left="426" w:hanging="426"/>
        <w:rPr>
          <w:rFonts w:ascii="Times New Roman" w:eastAsia="仿宋"/>
          <w:bCs/>
          <w:sz w:val="24"/>
          <w:szCs w:val="24"/>
        </w:rPr>
      </w:pPr>
      <w:r>
        <w:rPr>
          <w:rFonts w:ascii="Times New Roman" w:eastAsia="仿宋"/>
          <w:bCs/>
          <w:sz w:val="24"/>
          <w:szCs w:val="24"/>
        </w:rPr>
        <w:t xml:space="preserve">   Tempat pengiriman: Sekitar 3,5 km sebelah tenggara kota Darmo, sebelah selatan Kabupaten Muara Enim, Indonesia, di tempat yang ditentukan oleh pembeli untuk bongkar muatan truk. </w:t>
      </w:r>
    </w:p>
    <w:p>
      <w:pPr>
        <w:spacing w:line="360" w:lineRule="auto"/>
        <w:ind w:left="426" w:hanging="426"/>
        <w:rPr>
          <w:rFonts w:ascii="Times New Roman" w:eastAsia="仿宋"/>
          <w:bCs/>
          <w:sz w:val="24"/>
          <w:szCs w:val="24"/>
        </w:rPr>
      </w:pPr>
      <w:r>
        <w:rPr>
          <w:rFonts w:ascii="Times New Roman" w:eastAsia="仿宋"/>
          <w:bCs/>
          <w:sz w:val="24"/>
          <w:szCs w:val="24"/>
        </w:rPr>
        <w:t>六、联系人 Narahubung ： Yu ZaiJun 、 Benita Wj.</w:t>
      </w:r>
    </w:p>
    <w:p>
      <w:pPr>
        <w:spacing w:line="360" w:lineRule="auto"/>
        <w:ind w:left="426" w:hanging="426"/>
        <w:rPr>
          <w:rFonts w:ascii="Times New Roman" w:eastAsia="仿宋"/>
          <w:bCs/>
          <w:sz w:val="24"/>
          <w:szCs w:val="24"/>
        </w:rPr>
      </w:pPr>
      <w:r>
        <w:rPr>
          <w:rFonts w:ascii="Times New Roman" w:eastAsia="仿宋"/>
          <w:bCs/>
          <w:sz w:val="24"/>
          <w:szCs w:val="24"/>
        </w:rPr>
        <w:t xml:space="preserve">七、联系电话 Nomor Telepon： 082177928042 、 085607179214 </w:t>
      </w:r>
    </w:p>
    <w:p>
      <w:pPr>
        <w:pStyle w:val="5"/>
        <w:ind w:firstLine="0" w:firstLineChars="0"/>
        <w:rPr>
          <w:rFonts w:ascii="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tbl>
      <w:tblPr>
        <w:tblStyle w:val="21"/>
        <w:tblpPr w:leftFromText="180" w:rightFromText="180" w:vertAnchor="text" w:horzAnchor="page" w:tblpX="1169" w:tblpY="1002"/>
        <w:tblOverlap w:val="never"/>
        <w:tblW w:w="13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7"/>
        <w:gridCol w:w="2586"/>
        <w:gridCol w:w="1331"/>
        <w:gridCol w:w="2064"/>
        <w:gridCol w:w="2328"/>
        <w:gridCol w:w="2902"/>
        <w:gridCol w:w="2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1" w:hRule="atLeast"/>
        </w:trPr>
        <w:tc>
          <w:tcPr>
            <w:tcW w:w="13988" w:type="dxa"/>
            <w:gridSpan w:val="7"/>
            <w:tcMar>
              <w:top w:w="15" w:type="dxa"/>
              <w:left w:w="15" w:type="dxa"/>
              <w:right w:w="15" w:type="dxa"/>
            </w:tcMar>
            <w:vAlign w:val="center"/>
          </w:tcPr>
          <w:p>
            <w:pPr>
              <w:widowControl/>
              <w:adjustRightInd w:val="0"/>
              <w:snapToGrid w:val="0"/>
              <w:ind w:left="1305" w:hanging="1305" w:hangingChars="400"/>
              <w:jc w:val="center"/>
              <w:textAlignment w:val="center"/>
              <w:rPr>
                <w:rFonts w:ascii="Times New Roman"/>
                <w:sz w:val="21"/>
                <w:szCs w:val="21"/>
                <w:lang w:bidi="ar"/>
              </w:rPr>
            </w:pPr>
            <w:r>
              <w:rPr>
                <w:rFonts w:ascii="Times New Roman"/>
                <w:b/>
                <w:bCs/>
                <w:szCs w:val="32"/>
              </w:rPr>
              <w:t xml:space="preserve">2025年-2026年签证代理服务报价表                                                        </w:t>
            </w:r>
            <w:r>
              <w:rPr>
                <w:rFonts w:ascii="Times New Roman" w:eastAsia="Times New Roman"/>
                <w:color w:val="000000"/>
                <w:sz w:val="27"/>
                <w:szCs w:val="27"/>
              </w:rPr>
              <w:t>Daftar Penawaran Harga Layanan Agen Visa Tahun 2025–2026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96" w:hRule="atLeast"/>
        </w:trPr>
        <w:tc>
          <w:tcPr>
            <w:tcW w:w="547" w:type="dxa"/>
            <w:tcMar>
              <w:top w:w="15" w:type="dxa"/>
              <w:left w:w="15" w:type="dxa"/>
              <w:right w:w="15" w:type="dxa"/>
            </w:tcMar>
            <w:vAlign w:val="center"/>
          </w:tcPr>
          <w:p>
            <w:pPr>
              <w:widowControl/>
              <w:adjustRightInd w:val="0"/>
              <w:snapToGrid w:val="0"/>
              <w:jc w:val="center"/>
              <w:textAlignment w:val="center"/>
              <w:rPr>
                <w:rFonts w:ascii="Times New Roman"/>
                <w:sz w:val="21"/>
                <w:szCs w:val="21"/>
                <w:lang w:val="id-ID" w:bidi="ar"/>
              </w:rPr>
            </w:pPr>
            <w:r>
              <w:rPr>
                <w:rFonts w:ascii="Times New Roman"/>
                <w:sz w:val="21"/>
                <w:szCs w:val="21"/>
                <w:lang w:bidi="ar"/>
              </w:rPr>
              <w:t>序号</w:t>
            </w:r>
            <w:r>
              <w:rPr>
                <w:rFonts w:ascii="Times New Roman"/>
                <w:sz w:val="21"/>
                <w:szCs w:val="21"/>
                <w:lang w:val="id-ID" w:bidi="ar"/>
              </w:rPr>
              <w:t>No</w:t>
            </w:r>
          </w:p>
        </w:tc>
        <w:tc>
          <w:tcPr>
            <w:tcW w:w="2586"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 xml:space="preserve">服务项目         Jenis Layanan </w:t>
            </w:r>
          </w:p>
        </w:tc>
        <w:tc>
          <w:tcPr>
            <w:tcW w:w="1331" w:type="dxa"/>
            <w:tcMar>
              <w:top w:w="15" w:type="dxa"/>
              <w:left w:w="15" w:type="dxa"/>
              <w:right w:w="15" w:type="dxa"/>
            </w:tcMar>
            <w:vAlign w:val="center"/>
          </w:tcPr>
          <w:p>
            <w:pPr>
              <w:widowControl/>
              <w:adjustRightInd w:val="0"/>
              <w:snapToGrid w:val="0"/>
              <w:jc w:val="center"/>
              <w:textAlignment w:val="center"/>
              <w:rPr>
                <w:rFonts w:ascii="Times New Roman"/>
                <w:sz w:val="21"/>
                <w:szCs w:val="21"/>
                <w:lang w:val="id-ID" w:bidi="ar"/>
              </w:rPr>
            </w:pPr>
            <w:r>
              <w:rPr>
                <w:rFonts w:ascii="Times New Roman"/>
                <w:sz w:val="21"/>
                <w:szCs w:val="21"/>
                <w:lang w:bidi="ar"/>
              </w:rPr>
              <w:t>单位</w:t>
            </w:r>
          </w:p>
          <w:p>
            <w:pPr>
              <w:widowControl/>
              <w:adjustRightInd w:val="0"/>
              <w:snapToGrid w:val="0"/>
              <w:jc w:val="center"/>
              <w:textAlignment w:val="center"/>
              <w:rPr>
                <w:rFonts w:ascii="Times New Roman"/>
                <w:sz w:val="21"/>
                <w:szCs w:val="21"/>
                <w:lang w:bidi="ar"/>
              </w:rPr>
            </w:pPr>
            <w:r>
              <w:rPr>
                <w:rFonts w:ascii="Times New Roman"/>
                <w:sz w:val="21"/>
                <w:szCs w:val="21"/>
                <w:lang w:bidi="ar"/>
              </w:rPr>
              <w:t xml:space="preserve">Satuan </w:t>
            </w:r>
          </w:p>
        </w:tc>
        <w:tc>
          <w:tcPr>
            <w:tcW w:w="2064"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预估数量Jumlah estimasi</w:t>
            </w:r>
          </w:p>
          <w:p>
            <w:pPr>
              <w:widowControl/>
              <w:adjustRightInd w:val="0"/>
              <w:snapToGrid w:val="0"/>
              <w:jc w:val="center"/>
              <w:textAlignment w:val="center"/>
              <w:rPr>
                <w:rFonts w:ascii="Times New Roman"/>
                <w:sz w:val="21"/>
                <w:szCs w:val="21"/>
                <w:lang w:bidi="ar"/>
              </w:rPr>
            </w:pPr>
          </w:p>
        </w:tc>
        <w:tc>
          <w:tcPr>
            <w:tcW w:w="2328"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服务费固定单价（IDR）Harga satuan tetap untuk biaya layanan</w:t>
            </w:r>
          </w:p>
        </w:tc>
        <w:tc>
          <w:tcPr>
            <w:tcW w:w="2902"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服务费总价（IDR)                      Total biaya layanan</w:t>
            </w:r>
          </w:p>
        </w:tc>
        <w:tc>
          <w:tcPr>
            <w:tcW w:w="2230" w:type="dxa"/>
            <w:tcMar>
              <w:top w:w="15" w:type="dxa"/>
              <w:left w:w="15" w:type="dxa"/>
              <w:right w:w="15" w:type="dxa"/>
            </w:tcMar>
            <w:vAlign w:val="center"/>
          </w:tcPr>
          <w:p>
            <w:pPr>
              <w:widowControl/>
              <w:adjustRightInd w:val="0"/>
              <w:snapToGrid w:val="0"/>
              <w:jc w:val="center"/>
              <w:textAlignment w:val="center"/>
              <w:rPr>
                <w:rFonts w:ascii="Times New Roman"/>
                <w:sz w:val="21"/>
                <w:szCs w:val="21"/>
                <w:lang w:val="id-ID" w:bidi="ar"/>
              </w:rPr>
            </w:pPr>
            <w:r>
              <w:rPr>
                <w:rFonts w:ascii="Times New Roman"/>
                <w:sz w:val="21"/>
                <w:szCs w:val="21"/>
                <w:lang w:bidi="ar"/>
              </w:rPr>
              <w:t>备注</w:t>
            </w:r>
            <w:r>
              <w:rPr>
                <w:rFonts w:ascii="Times New Roman"/>
                <w:sz w:val="21"/>
                <w:szCs w:val="21"/>
                <w:lang w:val="id-ID" w:bidi="ar"/>
              </w:rPr>
              <w:t xml:space="preserve">Keterangan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0" w:hRule="atLeast"/>
        </w:trPr>
        <w:tc>
          <w:tcPr>
            <w:tcW w:w="547"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1</w:t>
            </w:r>
          </w:p>
        </w:tc>
        <w:tc>
          <w:tcPr>
            <w:tcW w:w="2586" w:type="dxa"/>
            <w:tcMar>
              <w:top w:w="15" w:type="dxa"/>
              <w:left w:w="15" w:type="dxa"/>
              <w:right w:w="15" w:type="dxa"/>
            </w:tcMar>
            <w:vAlign w:val="center"/>
          </w:tcPr>
          <w:p>
            <w:pPr>
              <w:widowControl/>
              <w:adjustRightInd w:val="0"/>
              <w:snapToGrid w:val="0"/>
              <w:jc w:val="center"/>
              <w:textAlignment w:val="center"/>
              <w:rPr>
                <w:rFonts w:ascii="Times New Roman"/>
                <w:sz w:val="21"/>
                <w:szCs w:val="21"/>
                <w:lang w:val="id-ID" w:bidi="ar"/>
              </w:rPr>
            </w:pPr>
            <w:r>
              <w:rPr>
                <w:rFonts w:ascii="Times New Roman"/>
                <w:sz w:val="21"/>
                <w:szCs w:val="21"/>
                <w:lang w:bidi="ar"/>
              </w:rPr>
              <w:t>一年期工作签证</w:t>
            </w:r>
          </w:p>
          <w:p>
            <w:pPr>
              <w:widowControl/>
              <w:adjustRightInd w:val="0"/>
              <w:snapToGrid w:val="0"/>
              <w:jc w:val="center"/>
              <w:textAlignment w:val="center"/>
              <w:rPr>
                <w:rFonts w:ascii="Times New Roman"/>
                <w:sz w:val="21"/>
                <w:szCs w:val="21"/>
                <w:lang w:bidi="ar"/>
              </w:rPr>
            </w:pPr>
            <w:r>
              <w:rPr>
                <w:rFonts w:ascii="Times New Roman"/>
                <w:sz w:val="21"/>
                <w:szCs w:val="21"/>
                <w:lang w:bidi="ar"/>
              </w:rPr>
              <w:t>Visa kerja satu tahun</w:t>
            </w:r>
          </w:p>
        </w:tc>
        <w:tc>
          <w:tcPr>
            <w:tcW w:w="1331"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人次/Orang-Kali</w:t>
            </w:r>
          </w:p>
        </w:tc>
        <w:tc>
          <w:tcPr>
            <w:tcW w:w="2064"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170</w:t>
            </w:r>
          </w:p>
        </w:tc>
        <w:tc>
          <w:tcPr>
            <w:tcW w:w="2328"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p>
        </w:tc>
        <w:tc>
          <w:tcPr>
            <w:tcW w:w="2902"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p>
        </w:tc>
        <w:tc>
          <w:tcPr>
            <w:tcW w:w="2230" w:type="dxa"/>
            <w:vMerge w:val="restart"/>
            <w:tcMar>
              <w:top w:w="15" w:type="dxa"/>
              <w:left w:w="15" w:type="dxa"/>
              <w:right w:w="15" w:type="dxa"/>
            </w:tcMar>
            <w:vAlign w:val="center"/>
          </w:tcPr>
          <w:p>
            <w:pPr>
              <w:widowControl/>
              <w:adjustRightInd w:val="0"/>
              <w:snapToGrid w:val="0"/>
              <w:jc w:val="center"/>
              <w:textAlignment w:val="center"/>
              <w:rPr>
                <w:rFonts w:asci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547"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2</w:t>
            </w:r>
          </w:p>
        </w:tc>
        <w:tc>
          <w:tcPr>
            <w:tcW w:w="2586"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lang w:val="id-ID"/>
              </w:rPr>
            </w:pPr>
            <w:r>
              <w:rPr>
                <w:rFonts w:ascii="Times New Roman"/>
                <w:kern w:val="2"/>
                <w:sz w:val="21"/>
                <w:szCs w:val="21"/>
              </w:rPr>
              <w:t>半年期工作签证</w:t>
            </w:r>
          </w:p>
          <w:p>
            <w:pPr>
              <w:widowControl/>
              <w:adjustRightInd w:val="0"/>
              <w:snapToGrid w:val="0"/>
              <w:jc w:val="center"/>
              <w:textAlignment w:val="center"/>
              <w:rPr>
                <w:rFonts w:ascii="Times New Roman"/>
                <w:kern w:val="2"/>
                <w:sz w:val="21"/>
                <w:szCs w:val="21"/>
              </w:rPr>
            </w:pPr>
            <w:r>
              <w:rPr>
                <w:rFonts w:ascii="Times New Roman"/>
                <w:sz w:val="21"/>
                <w:szCs w:val="21"/>
                <w:lang w:bidi="ar"/>
              </w:rPr>
              <w:t>Visa kerja setengah tahun</w:t>
            </w:r>
          </w:p>
        </w:tc>
        <w:tc>
          <w:tcPr>
            <w:tcW w:w="1331"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人次/</w:t>
            </w:r>
            <w:r>
              <w:rPr>
                <w:rFonts w:ascii="Times New Roman"/>
                <w:sz w:val="21"/>
                <w:szCs w:val="21"/>
                <w:lang w:bidi="ar"/>
              </w:rPr>
              <w:t xml:space="preserve"> Orang-Kali</w:t>
            </w:r>
          </w:p>
        </w:tc>
        <w:tc>
          <w:tcPr>
            <w:tcW w:w="2064"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30</w:t>
            </w:r>
          </w:p>
        </w:tc>
        <w:tc>
          <w:tcPr>
            <w:tcW w:w="2328"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902"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230" w:type="dxa"/>
            <w:vMerge w:val="continue"/>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4" w:hRule="atLeast"/>
        </w:trPr>
        <w:tc>
          <w:tcPr>
            <w:tcW w:w="547"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3</w:t>
            </w:r>
          </w:p>
        </w:tc>
        <w:tc>
          <w:tcPr>
            <w:tcW w:w="2586"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商务签证Visa bisnis</w:t>
            </w:r>
          </w:p>
        </w:tc>
        <w:tc>
          <w:tcPr>
            <w:tcW w:w="1331"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人次/Orang-Kali</w:t>
            </w:r>
          </w:p>
        </w:tc>
        <w:tc>
          <w:tcPr>
            <w:tcW w:w="2064"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50</w:t>
            </w:r>
          </w:p>
        </w:tc>
        <w:tc>
          <w:tcPr>
            <w:tcW w:w="2328"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902"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230" w:type="dxa"/>
            <w:vMerge w:val="continue"/>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6" w:hRule="atLeast"/>
        </w:trPr>
        <w:tc>
          <w:tcPr>
            <w:tcW w:w="547"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4</w:t>
            </w:r>
          </w:p>
        </w:tc>
        <w:tc>
          <w:tcPr>
            <w:tcW w:w="2586"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注销工作签Hapus visa kerja</w:t>
            </w:r>
          </w:p>
        </w:tc>
        <w:tc>
          <w:tcPr>
            <w:tcW w:w="1331"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kern w:val="2"/>
                <w:sz w:val="21"/>
                <w:szCs w:val="21"/>
              </w:rPr>
              <w:t>人次/ Orang-Kali</w:t>
            </w:r>
          </w:p>
        </w:tc>
        <w:tc>
          <w:tcPr>
            <w:tcW w:w="2064"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100</w:t>
            </w:r>
          </w:p>
        </w:tc>
        <w:tc>
          <w:tcPr>
            <w:tcW w:w="2328"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902"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230" w:type="dxa"/>
            <w:vMerge w:val="continue"/>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71" w:hRule="atLeast"/>
        </w:trPr>
        <w:tc>
          <w:tcPr>
            <w:tcW w:w="547" w:type="dxa"/>
            <w:tcMar>
              <w:top w:w="15" w:type="dxa"/>
              <w:left w:w="15" w:type="dxa"/>
              <w:right w:w="15" w:type="dxa"/>
            </w:tcMar>
            <w:vAlign w:val="center"/>
          </w:tcPr>
          <w:p>
            <w:pPr>
              <w:widowControl/>
              <w:adjustRightInd w:val="0"/>
              <w:snapToGrid w:val="0"/>
              <w:jc w:val="center"/>
              <w:textAlignment w:val="center"/>
              <w:rPr>
                <w:rFonts w:ascii="Times New Roman"/>
                <w:kern w:val="2"/>
                <w:sz w:val="21"/>
                <w:szCs w:val="21"/>
              </w:rPr>
            </w:pPr>
            <w:r>
              <w:rPr>
                <w:rFonts w:ascii="Times New Roman"/>
                <w:kern w:val="2"/>
                <w:sz w:val="21"/>
                <w:szCs w:val="21"/>
              </w:rPr>
              <w:t>5</w:t>
            </w:r>
          </w:p>
        </w:tc>
        <w:tc>
          <w:tcPr>
            <w:tcW w:w="2586"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sz w:val="21"/>
                <w:szCs w:val="21"/>
                <w:lang w:bidi="ar"/>
              </w:rPr>
              <w:t>商务签证转工作签证Visa bisnis untuk visa kerja</w:t>
            </w:r>
          </w:p>
        </w:tc>
        <w:tc>
          <w:tcPr>
            <w:tcW w:w="1331" w:type="dxa"/>
            <w:tcMar>
              <w:top w:w="15" w:type="dxa"/>
              <w:left w:w="15" w:type="dxa"/>
              <w:right w:w="15" w:type="dxa"/>
            </w:tcMar>
            <w:vAlign w:val="center"/>
          </w:tcPr>
          <w:p>
            <w:pPr>
              <w:widowControl/>
              <w:adjustRightInd w:val="0"/>
              <w:snapToGrid w:val="0"/>
              <w:jc w:val="center"/>
              <w:textAlignment w:val="center"/>
              <w:rPr>
                <w:rFonts w:ascii="Times New Roman"/>
                <w:sz w:val="21"/>
                <w:szCs w:val="21"/>
                <w:lang w:bidi="ar"/>
              </w:rPr>
            </w:pPr>
            <w:r>
              <w:rPr>
                <w:rFonts w:ascii="Times New Roman"/>
                <w:kern w:val="2"/>
                <w:sz w:val="21"/>
                <w:szCs w:val="21"/>
              </w:rPr>
              <w:t>人次/Orang-Kali</w:t>
            </w:r>
          </w:p>
        </w:tc>
        <w:tc>
          <w:tcPr>
            <w:tcW w:w="2064"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50</w:t>
            </w:r>
          </w:p>
        </w:tc>
        <w:tc>
          <w:tcPr>
            <w:tcW w:w="2328"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902" w:type="dxa"/>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c>
          <w:tcPr>
            <w:tcW w:w="2230" w:type="dxa"/>
            <w:vMerge w:val="continue"/>
            <w:tcMar>
              <w:top w:w="15" w:type="dxa"/>
              <w:left w:w="15" w:type="dxa"/>
              <w:right w:w="15" w:type="dxa"/>
            </w:tcMar>
            <w:vAlign w:val="center"/>
          </w:tcPr>
          <w:p>
            <w:pPr>
              <w:widowControl/>
              <w:adjustRightInd w:val="0"/>
              <w:snapToGrid w:val="0"/>
              <w:jc w:val="center"/>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9" w:hRule="atLeast"/>
        </w:trPr>
        <w:tc>
          <w:tcPr>
            <w:tcW w:w="8856" w:type="dxa"/>
            <w:gridSpan w:val="5"/>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小计(Subtatal)：</w:t>
            </w:r>
          </w:p>
        </w:tc>
        <w:tc>
          <w:tcPr>
            <w:tcW w:w="2902" w:type="dxa"/>
            <w:tcMar>
              <w:top w:w="15" w:type="dxa"/>
              <w:left w:w="15" w:type="dxa"/>
              <w:right w:w="15" w:type="dxa"/>
            </w:tcMar>
            <w:vAlign w:val="center"/>
          </w:tcPr>
          <w:p>
            <w:pPr>
              <w:widowControl/>
              <w:adjustRightInd w:val="0"/>
              <w:snapToGrid w:val="0"/>
              <w:textAlignment w:val="center"/>
              <w:rPr>
                <w:rFonts w:ascii="Times New Roman"/>
                <w:sz w:val="21"/>
                <w:szCs w:val="21"/>
              </w:rPr>
            </w:pPr>
          </w:p>
        </w:tc>
        <w:tc>
          <w:tcPr>
            <w:tcW w:w="2230" w:type="dxa"/>
            <w:tcMar>
              <w:top w:w="15" w:type="dxa"/>
              <w:left w:w="15" w:type="dxa"/>
              <w:right w:w="15" w:type="dxa"/>
            </w:tcMar>
            <w:vAlign w:val="center"/>
          </w:tcPr>
          <w:p>
            <w:pPr>
              <w:widowControl/>
              <w:adjustRightInd w:val="0"/>
              <w:snapToGrid w:val="0"/>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9" w:hRule="atLeast"/>
        </w:trPr>
        <w:tc>
          <w:tcPr>
            <w:tcW w:w="8856" w:type="dxa"/>
            <w:gridSpan w:val="5"/>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DPP</w:t>
            </w:r>
          </w:p>
        </w:tc>
        <w:tc>
          <w:tcPr>
            <w:tcW w:w="2902" w:type="dxa"/>
            <w:tcMar>
              <w:top w:w="15" w:type="dxa"/>
              <w:left w:w="15" w:type="dxa"/>
              <w:right w:w="15" w:type="dxa"/>
            </w:tcMar>
            <w:vAlign w:val="center"/>
          </w:tcPr>
          <w:p>
            <w:pPr>
              <w:widowControl/>
              <w:adjustRightInd w:val="0"/>
              <w:snapToGrid w:val="0"/>
              <w:textAlignment w:val="center"/>
              <w:rPr>
                <w:rFonts w:ascii="Times New Roman"/>
                <w:sz w:val="21"/>
                <w:szCs w:val="21"/>
              </w:rPr>
            </w:pPr>
          </w:p>
        </w:tc>
        <w:tc>
          <w:tcPr>
            <w:tcW w:w="2230" w:type="dxa"/>
            <w:tcMar>
              <w:top w:w="15" w:type="dxa"/>
              <w:left w:w="15" w:type="dxa"/>
              <w:right w:w="15" w:type="dxa"/>
            </w:tcMar>
            <w:vAlign w:val="center"/>
          </w:tcPr>
          <w:p>
            <w:pPr>
              <w:widowControl/>
              <w:adjustRightInd w:val="0"/>
              <w:snapToGrid w:val="0"/>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9" w:hRule="atLeast"/>
        </w:trPr>
        <w:tc>
          <w:tcPr>
            <w:tcW w:w="8856" w:type="dxa"/>
            <w:gridSpan w:val="5"/>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PPN12%</w:t>
            </w:r>
          </w:p>
        </w:tc>
        <w:tc>
          <w:tcPr>
            <w:tcW w:w="2902" w:type="dxa"/>
            <w:tcMar>
              <w:top w:w="15" w:type="dxa"/>
              <w:left w:w="15" w:type="dxa"/>
              <w:right w:w="15" w:type="dxa"/>
            </w:tcMar>
            <w:vAlign w:val="center"/>
          </w:tcPr>
          <w:p>
            <w:pPr>
              <w:widowControl/>
              <w:adjustRightInd w:val="0"/>
              <w:snapToGrid w:val="0"/>
              <w:textAlignment w:val="center"/>
              <w:rPr>
                <w:rFonts w:ascii="Times New Roman"/>
                <w:sz w:val="21"/>
                <w:szCs w:val="21"/>
              </w:rPr>
            </w:pPr>
          </w:p>
        </w:tc>
        <w:tc>
          <w:tcPr>
            <w:tcW w:w="2230" w:type="dxa"/>
            <w:tcMar>
              <w:top w:w="15" w:type="dxa"/>
              <w:left w:w="15" w:type="dxa"/>
              <w:right w:w="15" w:type="dxa"/>
            </w:tcMar>
            <w:vAlign w:val="center"/>
          </w:tcPr>
          <w:p>
            <w:pPr>
              <w:widowControl/>
              <w:adjustRightInd w:val="0"/>
              <w:snapToGrid w:val="0"/>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9" w:hRule="atLeast"/>
        </w:trPr>
        <w:tc>
          <w:tcPr>
            <w:tcW w:w="8856" w:type="dxa"/>
            <w:gridSpan w:val="5"/>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PPH23%</w:t>
            </w:r>
          </w:p>
        </w:tc>
        <w:tc>
          <w:tcPr>
            <w:tcW w:w="2902" w:type="dxa"/>
            <w:tcMar>
              <w:top w:w="15" w:type="dxa"/>
              <w:left w:w="15" w:type="dxa"/>
              <w:right w:w="15" w:type="dxa"/>
            </w:tcMar>
            <w:vAlign w:val="center"/>
          </w:tcPr>
          <w:p>
            <w:pPr>
              <w:widowControl/>
              <w:adjustRightInd w:val="0"/>
              <w:snapToGrid w:val="0"/>
              <w:textAlignment w:val="center"/>
              <w:rPr>
                <w:rFonts w:ascii="Times New Roman"/>
                <w:sz w:val="21"/>
                <w:szCs w:val="21"/>
              </w:rPr>
            </w:pPr>
          </w:p>
        </w:tc>
        <w:tc>
          <w:tcPr>
            <w:tcW w:w="2230" w:type="dxa"/>
            <w:tcMar>
              <w:top w:w="15" w:type="dxa"/>
              <w:left w:w="15" w:type="dxa"/>
              <w:right w:w="15" w:type="dxa"/>
            </w:tcMar>
            <w:vAlign w:val="center"/>
          </w:tcPr>
          <w:p>
            <w:pPr>
              <w:widowControl/>
              <w:adjustRightInd w:val="0"/>
              <w:snapToGrid w:val="0"/>
              <w:textAlignment w:val="center"/>
              <w:rPr>
                <w:rFonts w:asci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9" w:hRule="atLeast"/>
        </w:trPr>
        <w:tc>
          <w:tcPr>
            <w:tcW w:w="8856" w:type="dxa"/>
            <w:gridSpan w:val="5"/>
            <w:tcMar>
              <w:top w:w="15" w:type="dxa"/>
              <w:left w:w="15" w:type="dxa"/>
              <w:right w:w="15" w:type="dxa"/>
            </w:tcMar>
            <w:vAlign w:val="center"/>
          </w:tcPr>
          <w:p>
            <w:pPr>
              <w:widowControl/>
              <w:adjustRightInd w:val="0"/>
              <w:snapToGrid w:val="0"/>
              <w:jc w:val="center"/>
              <w:textAlignment w:val="center"/>
              <w:rPr>
                <w:rFonts w:ascii="Times New Roman"/>
                <w:sz w:val="21"/>
                <w:szCs w:val="21"/>
              </w:rPr>
            </w:pPr>
            <w:r>
              <w:rPr>
                <w:rFonts w:ascii="Times New Roman"/>
                <w:sz w:val="21"/>
                <w:szCs w:val="21"/>
              </w:rPr>
              <w:t>总计（TOTAL）：</w:t>
            </w:r>
          </w:p>
        </w:tc>
        <w:tc>
          <w:tcPr>
            <w:tcW w:w="2902" w:type="dxa"/>
            <w:tcMar>
              <w:top w:w="15" w:type="dxa"/>
              <w:left w:w="15" w:type="dxa"/>
              <w:right w:w="15" w:type="dxa"/>
            </w:tcMar>
            <w:vAlign w:val="center"/>
          </w:tcPr>
          <w:p>
            <w:pPr>
              <w:widowControl/>
              <w:adjustRightInd w:val="0"/>
              <w:snapToGrid w:val="0"/>
              <w:textAlignment w:val="center"/>
              <w:rPr>
                <w:rFonts w:ascii="Times New Roman"/>
                <w:sz w:val="21"/>
                <w:szCs w:val="21"/>
              </w:rPr>
            </w:pPr>
          </w:p>
        </w:tc>
        <w:tc>
          <w:tcPr>
            <w:tcW w:w="2230" w:type="dxa"/>
            <w:tcMar>
              <w:top w:w="15" w:type="dxa"/>
              <w:left w:w="15" w:type="dxa"/>
              <w:right w:w="15" w:type="dxa"/>
            </w:tcMar>
            <w:vAlign w:val="center"/>
          </w:tcPr>
          <w:p>
            <w:pPr>
              <w:widowControl/>
              <w:adjustRightInd w:val="0"/>
              <w:snapToGrid w:val="0"/>
              <w:textAlignment w:val="center"/>
              <w:rPr>
                <w:rFonts w:ascii="Times New Roman"/>
                <w:sz w:val="21"/>
                <w:szCs w:val="21"/>
              </w:rPr>
            </w:pPr>
          </w:p>
        </w:tc>
      </w:tr>
    </w:tbl>
    <w:p>
      <w:pPr>
        <w:rPr>
          <w:rFonts w:ascii="Times New Roman"/>
        </w:rPr>
      </w:pPr>
    </w:p>
    <w:p>
      <w:pPr>
        <w:pStyle w:val="5"/>
        <w:ind w:firstLine="0" w:firstLineChars="0"/>
        <w:rPr>
          <w:rFonts w:ascii="Times New Roman"/>
          <w:b/>
          <w:bCs/>
          <w:sz w:val="24"/>
          <w:szCs w:val="24"/>
        </w:rPr>
      </w:pPr>
    </w:p>
    <w:sectPr>
      <w:pgSz w:w="16838" w:h="11906" w:orient="landscape"/>
      <w:pgMar w:top="1803" w:right="1440" w:bottom="1803" w:left="1440" w:header="851" w:footer="992" w:gutter="0"/>
      <w:cols w:space="720" w:num="1"/>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lang w:val="zh-CN"/>
      </w:rPr>
      <w:t>20</w:t>
    </w:r>
    <w: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wordWrap w:val="0"/>
      <w:ind w:right="241"/>
      <w:jc w:val="right"/>
      <w:rPr>
        <w:rFonts w:hint="eastAsia" w:ascii="Arial" w:hAnsi="Arial" w:cs="Arial"/>
        <w:b/>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F3"/>
    <w:multiLevelType w:val="singleLevel"/>
    <w:tmpl w:val="00A444F3"/>
    <w:lvl w:ilvl="0" w:tentative="0">
      <w:start w:val="1"/>
      <w:numFmt w:val="lowerLetter"/>
      <w:lvlText w:val="(%1)"/>
      <w:lvlJc w:val="left"/>
      <w:pPr>
        <w:tabs>
          <w:tab w:val="left" w:pos="635"/>
        </w:tabs>
        <w:ind w:left="635" w:hanging="465"/>
      </w:pPr>
      <w:rPr>
        <w:rFonts w:hint="default"/>
      </w:rPr>
    </w:lvl>
  </w:abstractNum>
  <w:abstractNum w:abstractNumId="1">
    <w:nsid w:val="5D8436D8"/>
    <w:multiLevelType w:val="singleLevel"/>
    <w:tmpl w:val="5D8436D8"/>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0"/>
  <w:drawingGridVerticalSpacing w:val="218"/>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00172A27"/>
    <w:rsid w:val="0008231C"/>
    <w:rsid w:val="00085B84"/>
    <w:rsid w:val="000945B3"/>
    <w:rsid w:val="000B0B47"/>
    <w:rsid w:val="000B4503"/>
    <w:rsid w:val="000E420D"/>
    <w:rsid w:val="000F08BC"/>
    <w:rsid w:val="00110C2E"/>
    <w:rsid w:val="001360B5"/>
    <w:rsid w:val="00186E5E"/>
    <w:rsid w:val="001C0F84"/>
    <w:rsid w:val="001E30AC"/>
    <w:rsid w:val="001E413B"/>
    <w:rsid w:val="001E7CD0"/>
    <w:rsid w:val="00211654"/>
    <w:rsid w:val="00227342"/>
    <w:rsid w:val="002379D9"/>
    <w:rsid w:val="003116F0"/>
    <w:rsid w:val="00397438"/>
    <w:rsid w:val="003A5B06"/>
    <w:rsid w:val="003D6AF0"/>
    <w:rsid w:val="004D419D"/>
    <w:rsid w:val="004D6796"/>
    <w:rsid w:val="005F261D"/>
    <w:rsid w:val="0064457E"/>
    <w:rsid w:val="00692669"/>
    <w:rsid w:val="006A7689"/>
    <w:rsid w:val="006F4698"/>
    <w:rsid w:val="006F5122"/>
    <w:rsid w:val="00774CFC"/>
    <w:rsid w:val="00782411"/>
    <w:rsid w:val="007C69B2"/>
    <w:rsid w:val="007C74C7"/>
    <w:rsid w:val="007C7D97"/>
    <w:rsid w:val="007F49B7"/>
    <w:rsid w:val="00873DAC"/>
    <w:rsid w:val="008B1911"/>
    <w:rsid w:val="008E6F22"/>
    <w:rsid w:val="008F11E2"/>
    <w:rsid w:val="00927FCB"/>
    <w:rsid w:val="00985EB8"/>
    <w:rsid w:val="009B2D28"/>
    <w:rsid w:val="00A04A2C"/>
    <w:rsid w:val="00A60507"/>
    <w:rsid w:val="00A769CB"/>
    <w:rsid w:val="00AA2A45"/>
    <w:rsid w:val="00AB3EE5"/>
    <w:rsid w:val="00B54A50"/>
    <w:rsid w:val="00B620E1"/>
    <w:rsid w:val="00B6287D"/>
    <w:rsid w:val="00BA0562"/>
    <w:rsid w:val="00D25972"/>
    <w:rsid w:val="00D3489F"/>
    <w:rsid w:val="00DB5312"/>
    <w:rsid w:val="00E478A7"/>
    <w:rsid w:val="00E656CC"/>
    <w:rsid w:val="00F10654"/>
    <w:rsid w:val="00F81832"/>
    <w:rsid w:val="00F83AD5"/>
    <w:rsid w:val="00FD6424"/>
    <w:rsid w:val="01791428"/>
    <w:rsid w:val="01EC6E48"/>
    <w:rsid w:val="025C5328"/>
    <w:rsid w:val="02FF1593"/>
    <w:rsid w:val="03085D5F"/>
    <w:rsid w:val="030918B2"/>
    <w:rsid w:val="0336798E"/>
    <w:rsid w:val="034011C1"/>
    <w:rsid w:val="035C0186"/>
    <w:rsid w:val="03D42E2E"/>
    <w:rsid w:val="03E3226F"/>
    <w:rsid w:val="03F85E2D"/>
    <w:rsid w:val="04266092"/>
    <w:rsid w:val="04365B61"/>
    <w:rsid w:val="04452C9B"/>
    <w:rsid w:val="04650D62"/>
    <w:rsid w:val="04695151"/>
    <w:rsid w:val="04A41191"/>
    <w:rsid w:val="04C6777F"/>
    <w:rsid w:val="04CA21BE"/>
    <w:rsid w:val="04E46248"/>
    <w:rsid w:val="053A6C85"/>
    <w:rsid w:val="054C3F99"/>
    <w:rsid w:val="059238A6"/>
    <w:rsid w:val="063C7053"/>
    <w:rsid w:val="065009C7"/>
    <w:rsid w:val="06863289"/>
    <w:rsid w:val="06925505"/>
    <w:rsid w:val="06F77D62"/>
    <w:rsid w:val="06F87785"/>
    <w:rsid w:val="074B6C90"/>
    <w:rsid w:val="07A47096"/>
    <w:rsid w:val="07FF4484"/>
    <w:rsid w:val="080021AC"/>
    <w:rsid w:val="082A0972"/>
    <w:rsid w:val="08B35C74"/>
    <w:rsid w:val="09194F71"/>
    <w:rsid w:val="09304618"/>
    <w:rsid w:val="09631F63"/>
    <w:rsid w:val="09BD20DC"/>
    <w:rsid w:val="09CC4599"/>
    <w:rsid w:val="09E244F6"/>
    <w:rsid w:val="0AAE502F"/>
    <w:rsid w:val="0AAF64D0"/>
    <w:rsid w:val="0AC07BC7"/>
    <w:rsid w:val="0AEB45D7"/>
    <w:rsid w:val="0AED0BAC"/>
    <w:rsid w:val="0B3244BD"/>
    <w:rsid w:val="0BCC7AAD"/>
    <w:rsid w:val="0C2A2D95"/>
    <w:rsid w:val="0CD86D0A"/>
    <w:rsid w:val="0D1D5ACE"/>
    <w:rsid w:val="0D8E1B47"/>
    <w:rsid w:val="0DB263FA"/>
    <w:rsid w:val="0DD57231"/>
    <w:rsid w:val="0E080FD1"/>
    <w:rsid w:val="0E465A0B"/>
    <w:rsid w:val="0E8E3391"/>
    <w:rsid w:val="0E992C4A"/>
    <w:rsid w:val="0EA44B8E"/>
    <w:rsid w:val="0EC706CE"/>
    <w:rsid w:val="0F0804E7"/>
    <w:rsid w:val="0F25005E"/>
    <w:rsid w:val="0F341CF7"/>
    <w:rsid w:val="0F565DAA"/>
    <w:rsid w:val="0FA70FD0"/>
    <w:rsid w:val="0FD51E58"/>
    <w:rsid w:val="0FD56086"/>
    <w:rsid w:val="101C66B3"/>
    <w:rsid w:val="10757CA2"/>
    <w:rsid w:val="109525A4"/>
    <w:rsid w:val="118A7335"/>
    <w:rsid w:val="11AF59E2"/>
    <w:rsid w:val="11C85EF4"/>
    <w:rsid w:val="11EE3024"/>
    <w:rsid w:val="123023EC"/>
    <w:rsid w:val="1237232C"/>
    <w:rsid w:val="123D1ACD"/>
    <w:rsid w:val="12634E7C"/>
    <w:rsid w:val="127D3F85"/>
    <w:rsid w:val="12D9234D"/>
    <w:rsid w:val="131751F9"/>
    <w:rsid w:val="13557499"/>
    <w:rsid w:val="137F15CD"/>
    <w:rsid w:val="138052E0"/>
    <w:rsid w:val="14415ACF"/>
    <w:rsid w:val="14AC683B"/>
    <w:rsid w:val="14D13334"/>
    <w:rsid w:val="15191E10"/>
    <w:rsid w:val="15555F8A"/>
    <w:rsid w:val="15E24378"/>
    <w:rsid w:val="16101076"/>
    <w:rsid w:val="167577B8"/>
    <w:rsid w:val="16F4295C"/>
    <w:rsid w:val="17084A05"/>
    <w:rsid w:val="171D7076"/>
    <w:rsid w:val="177D032E"/>
    <w:rsid w:val="1787527A"/>
    <w:rsid w:val="180D292D"/>
    <w:rsid w:val="180F0B89"/>
    <w:rsid w:val="185C3AC4"/>
    <w:rsid w:val="189828A8"/>
    <w:rsid w:val="18E9525E"/>
    <w:rsid w:val="18F71C5F"/>
    <w:rsid w:val="19071B3D"/>
    <w:rsid w:val="193719B2"/>
    <w:rsid w:val="196A78D0"/>
    <w:rsid w:val="196F43F1"/>
    <w:rsid w:val="19B0249E"/>
    <w:rsid w:val="19B87040"/>
    <w:rsid w:val="1A2237D6"/>
    <w:rsid w:val="1A4B0E90"/>
    <w:rsid w:val="1A7F30DB"/>
    <w:rsid w:val="1AC83CDD"/>
    <w:rsid w:val="1B244752"/>
    <w:rsid w:val="1B4A78F4"/>
    <w:rsid w:val="1B4B64D7"/>
    <w:rsid w:val="1BC30A2E"/>
    <w:rsid w:val="1BE57EF4"/>
    <w:rsid w:val="1CD65A43"/>
    <w:rsid w:val="1CE24ECF"/>
    <w:rsid w:val="1CFB4EF6"/>
    <w:rsid w:val="1D3C0986"/>
    <w:rsid w:val="1D8435E3"/>
    <w:rsid w:val="1E1E3DA7"/>
    <w:rsid w:val="1E255FAC"/>
    <w:rsid w:val="1EA30801"/>
    <w:rsid w:val="1EF04F16"/>
    <w:rsid w:val="1EF32C6C"/>
    <w:rsid w:val="1F2B4A12"/>
    <w:rsid w:val="1F650237"/>
    <w:rsid w:val="1F6B2821"/>
    <w:rsid w:val="1F6B7112"/>
    <w:rsid w:val="202548A2"/>
    <w:rsid w:val="209A59B8"/>
    <w:rsid w:val="222923F3"/>
    <w:rsid w:val="224E07B7"/>
    <w:rsid w:val="22C46DB9"/>
    <w:rsid w:val="22C86EB4"/>
    <w:rsid w:val="232C5AF5"/>
    <w:rsid w:val="237058CF"/>
    <w:rsid w:val="23881C37"/>
    <w:rsid w:val="23B86E1F"/>
    <w:rsid w:val="23DC24B8"/>
    <w:rsid w:val="23EB0E9F"/>
    <w:rsid w:val="24152EB5"/>
    <w:rsid w:val="24DD3B60"/>
    <w:rsid w:val="24FF7C03"/>
    <w:rsid w:val="25BD610A"/>
    <w:rsid w:val="25D84B16"/>
    <w:rsid w:val="268454F1"/>
    <w:rsid w:val="273C088B"/>
    <w:rsid w:val="273E3E27"/>
    <w:rsid w:val="278D6712"/>
    <w:rsid w:val="27A50E21"/>
    <w:rsid w:val="27D1764D"/>
    <w:rsid w:val="28105506"/>
    <w:rsid w:val="283A7765"/>
    <w:rsid w:val="28674AE9"/>
    <w:rsid w:val="28A74C99"/>
    <w:rsid w:val="28AC1FF9"/>
    <w:rsid w:val="28D30117"/>
    <w:rsid w:val="297A3C03"/>
    <w:rsid w:val="29890414"/>
    <w:rsid w:val="29901309"/>
    <w:rsid w:val="2A1B4A63"/>
    <w:rsid w:val="2A326E54"/>
    <w:rsid w:val="2A3A5D6D"/>
    <w:rsid w:val="2A436BA6"/>
    <w:rsid w:val="2A696E20"/>
    <w:rsid w:val="2AE11B61"/>
    <w:rsid w:val="2AFC0385"/>
    <w:rsid w:val="2B264334"/>
    <w:rsid w:val="2B28013E"/>
    <w:rsid w:val="2B770297"/>
    <w:rsid w:val="2B830E00"/>
    <w:rsid w:val="2C535C51"/>
    <w:rsid w:val="2CFE2268"/>
    <w:rsid w:val="2D4E4E2D"/>
    <w:rsid w:val="2D7A5FF8"/>
    <w:rsid w:val="2DF32E78"/>
    <w:rsid w:val="2E1C0F71"/>
    <w:rsid w:val="2E406FD4"/>
    <w:rsid w:val="2E527799"/>
    <w:rsid w:val="2E8C0A8B"/>
    <w:rsid w:val="2EB629F9"/>
    <w:rsid w:val="2EEC1AAE"/>
    <w:rsid w:val="2EF23BDB"/>
    <w:rsid w:val="2F1F3DF4"/>
    <w:rsid w:val="2F2E549B"/>
    <w:rsid w:val="2F4A6DED"/>
    <w:rsid w:val="2F5E4550"/>
    <w:rsid w:val="2F634DBB"/>
    <w:rsid w:val="2FC736C3"/>
    <w:rsid w:val="304B29EE"/>
    <w:rsid w:val="30FE77EE"/>
    <w:rsid w:val="31380843"/>
    <w:rsid w:val="318C328D"/>
    <w:rsid w:val="32342B39"/>
    <w:rsid w:val="324E18BA"/>
    <w:rsid w:val="326162B1"/>
    <w:rsid w:val="32A31F39"/>
    <w:rsid w:val="32AA140E"/>
    <w:rsid w:val="32BB071B"/>
    <w:rsid w:val="32DD31D0"/>
    <w:rsid w:val="3304078A"/>
    <w:rsid w:val="335B5CDB"/>
    <w:rsid w:val="33726ACA"/>
    <w:rsid w:val="337A6427"/>
    <w:rsid w:val="33911F81"/>
    <w:rsid w:val="340E0114"/>
    <w:rsid w:val="346D361D"/>
    <w:rsid w:val="350C7F07"/>
    <w:rsid w:val="355A0490"/>
    <w:rsid w:val="35727C2D"/>
    <w:rsid w:val="358316A2"/>
    <w:rsid w:val="35886790"/>
    <w:rsid w:val="35970F06"/>
    <w:rsid w:val="35BF5737"/>
    <w:rsid w:val="36107395"/>
    <w:rsid w:val="368D3C69"/>
    <w:rsid w:val="36B3305D"/>
    <w:rsid w:val="3702641D"/>
    <w:rsid w:val="37194424"/>
    <w:rsid w:val="378555EE"/>
    <w:rsid w:val="37D97B74"/>
    <w:rsid w:val="381534C6"/>
    <w:rsid w:val="384632CB"/>
    <w:rsid w:val="386431C3"/>
    <w:rsid w:val="38A671DD"/>
    <w:rsid w:val="38B279DA"/>
    <w:rsid w:val="399F15BF"/>
    <w:rsid w:val="3A6462BE"/>
    <w:rsid w:val="3B416126"/>
    <w:rsid w:val="3BFC1F16"/>
    <w:rsid w:val="3C0854E8"/>
    <w:rsid w:val="3C0B6A1B"/>
    <w:rsid w:val="3D1037EC"/>
    <w:rsid w:val="3DA4647C"/>
    <w:rsid w:val="3DF05000"/>
    <w:rsid w:val="3DF4264D"/>
    <w:rsid w:val="3E106AB7"/>
    <w:rsid w:val="3E3E12A4"/>
    <w:rsid w:val="3E762057"/>
    <w:rsid w:val="3E957E00"/>
    <w:rsid w:val="3EAB2A0E"/>
    <w:rsid w:val="3ECA5B05"/>
    <w:rsid w:val="3F6D10D0"/>
    <w:rsid w:val="3F9D0CA9"/>
    <w:rsid w:val="3FB847CA"/>
    <w:rsid w:val="3FB97BDE"/>
    <w:rsid w:val="3FE17198"/>
    <w:rsid w:val="4019333B"/>
    <w:rsid w:val="40412F4E"/>
    <w:rsid w:val="4070686C"/>
    <w:rsid w:val="40A14070"/>
    <w:rsid w:val="40A50065"/>
    <w:rsid w:val="40A64301"/>
    <w:rsid w:val="41026FF2"/>
    <w:rsid w:val="4105404B"/>
    <w:rsid w:val="41374C89"/>
    <w:rsid w:val="41390BE6"/>
    <w:rsid w:val="41537CF9"/>
    <w:rsid w:val="41AF7198"/>
    <w:rsid w:val="41B71B28"/>
    <w:rsid w:val="42276876"/>
    <w:rsid w:val="42293DCA"/>
    <w:rsid w:val="4248353B"/>
    <w:rsid w:val="42F3326A"/>
    <w:rsid w:val="43D61B01"/>
    <w:rsid w:val="43D91FB7"/>
    <w:rsid w:val="43E75AB0"/>
    <w:rsid w:val="44040A87"/>
    <w:rsid w:val="44081823"/>
    <w:rsid w:val="44883016"/>
    <w:rsid w:val="44F95750"/>
    <w:rsid w:val="44FE0A20"/>
    <w:rsid w:val="45CC3B51"/>
    <w:rsid w:val="464A5455"/>
    <w:rsid w:val="465A1950"/>
    <w:rsid w:val="468756CE"/>
    <w:rsid w:val="469C0AEA"/>
    <w:rsid w:val="46A30DA6"/>
    <w:rsid w:val="471F3B35"/>
    <w:rsid w:val="4743767B"/>
    <w:rsid w:val="478F5B75"/>
    <w:rsid w:val="47AF61B3"/>
    <w:rsid w:val="480461CB"/>
    <w:rsid w:val="48276DE7"/>
    <w:rsid w:val="486C765A"/>
    <w:rsid w:val="4873371E"/>
    <w:rsid w:val="48DB4BA4"/>
    <w:rsid w:val="490B39D9"/>
    <w:rsid w:val="492203C3"/>
    <w:rsid w:val="49702B08"/>
    <w:rsid w:val="497A4B60"/>
    <w:rsid w:val="49C478BD"/>
    <w:rsid w:val="4A037FB3"/>
    <w:rsid w:val="4A095D93"/>
    <w:rsid w:val="4A5C1585"/>
    <w:rsid w:val="4B4D1E42"/>
    <w:rsid w:val="4B603C21"/>
    <w:rsid w:val="4B6B34CA"/>
    <w:rsid w:val="4B702EE8"/>
    <w:rsid w:val="4B811C91"/>
    <w:rsid w:val="4B9E6C5F"/>
    <w:rsid w:val="4BD079DB"/>
    <w:rsid w:val="4BD35D89"/>
    <w:rsid w:val="4C303A4D"/>
    <w:rsid w:val="4C5C0739"/>
    <w:rsid w:val="4CAA60D9"/>
    <w:rsid w:val="4CAF53D1"/>
    <w:rsid w:val="4CC1435D"/>
    <w:rsid w:val="4CC47039"/>
    <w:rsid w:val="4CDE6804"/>
    <w:rsid w:val="4D3D16B5"/>
    <w:rsid w:val="4DD64453"/>
    <w:rsid w:val="4E123E0B"/>
    <w:rsid w:val="4E232D03"/>
    <w:rsid w:val="4E4E7838"/>
    <w:rsid w:val="4E7205A1"/>
    <w:rsid w:val="4E923937"/>
    <w:rsid w:val="4EC30E77"/>
    <w:rsid w:val="4EE01E5C"/>
    <w:rsid w:val="4EF04029"/>
    <w:rsid w:val="4F362701"/>
    <w:rsid w:val="4F4155AC"/>
    <w:rsid w:val="4FC36636"/>
    <w:rsid w:val="4FEB706B"/>
    <w:rsid w:val="4FF35D75"/>
    <w:rsid w:val="4FF77D95"/>
    <w:rsid w:val="500637E0"/>
    <w:rsid w:val="506E7C56"/>
    <w:rsid w:val="50763396"/>
    <w:rsid w:val="518E32D4"/>
    <w:rsid w:val="51A10FF4"/>
    <w:rsid w:val="522B204B"/>
    <w:rsid w:val="52A45AD9"/>
    <w:rsid w:val="52B86B74"/>
    <w:rsid w:val="52FF6C76"/>
    <w:rsid w:val="53927BA6"/>
    <w:rsid w:val="54156B0B"/>
    <w:rsid w:val="54AA2F16"/>
    <w:rsid w:val="54B34610"/>
    <w:rsid w:val="54C7144B"/>
    <w:rsid w:val="54CA2704"/>
    <w:rsid w:val="54D247B4"/>
    <w:rsid w:val="5524786C"/>
    <w:rsid w:val="55E25AE1"/>
    <w:rsid w:val="55E855F5"/>
    <w:rsid w:val="56CA37EE"/>
    <w:rsid w:val="5736198E"/>
    <w:rsid w:val="576036D2"/>
    <w:rsid w:val="57630606"/>
    <w:rsid w:val="57771C22"/>
    <w:rsid w:val="584812D8"/>
    <w:rsid w:val="58673E0D"/>
    <w:rsid w:val="587E6DBB"/>
    <w:rsid w:val="58BA2300"/>
    <w:rsid w:val="58D466F9"/>
    <w:rsid w:val="58E3489B"/>
    <w:rsid w:val="59D7730C"/>
    <w:rsid w:val="59DA0963"/>
    <w:rsid w:val="5A1274C3"/>
    <w:rsid w:val="5A341206"/>
    <w:rsid w:val="5A6E4D60"/>
    <w:rsid w:val="5A9F5FC0"/>
    <w:rsid w:val="5AD6284A"/>
    <w:rsid w:val="5AEA0909"/>
    <w:rsid w:val="5B27520F"/>
    <w:rsid w:val="5B445446"/>
    <w:rsid w:val="5B4C202E"/>
    <w:rsid w:val="5B91377A"/>
    <w:rsid w:val="5C816604"/>
    <w:rsid w:val="5CA2358F"/>
    <w:rsid w:val="5CE62685"/>
    <w:rsid w:val="5CF53FE4"/>
    <w:rsid w:val="5D26271C"/>
    <w:rsid w:val="5D677134"/>
    <w:rsid w:val="5D8E4C3D"/>
    <w:rsid w:val="5D9F52E2"/>
    <w:rsid w:val="5E0F337D"/>
    <w:rsid w:val="5E4915C3"/>
    <w:rsid w:val="5E4B5F5D"/>
    <w:rsid w:val="5E851442"/>
    <w:rsid w:val="5E8F52CD"/>
    <w:rsid w:val="5EBF4CF2"/>
    <w:rsid w:val="5F1A7DF2"/>
    <w:rsid w:val="5F2169BB"/>
    <w:rsid w:val="5F472EE4"/>
    <w:rsid w:val="5F723500"/>
    <w:rsid w:val="600F58C5"/>
    <w:rsid w:val="601B4EA3"/>
    <w:rsid w:val="601D564F"/>
    <w:rsid w:val="606A731A"/>
    <w:rsid w:val="60B30607"/>
    <w:rsid w:val="61156461"/>
    <w:rsid w:val="61814C36"/>
    <w:rsid w:val="61C97B21"/>
    <w:rsid w:val="61CF2AF4"/>
    <w:rsid w:val="61EE12E2"/>
    <w:rsid w:val="620E0006"/>
    <w:rsid w:val="62185F7D"/>
    <w:rsid w:val="624D29AC"/>
    <w:rsid w:val="628152ED"/>
    <w:rsid w:val="629969E4"/>
    <w:rsid w:val="62A4181E"/>
    <w:rsid w:val="62B14ECA"/>
    <w:rsid w:val="62D814D0"/>
    <w:rsid w:val="634770AE"/>
    <w:rsid w:val="63710A86"/>
    <w:rsid w:val="63906D76"/>
    <w:rsid w:val="63A448E0"/>
    <w:rsid w:val="63B820CC"/>
    <w:rsid w:val="640E1D19"/>
    <w:rsid w:val="65462F10"/>
    <w:rsid w:val="656E7493"/>
    <w:rsid w:val="657222B6"/>
    <w:rsid w:val="657959FB"/>
    <w:rsid w:val="65C53226"/>
    <w:rsid w:val="65ED0F75"/>
    <w:rsid w:val="66137CD5"/>
    <w:rsid w:val="66332C3D"/>
    <w:rsid w:val="671021B3"/>
    <w:rsid w:val="67A042C0"/>
    <w:rsid w:val="67C07FEA"/>
    <w:rsid w:val="67D84CA2"/>
    <w:rsid w:val="67F74A4B"/>
    <w:rsid w:val="687C620B"/>
    <w:rsid w:val="68A47AD2"/>
    <w:rsid w:val="68D12A51"/>
    <w:rsid w:val="68EF5D8C"/>
    <w:rsid w:val="696911E3"/>
    <w:rsid w:val="699E0C64"/>
    <w:rsid w:val="69AA62E8"/>
    <w:rsid w:val="6A042668"/>
    <w:rsid w:val="6A072C57"/>
    <w:rsid w:val="6A235B9C"/>
    <w:rsid w:val="6A805EC8"/>
    <w:rsid w:val="6B13665D"/>
    <w:rsid w:val="6B206F5C"/>
    <w:rsid w:val="6B3F166A"/>
    <w:rsid w:val="6B4A3B91"/>
    <w:rsid w:val="6BAD71F9"/>
    <w:rsid w:val="6BED4BCC"/>
    <w:rsid w:val="6C026DF9"/>
    <w:rsid w:val="6C4B7AE2"/>
    <w:rsid w:val="6D666BC4"/>
    <w:rsid w:val="6D756A74"/>
    <w:rsid w:val="6DB41281"/>
    <w:rsid w:val="6DB57D76"/>
    <w:rsid w:val="6DE51903"/>
    <w:rsid w:val="6E02713A"/>
    <w:rsid w:val="6F0B2EF5"/>
    <w:rsid w:val="6FD01A68"/>
    <w:rsid w:val="6FDE4A4E"/>
    <w:rsid w:val="6FE541CD"/>
    <w:rsid w:val="6FE61007"/>
    <w:rsid w:val="6FF85789"/>
    <w:rsid w:val="6FFF0F5B"/>
    <w:rsid w:val="70102050"/>
    <w:rsid w:val="705B2676"/>
    <w:rsid w:val="705F6FB0"/>
    <w:rsid w:val="70781ECE"/>
    <w:rsid w:val="70A94169"/>
    <w:rsid w:val="70DF7DD6"/>
    <w:rsid w:val="71B2384D"/>
    <w:rsid w:val="72900B8E"/>
    <w:rsid w:val="72B76871"/>
    <w:rsid w:val="72DD14B1"/>
    <w:rsid w:val="73310A01"/>
    <w:rsid w:val="738947BC"/>
    <w:rsid w:val="73D04053"/>
    <w:rsid w:val="73E44C7B"/>
    <w:rsid w:val="740B3E17"/>
    <w:rsid w:val="751759EA"/>
    <w:rsid w:val="75195E93"/>
    <w:rsid w:val="75797A94"/>
    <w:rsid w:val="76365BD4"/>
    <w:rsid w:val="76566F8A"/>
    <w:rsid w:val="765C67ED"/>
    <w:rsid w:val="76613572"/>
    <w:rsid w:val="76A03CEA"/>
    <w:rsid w:val="76D6583E"/>
    <w:rsid w:val="77527379"/>
    <w:rsid w:val="77BD03FF"/>
    <w:rsid w:val="781012E7"/>
    <w:rsid w:val="784B14D4"/>
    <w:rsid w:val="78544B97"/>
    <w:rsid w:val="789F4E7D"/>
    <w:rsid w:val="790E05D9"/>
    <w:rsid w:val="79950FD7"/>
    <w:rsid w:val="799821B4"/>
    <w:rsid w:val="79E15362"/>
    <w:rsid w:val="7A277AD0"/>
    <w:rsid w:val="7A2A3382"/>
    <w:rsid w:val="7A6A633A"/>
    <w:rsid w:val="7AC27501"/>
    <w:rsid w:val="7B356A3E"/>
    <w:rsid w:val="7B546670"/>
    <w:rsid w:val="7B6A2D86"/>
    <w:rsid w:val="7B76166F"/>
    <w:rsid w:val="7BFE2F5D"/>
    <w:rsid w:val="7C276BBD"/>
    <w:rsid w:val="7C5E3187"/>
    <w:rsid w:val="7C6A3C9F"/>
    <w:rsid w:val="7C8253E9"/>
    <w:rsid w:val="7CAF5699"/>
    <w:rsid w:val="7D277B40"/>
    <w:rsid w:val="7D405CE9"/>
    <w:rsid w:val="7E345F13"/>
    <w:rsid w:val="7E775DB6"/>
    <w:rsid w:val="7EC40C8A"/>
    <w:rsid w:val="7ECF02FC"/>
    <w:rsid w:val="7EF65D4E"/>
    <w:rsid w:val="7F3E73CD"/>
    <w:rsid w:val="7FA23334"/>
    <w:rsid w:val="7FBC64B7"/>
    <w:rsid w:val="7FD43C9E"/>
  </w:rsids>
  <m:mathPr>
    <m:lMargin m:val="0"/>
    <m:mathFont m:val="Cambria Math"/>
    <m:rMargin m:val="0"/>
    <m:wrapIndent m:val="1440"/>
    <m:brkBin m:val="before"/>
    <m:brkBinSub m:val="--"/>
    <m:defJc m:val="centerGroup"/>
    <m:intLim m:val="subSup"/>
    <m:naryLim m:val="undOvr"/>
    <m:smallFrac m:val="0"/>
    <m:dispDef/>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position w:val="-6"/>
      <w:sz w:val="32"/>
      <w:szCs w:val="22"/>
      <w:lang w:val="en-US" w:eastAsia="zh-CN" w:bidi="ar-SA"/>
    </w:rPr>
  </w:style>
  <w:style w:type="paragraph" w:styleId="3">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paragraph" w:styleId="4">
    <w:name w:val="heading 2"/>
    <w:basedOn w:val="1"/>
    <w:next w:val="5"/>
    <w:qFormat/>
    <w:uiPriority w:val="0"/>
    <w:pPr>
      <w:keepNext/>
      <w:keepLines/>
      <w:adjustRightInd w:val="0"/>
      <w:spacing w:before="260" w:after="260" w:line="416" w:lineRule="atLeast"/>
      <w:jc w:val="center"/>
      <w:textAlignment w:val="baseline"/>
      <w:outlineLvl w:val="1"/>
    </w:pPr>
    <w:rPr>
      <w:rFonts w:ascii="Arial" w:hAnsi="Arial" w:eastAsia="黑体"/>
      <w:b/>
      <w:sz w:val="28"/>
      <w:szCs w:val="20"/>
    </w:rPr>
  </w:style>
  <w:style w:type="paragraph" w:styleId="6">
    <w:name w:val="heading 3"/>
    <w:basedOn w:val="1"/>
    <w:next w:val="1"/>
    <w:qFormat/>
    <w:uiPriority w:val="0"/>
    <w:pPr>
      <w:keepNext/>
      <w:keepLines/>
      <w:spacing w:before="260" w:after="260" w:line="416" w:lineRule="auto"/>
      <w:outlineLvl w:val="2"/>
    </w:pPr>
    <w:rPr>
      <w:b/>
      <w:bCs/>
      <w:szCs w:val="32"/>
    </w:rPr>
  </w:style>
  <w:style w:type="character" w:default="1" w:styleId="18">
    <w:name w:val="Default Paragraph Font"/>
    <w:link w:val="19"/>
    <w:qFormat/>
    <w:uiPriority w:val="0"/>
    <w:rPr>
      <w:rFonts w:ascii="宋体" w:hAnsi="宋体" w:cs="宋体"/>
    </w:rPr>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Normal Indent"/>
    <w:basedOn w:val="1"/>
    <w:next w:val="1"/>
    <w:qFormat/>
    <w:uiPriority w:val="0"/>
    <w:pPr>
      <w:ind w:firstLine="420" w:firstLineChars="200"/>
    </w:pPr>
  </w:style>
  <w:style w:type="paragraph" w:styleId="7">
    <w:name w:val="Body Text"/>
    <w:basedOn w:val="1"/>
    <w:qFormat/>
    <w:uiPriority w:val="0"/>
    <w:pPr>
      <w:spacing w:after="120"/>
    </w:pPr>
  </w:style>
  <w:style w:type="paragraph" w:styleId="8">
    <w:name w:val="Body Text Indent"/>
    <w:basedOn w:val="1"/>
    <w:qFormat/>
    <w:uiPriority w:val="0"/>
    <w:pPr>
      <w:spacing w:line="360" w:lineRule="auto"/>
      <w:ind w:left="540" w:leftChars="257"/>
    </w:pPr>
    <w:rPr>
      <w:rFonts w:hAnsi="宋体"/>
    </w:rPr>
  </w:style>
  <w:style w:type="paragraph" w:styleId="9">
    <w:name w:val="Date"/>
    <w:basedOn w:val="1"/>
    <w:next w:val="1"/>
    <w:qFormat/>
    <w:uiPriority w:val="0"/>
    <w:pPr>
      <w:spacing w:line="312" w:lineRule="atLeast"/>
      <w:textAlignment w:val="baseline"/>
    </w:pPr>
    <w:rPr>
      <w:rFonts w:hint="eastAsia"/>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2"/>
    <w:basedOn w:val="8"/>
    <w:qFormat/>
    <w:uiPriority w:val="0"/>
    <w:pPr>
      <w:spacing w:after="120" w:line="240" w:lineRule="auto"/>
      <w:ind w:left="420" w:leftChars="200" w:firstLine="420" w:firstLineChars="200"/>
    </w:pPr>
  </w:style>
  <w:style w:type="paragraph" w:styleId="12">
    <w:name w:val="header"/>
    <w:basedOn w:val="1"/>
    <w:next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sz w:val="18"/>
    </w:rPr>
  </w:style>
  <w:style w:type="paragraph" w:customStyle="1" w:styleId="13">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4">
    <w:name w:val="toc 1"/>
    <w:basedOn w:val="1"/>
    <w:next w:val="1"/>
    <w:qFormat/>
    <w:uiPriority w:val="0"/>
    <w:pPr>
      <w:tabs>
        <w:tab w:val="right" w:leader="dot" w:pos="8812"/>
      </w:tabs>
      <w:spacing w:line="360" w:lineRule="auto"/>
      <w:jc w:val="left"/>
    </w:pPr>
    <w:rPr>
      <w:bCs/>
      <w:caps/>
      <w:szCs w:val="20"/>
    </w:rPr>
  </w:style>
  <w:style w:type="paragraph" w:styleId="15">
    <w:name w:val="toc 2"/>
    <w:basedOn w:val="1"/>
    <w:next w:val="1"/>
    <w:qFormat/>
    <w:uiPriority w:val="0"/>
    <w:pPr>
      <w:ind w:left="210"/>
      <w:jc w:val="left"/>
    </w:pPr>
    <w:rPr>
      <w:smallCaps/>
      <w:sz w:val="20"/>
      <w:szCs w:val="20"/>
    </w:rPr>
  </w:style>
  <w:style w:type="paragraph" w:styleId="16">
    <w:name w:val="Normal (Web)"/>
    <w:basedOn w:val="1"/>
    <w:qFormat/>
    <w:uiPriority w:val="0"/>
    <w:pPr>
      <w:spacing w:before="100" w:beforeAutospacing="1" w:after="100" w:afterAutospacing="1"/>
      <w:jc w:val="left"/>
    </w:pPr>
    <w:rPr>
      <w:sz w:val="24"/>
    </w:rPr>
  </w:style>
  <w:style w:type="paragraph" w:styleId="17">
    <w:name w:val="index 1"/>
    <w:basedOn w:val="1"/>
    <w:next w:val="1"/>
    <w:qFormat/>
    <w:uiPriority w:val="0"/>
    <w:pPr>
      <w:tabs>
        <w:tab w:val="left" w:pos="567"/>
      </w:tabs>
      <w:snapToGrid w:val="0"/>
      <w:spacing w:line="360" w:lineRule="auto"/>
      <w:jc w:val="center"/>
    </w:pPr>
    <w:rPr>
      <w:rFonts w:hint="eastAsia" w:hAnsi="宋体"/>
      <w:sz w:val="24"/>
    </w:rPr>
  </w:style>
  <w:style w:type="paragraph" w:customStyle="1" w:styleId="19">
    <w:name w:val=" Char Char Char Char"/>
    <w:basedOn w:val="1"/>
    <w:link w:val="18"/>
    <w:qFormat/>
    <w:uiPriority w:val="0"/>
    <w:pPr>
      <w:spacing w:line="360" w:lineRule="auto"/>
      <w:ind w:firstLine="200" w:firstLineChars="200"/>
    </w:pPr>
    <w:rPr>
      <w:rFonts w:hAnsi="宋体" w:cs="宋体"/>
    </w:rPr>
  </w:style>
  <w:style w:type="character" w:styleId="20">
    <w:name w:val="page number"/>
    <w:basedOn w:val="18"/>
    <w:qFormat/>
    <w:uiPriority w:val="0"/>
    <w:rPr>
      <w:rFonts w:ascii="宋体" w:hAnsi="宋体" w:cs="宋体"/>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wang正文 Char"/>
    <w:link w:val="24"/>
    <w:qFormat/>
    <w:uiPriority w:val="0"/>
    <w:rPr>
      <w:kern w:val="0"/>
    </w:rPr>
  </w:style>
  <w:style w:type="paragraph" w:customStyle="1" w:styleId="24">
    <w:name w:val="wang正文"/>
    <w:basedOn w:val="1"/>
    <w:link w:val="23"/>
    <w:qFormat/>
    <w:uiPriority w:val="0"/>
    <w:pPr>
      <w:tabs>
        <w:tab w:val="left" w:pos="6840"/>
      </w:tabs>
      <w:ind w:firstLine="420"/>
    </w:pPr>
  </w:style>
  <w:style w:type="character" w:customStyle="1" w:styleId="25">
    <w:name w:val="font01"/>
    <w:uiPriority w:val="0"/>
    <w:rPr>
      <w:rFonts w:hint="eastAsia" w:ascii="宋体" w:hAnsi="宋体" w:eastAsia="宋体" w:cs="宋体"/>
      <w:color w:val="000000"/>
      <w:sz w:val="22"/>
      <w:szCs w:val="22"/>
      <w:u w:val="none"/>
    </w:rPr>
  </w:style>
  <w:style w:type="character" w:customStyle="1" w:styleId="26">
    <w:name w:val="font71"/>
    <w:basedOn w:val="18"/>
    <w:uiPriority w:val="0"/>
    <w:rPr>
      <w:rFonts w:ascii="宋体" w:hAnsi="宋体" w:eastAsia="宋体" w:cs="宋体"/>
      <w:color w:val="000000"/>
      <w:sz w:val="22"/>
      <w:szCs w:val="22"/>
      <w:u w:val="none"/>
    </w:rPr>
  </w:style>
  <w:style w:type="character" w:customStyle="1" w:styleId="27">
    <w:name w:val="font51"/>
    <w:basedOn w:val="18"/>
    <w:uiPriority w:val="0"/>
    <w:rPr>
      <w:rFonts w:hint="eastAsia" w:ascii="宋体" w:hAnsi="宋体" w:eastAsia="宋体" w:cs="宋体"/>
      <w:color w:val="000000"/>
      <w:sz w:val="22"/>
      <w:szCs w:val="22"/>
      <w:u w:val="none"/>
    </w:rPr>
  </w:style>
  <w:style w:type="character" w:customStyle="1" w:styleId="28">
    <w:name w:val="font31"/>
    <w:basedOn w:val="18"/>
    <w:uiPriority w:val="0"/>
    <w:rPr>
      <w:rFonts w:hint="eastAsia" w:ascii="宋体" w:hAnsi="宋体" w:eastAsia="宋体" w:cs="宋体"/>
      <w:color w:val="000000"/>
      <w:sz w:val="22"/>
      <w:szCs w:val="22"/>
      <w:u w:val="none"/>
    </w:rPr>
  </w:style>
  <w:style w:type="character" w:customStyle="1" w:styleId="29">
    <w:name w:val="font121"/>
    <w:basedOn w:val="18"/>
    <w:qFormat/>
    <w:uiPriority w:val="0"/>
    <w:rPr>
      <w:rFonts w:hint="eastAsia" w:ascii="宋体" w:hAnsi="宋体" w:eastAsia="宋体" w:cs="宋体"/>
      <w:color w:val="000000"/>
      <w:sz w:val="24"/>
      <w:szCs w:val="24"/>
      <w:u w:val="none"/>
    </w:rPr>
  </w:style>
  <w:style w:type="character" w:customStyle="1" w:styleId="30">
    <w:name w:val="font21"/>
    <w:uiPriority w:val="0"/>
    <w:rPr>
      <w:rFonts w:hint="eastAsia" w:ascii="宋体" w:hAnsi="宋体" w:eastAsia="宋体" w:cs="宋体"/>
      <w:color w:val="000000"/>
      <w:sz w:val="22"/>
      <w:szCs w:val="22"/>
      <w:u w:val="none"/>
    </w:rPr>
  </w:style>
  <w:style w:type="character" w:customStyle="1" w:styleId="31">
    <w:name w:val="font81"/>
    <w:basedOn w:val="18"/>
    <w:qFormat/>
    <w:uiPriority w:val="0"/>
    <w:rPr>
      <w:rFonts w:hint="eastAsia" w:ascii="宋体" w:hAnsi="宋体" w:eastAsia="宋体" w:cs="宋体"/>
      <w:color w:val="000000"/>
      <w:sz w:val="22"/>
      <w:szCs w:val="22"/>
      <w:u w:val="none"/>
    </w:rPr>
  </w:style>
  <w:style w:type="character" w:customStyle="1" w:styleId="32">
    <w:name w:val="font11"/>
    <w:qFormat/>
    <w:uiPriority w:val="0"/>
    <w:rPr>
      <w:rFonts w:ascii="Calibri" w:hAnsi="Calibri" w:cs="Calibri"/>
      <w:color w:val="000000"/>
      <w:sz w:val="22"/>
      <w:szCs w:val="22"/>
      <w:u w:val="none"/>
    </w:rPr>
  </w:style>
  <w:style w:type="character" w:customStyle="1" w:styleId="33">
    <w:name w:val="font112"/>
    <w:basedOn w:val="18"/>
    <w:qFormat/>
    <w:uiPriority w:val="0"/>
    <w:rPr>
      <w:rFonts w:hint="eastAsia" w:ascii="宋体" w:hAnsi="宋体" w:eastAsia="宋体" w:cs="宋体"/>
      <w:color w:val="000000"/>
      <w:sz w:val="28"/>
      <w:szCs w:val="28"/>
      <w:u w:val="none"/>
    </w:rPr>
  </w:style>
  <w:style w:type="character" w:customStyle="1" w:styleId="34">
    <w:name w:val="font41"/>
    <w:basedOn w:val="18"/>
    <w:uiPriority w:val="0"/>
    <w:rPr>
      <w:rFonts w:hint="eastAsia" w:ascii="宋体" w:hAnsi="宋体" w:eastAsia="宋体" w:cs="宋体"/>
      <w:color w:val="000000"/>
      <w:sz w:val="22"/>
      <w:szCs w:val="22"/>
      <w:u w:val="none"/>
    </w:rPr>
  </w:style>
  <w:style w:type="paragraph" w:customStyle="1" w:styleId="35">
    <w:name w:val="CENTER 1"/>
    <w:basedOn w:val="1"/>
    <w:qFormat/>
    <w:uiPriority w:val="0"/>
    <w:pPr>
      <w:keepNext/>
      <w:widowControl/>
      <w:overflowPunct w:val="0"/>
      <w:autoSpaceDE w:val="0"/>
      <w:autoSpaceDN w:val="0"/>
      <w:spacing w:after="240"/>
      <w:jc w:val="center"/>
    </w:pPr>
    <w:rPr>
      <w:caps/>
    </w:rPr>
  </w:style>
  <w:style w:type="paragraph" w:customStyle="1" w:styleId="36">
    <w:name w:val="样式3"/>
    <w:basedOn w:val="1"/>
    <w:qFormat/>
    <w:uiPriority w:val="0"/>
    <w:pPr>
      <w:jc w:val="left"/>
    </w:pPr>
    <w:rPr>
      <w:rFonts w:hAnsi="宋体"/>
    </w:rPr>
  </w:style>
  <w:style w:type="paragraph" w:customStyle="1" w:styleId="37">
    <w:name w:val="List Paragraph1"/>
    <w:basedOn w:val="1"/>
    <w:qFormat/>
    <w:uiPriority w:val="34"/>
    <w:pPr>
      <w:ind w:firstLine="420" w:firstLineChars="200"/>
    </w:pPr>
  </w:style>
  <w:style w:type="paragraph" w:customStyle="1" w:styleId="38">
    <w:name w:val="Char"/>
    <w:basedOn w:val="1"/>
    <w:qFormat/>
    <w:uiPriority w:val="0"/>
  </w:style>
  <w:style w:type="paragraph" w:customStyle="1" w:styleId="39">
    <w:name w:val="样式1"/>
    <w:basedOn w:val="1"/>
    <w:qFormat/>
    <w:uiPriority w:val="0"/>
    <w:pPr>
      <w:adjustRightInd w:val="0"/>
      <w:spacing w:line="420" w:lineRule="auto"/>
      <w:jc w:val="center"/>
      <w:textAlignment w:val="baseline"/>
    </w:pPr>
    <w:rPr>
      <w:sz w:val="24"/>
      <w:szCs w:val="20"/>
    </w:rPr>
  </w:style>
  <w:style w:type="paragraph" w:customStyle="1" w:styleId="40">
    <w:name w:val="正文1"/>
    <w:basedOn w:val="1"/>
    <w:qFormat/>
    <w:uiPriority w:val="0"/>
    <w:pPr>
      <w:spacing w:line="50" w:lineRule="atLeast"/>
      <w:jc w:val="left"/>
      <w:textAlignment w:val="baseline"/>
    </w:pPr>
    <w:rPr>
      <w:rFonts w:hint="eastAsia"/>
      <w:sz w:val="24"/>
    </w:rPr>
  </w:style>
  <w:style w:type="paragraph" w:customStyle="1" w:styleId="41">
    <w:name w:val="标题 11"/>
    <w:basedOn w:val="1"/>
    <w:next w:val="1"/>
    <w:qFormat/>
    <w:uiPriority w:val="0"/>
    <w:pPr>
      <w:keepNext/>
      <w:keepLines/>
      <w:tabs>
        <w:tab w:val="left" w:pos="480"/>
        <w:tab w:val="left" w:pos="850"/>
      </w:tabs>
      <w:autoSpaceDE w:val="0"/>
      <w:autoSpaceDN w:val="0"/>
      <w:spacing w:before="240" w:after="240" w:line="240" w:lineRule="atLeast"/>
      <w:ind w:left="850" w:hanging="425"/>
      <w:jc w:val="left"/>
      <w:textAlignment w:val="baseline"/>
      <w:outlineLvl w:val="0"/>
    </w:pPr>
    <w:rPr>
      <w:rFonts w:ascii="Arial" w:hAnsi="Arial"/>
      <w:b/>
      <w:kern w:val="44"/>
      <w:sz w:val="28"/>
    </w:rPr>
  </w:style>
  <w:style w:type="paragraph" w:customStyle="1" w:styleId="42">
    <w:name w:val="标题2"/>
    <w:basedOn w:val="4"/>
    <w:qFormat/>
    <w:uiPriority w:val="0"/>
    <w:pPr>
      <w:keepLines w:val="0"/>
      <w:numPr>
        <w:ilvl w:val="1"/>
        <w:numId w:val="1"/>
      </w:numPr>
      <w:tabs>
        <w:tab w:val="left" w:pos="425"/>
        <w:tab w:val="left" w:pos="635"/>
      </w:tabs>
      <w:spacing w:before="0" w:after="0" w:line="360" w:lineRule="auto"/>
      <w:jc w:val="both"/>
    </w:pPr>
    <w:rPr>
      <w:rFonts w:ascii="Times New Roman" w:hAnsi="Times New Roman" w:eastAsia="宋体"/>
      <w:b w:val="0"/>
      <w:sz w:val="24"/>
    </w:rPr>
  </w:style>
  <w:style w:type="paragraph" w:customStyle="1" w:styleId="43">
    <w:name w:val="Normal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szCs w:val="22"/>
      <w:lang w:val="en-US" w:eastAsia="zh-CN" w:bidi="ar-SA"/>
    </w:rPr>
  </w:style>
  <w:style w:type="paragraph" w:customStyle="1" w:styleId="44">
    <w:name w:val="列出段落1"/>
    <w:basedOn w:val="1"/>
    <w:qFormat/>
    <w:uiPriority w:val="34"/>
    <w:pPr>
      <w:ind w:firstLine="420" w:firstLineChars="200"/>
    </w:pPr>
    <w:rPr>
      <w:rFonts w:ascii="Calibri" w:hAnsi="Calibri" w:cs="黑体"/>
    </w:rPr>
  </w:style>
  <w:style w:type="paragraph" w:customStyle="1" w:styleId="45">
    <w:name w:val="样式2"/>
    <w:basedOn w:val="1"/>
    <w:uiPriority w:val="0"/>
    <w:pPr>
      <w:jc w:val="center"/>
    </w:pPr>
    <w:rPr>
      <w:rFonts w:hAnsi="宋体"/>
    </w:rPr>
  </w:style>
  <w:style w:type="paragraph" w:customStyle="1" w:styleId="46">
    <w:name w:val="Table Paragraph"/>
    <w:basedOn w:val="1"/>
    <w:unhideWhenUsed/>
    <w:qFormat/>
    <w:uiPriority w:val="1"/>
    <w:rPr>
      <w:sz w:val="24"/>
    </w:rPr>
  </w:style>
  <w:style w:type="paragraph" w:customStyle="1" w:styleId="47">
    <w:name w:val="Revision"/>
    <w:unhideWhenUsed/>
    <w:qFormat/>
    <w:uiPriority w:val="99"/>
    <w:rPr>
      <w:rFonts w:ascii="宋体" w:hAnsi="Times New Roman" w:eastAsia="宋体" w:cs="Times New Roman"/>
      <w:position w:val="-6"/>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795</Words>
  <Characters>4535</Characters>
  <Lines>37</Lines>
  <Paragraphs>10</Paragraphs>
  <ScaleCrop>false</ScaleCrop>
  <LinksUpToDate>false</LinksUpToDate>
  <CharactersWithSpaces>5320</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2025-07-18T09:39:00Z</dcterms:created>
  <dc:creator>yzj</dc:creator>
  <cp:lastModifiedBy>yzj</cp:lastModifiedBy>
  <cp:lastPrinted>2024-05-20T07:37:00Z</cp:lastPrinted>
  <dcterms:modified xsi:type="dcterms:W3CDTF">2025-07-19T00:49:17Z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C6A79D2DE7974F24AEC608E9D0163343</vt:lpwstr>
  </property>
  <property fmtid="{D5CDD505-2E9C-101B-9397-08002B2CF9AE}" pid="4" name="KSOTemplateDocerSaveRecord">
    <vt:lpwstr>eyJoZGlkIjoiODkzZTgwNzQ0NzRhMTk1OTg1N2NjZjlmYzdmNTQyYzgiLCJ1c2VySWQiOiI3MDk0NTE2MjAifQ==</vt:lpwstr>
  </property>
</Properties>
</file>