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0" w:line="240" w:lineRule="auto"/>
        <w:jc w:val="left"/>
        <w:rPr>
          <w:rFonts w:ascii="方正小标宋简体" w:hAnsi="黑体" w:eastAsia="方正小标宋简体"/>
          <w:sz w:val="32"/>
          <w:szCs w:val="32"/>
        </w:rPr>
      </w:pPr>
    </w:p>
    <w:p>
      <w:pPr>
        <w:adjustRightInd w:val="0"/>
        <w:snapToGrid w:val="0"/>
        <w:spacing w:after="0" w:line="240" w:lineRule="auto"/>
        <w:jc w:val="center"/>
        <w:rPr>
          <w:rFonts w:hint="eastAsia" w:ascii="方正小标宋简体" w:hAnsi="黑体" w:eastAsia="方正小标宋简体"/>
          <w:sz w:val="36"/>
          <w:szCs w:val="36"/>
        </w:rPr>
      </w:pPr>
      <w:r>
        <w:rPr>
          <w:rFonts w:hint="eastAsia" w:ascii="方正小标宋简体" w:hAnsi="黑体" w:eastAsia="方正小标宋简体"/>
          <w:sz w:val="36"/>
          <w:szCs w:val="36"/>
          <w:lang w:val="en-US" w:eastAsia="zh-CN"/>
        </w:rPr>
        <w:t>2025年11月耗材和工器具采购</w:t>
      </w:r>
      <w:r>
        <w:rPr>
          <w:rFonts w:hint="eastAsia" w:ascii="方正小标宋简体" w:hAnsi="黑体" w:eastAsia="方正小标宋简体"/>
          <w:sz w:val="36"/>
          <w:szCs w:val="36"/>
        </w:rPr>
        <w:t>询价单</w:t>
      </w:r>
    </w:p>
    <w:p>
      <w:pPr>
        <w:adjustRightInd w:val="0"/>
        <w:snapToGrid w:val="0"/>
        <w:spacing w:after="0" w:line="240" w:lineRule="auto"/>
        <w:jc w:val="center"/>
        <w:rPr>
          <w:rFonts w:ascii="方正小标宋简体" w:hAnsi="黑体" w:eastAsia="方正小标宋简体"/>
          <w:sz w:val="36"/>
          <w:szCs w:val="36"/>
        </w:rPr>
      </w:pPr>
      <w:r>
        <w:rPr>
          <w:rFonts w:hint="eastAsia" w:ascii="方正小标宋简体" w:hAnsi="黑体" w:eastAsia="方正小标宋简体"/>
          <w:sz w:val="36"/>
          <w:szCs w:val="36"/>
        </w:rPr>
        <w:t>Pengadaan barang habis pakai dan peralatan pada bulan November 2025</w:t>
      </w:r>
      <w:r>
        <w:rPr>
          <w:rFonts w:hint="eastAsia" w:ascii="方正小标宋简体" w:hAnsi="黑体" w:eastAsia="方正小标宋简体"/>
          <w:sz w:val="36"/>
          <w:szCs w:val="36"/>
          <w:lang w:val="en-US" w:eastAsia="zh-CN"/>
        </w:rPr>
        <w:t xml:space="preserve"> </w:t>
      </w:r>
      <w:r>
        <w:rPr>
          <w:rFonts w:ascii="方正小标宋简体" w:hAnsi="黑体" w:eastAsia="方正小标宋简体"/>
          <w:sz w:val="36"/>
          <w:szCs w:val="36"/>
        </w:rPr>
        <w:t>Formulir Permohonan Pembelian</w:t>
      </w:r>
    </w:p>
    <w:tbl>
      <w:tblPr>
        <w:tblStyle w:val="2"/>
        <w:tblW w:w="9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9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9941" w:type="dxa"/>
            <w:tcMar>
              <w:top w:w="9" w:type="dxa"/>
              <w:left w:w="9" w:type="dxa"/>
              <w:right w:w="9" w:type="dxa"/>
            </w:tcMar>
            <w:vAlign w:val="center"/>
          </w:tcPr>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一、基本情况</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I. Informasi Dasar</w:t>
            </w:r>
          </w:p>
          <w:p>
            <w:pPr>
              <w:widowControl/>
              <w:adjustRightInd w:val="0"/>
              <w:snapToGrid w:val="0"/>
              <w:spacing w:line="320" w:lineRule="exact"/>
              <w:textAlignment w:val="center"/>
              <w:rPr>
                <w:rStyle w:val="6"/>
                <w:rFonts w:hint="default" w:ascii="仿宋" w:hAnsi="仿宋" w:eastAsia="仿宋" w:cs="仿宋"/>
                <w:b w:val="0"/>
                <w:bCs/>
                <w:sz w:val="21"/>
                <w:szCs w:val="21"/>
                <w:lang w:val="en-US" w:eastAsia="zh-CN" w:bidi="ar"/>
              </w:rPr>
            </w:pPr>
            <w:r>
              <w:rPr>
                <w:rStyle w:val="6"/>
                <w:rFonts w:hint="default" w:ascii="仿宋" w:hAnsi="仿宋" w:eastAsia="仿宋" w:cs="仿宋"/>
                <w:b w:val="0"/>
                <w:bCs/>
                <w:sz w:val="21"/>
                <w:szCs w:val="21"/>
                <w:lang w:bidi="ar"/>
              </w:rPr>
              <w:t xml:space="preserve">1. </w:t>
            </w:r>
            <w:r>
              <w:rPr>
                <w:rStyle w:val="6"/>
                <w:rFonts w:ascii="仿宋" w:hAnsi="仿宋" w:eastAsia="仿宋" w:cs="仿宋"/>
                <w:b w:val="0"/>
                <w:sz w:val="21"/>
                <w:szCs w:val="21"/>
              </w:rPr>
              <w:t>采购人：</w:t>
            </w:r>
            <w:r>
              <w:rPr>
                <w:rStyle w:val="6"/>
                <w:rFonts w:hint="eastAsia" w:ascii="仿宋" w:hAnsi="仿宋" w:eastAsia="仿宋" w:cs="仿宋"/>
                <w:b w:val="0"/>
                <w:sz w:val="21"/>
                <w:szCs w:val="21"/>
                <w:lang w:eastAsia="zh-CN"/>
              </w:rPr>
              <w:t>华电</w:t>
            </w:r>
            <w:r>
              <w:rPr>
                <w:rStyle w:val="6"/>
                <w:rFonts w:hint="eastAsia" w:ascii="仿宋" w:hAnsi="仿宋" w:eastAsia="仿宋" w:cs="仿宋"/>
                <w:b w:val="0"/>
                <w:sz w:val="21"/>
                <w:szCs w:val="21"/>
                <w:lang w:val="en-US" w:eastAsia="zh-CN"/>
              </w:rPr>
              <w:t>运营印尼玻雅分公司</w:t>
            </w:r>
          </w:p>
          <w:p>
            <w:pPr>
              <w:widowControl/>
              <w:adjustRightInd w:val="0"/>
              <w:snapToGrid w:val="0"/>
              <w:spacing w:line="320" w:lineRule="exact"/>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1.</w:t>
            </w:r>
            <w:r>
              <w:t xml:space="preserve"> </w:t>
            </w:r>
            <w:r>
              <w:rPr>
                <w:rStyle w:val="6"/>
                <w:rFonts w:hint="default" w:ascii="仿宋" w:hAnsi="仿宋" w:eastAsia="仿宋" w:cs="仿宋"/>
                <w:b w:val="0"/>
                <w:sz w:val="21"/>
                <w:szCs w:val="21"/>
              </w:rPr>
              <w:t>Pembeli: PT. CHD Power Plant Operation Indonesia Muara Enim Branch</w:t>
            </w:r>
          </w:p>
          <w:p>
            <w:pPr>
              <w:widowControl/>
              <w:adjustRightInd w:val="0"/>
              <w:snapToGrid w:val="0"/>
              <w:spacing w:line="320" w:lineRule="exact"/>
              <w:textAlignment w:val="center"/>
              <w:rPr>
                <w:rStyle w:val="6"/>
                <w:rFonts w:hint="eastAsia" w:ascii="仿宋" w:hAnsi="仿宋" w:eastAsia="仿宋" w:cs="仿宋"/>
                <w:b w:val="0"/>
                <w:sz w:val="21"/>
                <w:szCs w:val="21"/>
                <w:lang w:val="en-US" w:eastAsia="zh-CN"/>
              </w:rPr>
            </w:pPr>
            <w:r>
              <w:rPr>
                <w:rStyle w:val="6"/>
                <w:rFonts w:hint="default" w:ascii="仿宋" w:hAnsi="仿宋" w:eastAsia="仿宋" w:cs="仿宋"/>
                <w:b w:val="0"/>
                <w:sz w:val="21"/>
                <w:szCs w:val="21"/>
              </w:rPr>
              <w:t>2. 联系人：技术</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lang w:val="en-US" w:eastAsia="zh-CN"/>
              </w:rPr>
              <w:t>李长春</w:t>
            </w:r>
            <w:r>
              <w:rPr>
                <w:rStyle w:val="6"/>
                <w:rFonts w:hint="default" w:ascii="仿宋" w:hAnsi="仿宋" w:eastAsia="仿宋" w:cs="仿宋"/>
                <w:b w:val="0"/>
                <w:sz w:val="21"/>
                <w:szCs w:val="21"/>
              </w:rPr>
              <w:t>，商务</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lang w:val="en-US" w:eastAsia="zh-CN"/>
              </w:rPr>
              <w:t>于再军</w:t>
            </w:r>
          </w:p>
          <w:p>
            <w:pPr>
              <w:widowControl/>
              <w:adjustRightInd w:val="0"/>
              <w:snapToGrid w:val="0"/>
              <w:spacing w:line="320" w:lineRule="exact"/>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2.</w:t>
            </w:r>
            <w:r>
              <w:t xml:space="preserve"> </w:t>
            </w:r>
            <w:r>
              <w:rPr>
                <w:rStyle w:val="6"/>
                <w:rFonts w:hint="default" w:ascii="仿宋" w:hAnsi="仿宋" w:eastAsia="仿宋" w:cs="仿宋"/>
                <w:b w:val="0"/>
                <w:sz w:val="21"/>
                <w:szCs w:val="21"/>
              </w:rPr>
              <w:t>Kontak: Teknis</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lang w:val="en-US" w:eastAsia="zh-CN"/>
              </w:rPr>
              <w:t>Li ChangChun</w:t>
            </w:r>
            <w:r>
              <w:rPr>
                <w:rStyle w:val="6"/>
                <w:rFonts w:hint="default" w:ascii="仿宋" w:hAnsi="仿宋" w:eastAsia="仿宋" w:cs="仿宋"/>
                <w:b w:val="0"/>
                <w:sz w:val="21"/>
                <w:szCs w:val="21"/>
              </w:rPr>
              <w:t>, Komersial</w:t>
            </w:r>
            <w:r>
              <w:rPr>
                <w:rStyle w:val="6"/>
                <w:rFonts w:hint="eastAsia" w:ascii="仿宋" w:hAnsi="仿宋" w:eastAsia="仿宋" w:cs="仿宋"/>
                <w:b w:val="0"/>
                <w:sz w:val="21"/>
                <w:szCs w:val="21"/>
                <w:lang w:val="en-US" w:eastAsia="zh-CN"/>
              </w:rPr>
              <w:t>:Yu ZaiJun</w:t>
            </w:r>
            <w:r>
              <w:rPr>
                <w:rStyle w:val="6"/>
                <w:rFonts w:hint="default" w:ascii="仿宋" w:hAnsi="仿宋" w:eastAsia="仿宋" w:cs="仿宋"/>
                <w:b w:val="0"/>
                <w:sz w:val="21"/>
                <w:szCs w:val="21"/>
              </w:rPr>
              <w:t xml:space="preserve"> </w:t>
            </w:r>
          </w:p>
          <w:p>
            <w:pPr>
              <w:widowControl/>
              <w:adjustRightInd w:val="0"/>
              <w:snapToGrid w:val="0"/>
              <w:spacing w:line="320" w:lineRule="exact"/>
              <w:ind w:left="142" w:hanging="142"/>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3. 报价专用邮箱：731465071@qq.com</w:t>
            </w:r>
            <w:r>
              <w:rPr>
                <w:rStyle w:val="6"/>
                <w:rFonts w:ascii="仿宋" w:hAnsi="仿宋" w:eastAsia="仿宋" w:cs="仿宋"/>
                <w:b w:val="0"/>
                <w:sz w:val="21"/>
                <w:szCs w:val="21"/>
              </w:rPr>
              <w:t>。最终报价文件只能发送该邮箱，否则不予认可，且邮件标题名称必须为“玻雅项目</w:t>
            </w:r>
            <w:r>
              <w:rPr>
                <w:rStyle w:val="6"/>
                <w:rFonts w:hint="default" w:ascii="仿宋" w:hAnsi="仿宋" w:eastAsia="仿宋" w:cs="仿宋"/>
                <w:b w:val="0"/>
                <w:sz w:val="21"/>
                <w:szCs w:val="21"/>
              </w:rPr>
              <w:t>XXX采购标段报价文件（**公司）”。请勿重复发送，采购人只认可最后一次报价。</w:t>
            </w:r>
          </w:p>
          <w:p>
            <w:pPr>
              <w:widowControl/>
              <w:adjustRightInd w:val="0"/>
              <w:snapToGrid w:val="0"/>
              <w:spacing w:line="320" w:lineRule="exact"/>
              <w:ind w:left="142" w:hanging="142"/>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3.</w:t>
            </w:r>
            <w:r>
              <w:t xml:space="preserve"> </w:t>
            </w:r>
            <w:r>
              <w:rPr>
                <w:rStyle w:val="6"/>
                <w:rFonts w:hint="default" w:ascii="仿宋" w:hAnsi="仿宋" w:eastAsia="仿宋" w:cs="仿宋"/>
                <w:b w:val="0"/>
                <w:sz w:val="21"/>
                <w:szCs w:val="21"/>
              </w:rPr>
              <w:t>Alamat Email Penawaran Khusus: 731465071@qq.com. Dokumen penawaran akhir harus dikirimkan secara eksklusif ke alamat email ini; jika tidak, dokumen tersebut tidak akan diterima. Baris subjek email harus berjudul “Dokumen Penawaran Paket Pengadaan Proyek Boja XXX (**Perusahaan)”. Jangan kirim ulang penawaran; entitas pengadaan hanya akan menerima penawaran akhir yang dikirimkan.</w:t>
            </w:r>
          </w:p>
          <w:p>
            <w:pPr>
              <w:widowControl/>
              <w:adjustRightInd w:val="0"/>
              <w:snapToGrid w:val="0"/>
              <w:spacing w:line="320" w:lineRule="exact"/>
              <w:ind w:left="142"/>
              <w:textAlignment w:val="center"/>
              <w:rPr>
                <w:rStyle w:val="6"/>
                <w:rFonts w:hint="default" w:ascii="仿宋" w:hAnsi="仿宋" w:eastAsia="仿宋" w:cs="仿宋"/>
                <w:b w:val="0"/>
                <w:sz w:val="21"/>
                <w:szCs w:val="21"/>
              </w:rPr>
            </w:pPr>
            <w:r>
              <w:rPr>
                <w:rStyle w:val="6"/>
                <w:rFonts w:ascii="仿宋" w:hAnsi="仿宋" w:eastAsia="仿宋" w:cs="仿宋"/>
                <w:b w:val="0"/>
                <w:sz w:val="21"/>
                <w:szCs w:val="21"/>
              </w:rPr>
              <w:t>澄清专用邮箱：</w:t>
            </w:r>
            <w:r>
              <w:rPr>
                <w:rStyle w:val="6"/>
                <w:rFonts w:hint="default" w:ascii="仿宋" w:hAnsi="仿宋" w:eastAsia="仿宋" w:cs="仿宋"/>
                <w:b w:val="0"/>
                <w:sz w:val="21"/>
                <w:szCs w:val="21"/>
              </w:rPr>
              <w:t>731465071@qq.com。采购过程中若有疑问可发送至该邮箱，否则不予回复，且邮件标题名称必须为“玻雅项目XXX采购标段投标疑问（**公司）”。</w:t>
            </w:r>
          </w:p>
          <w:p>
            <w:pPr>
              <w:widowControl/>
              <w:adjustRightInd w:val="0"/>
              <w:snapToGrid w:val="0"/>
              <w:spacing w:line="320" w:lineRule="exact"/>
              <w:ind w:left="142"/>
              <w:textAlignment w:val="center"/>
              <w:rPr>
                <w:rStyle w:val="6"/>
                <w:rFonts w:hint="default" w:ascii="仿宋" w:hAnsi="仿宋" w:eastAsia="仿宋" w:cs="仿宋"/>
                <w:b w:val="0"/>
                <w:sz w:val="21"/>
                <w:szCs w:val="21"/>
                <w:highlight w:val="yellow"/>
              </w:rPr>
            </w:pPr>
            <w:r>
              <w:rPr>
                <w:rStyle w:val="6"/>
                <w:rFonts w:hint="default" w:ascii="仿宋" w:hAnsi="仿宋" w:eastAsia="仿宋" w:cs="仿宋"/>
                <w:b w:val="0"/>
                <w:sz w:val="21"/>
                <w:szCs w:val="21"/>
              </w:rPr>
              <w:t>Email Klarifikasi: 731465071@qq.com. Pertanyaan selama proses pengadaan dapat dikirimkan ke alamat ini; tanggapan tidak akan diberikan jika dikirim ke alamat lain. Subjek email harus berjudul “Pertanyaan Penawaran Paket Pengadaan Proyek Boja XXX (Nama Perusahaan)”.</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采购内容：详见报价表。</w:t>
            </w:r>
          </w:p>
          <w:p>
            <w:pPr>
              <w:numPr>
                <w:ilvl w:val="0"/>
                <w:numId w:val="0"/>
              </w:numPr>
              <w:tabs>
                <w:tab w:val="left" w:pos="1800"/>
              </w:tabs>
              <w:adjustRightInd w:val="0"/>
              <w:snapToGrid w:val="0"/>
              <w:spacing w:line="320" w:lineRule="exact"/>
              <w:rPr>
                <w:rStyle w:val="6"/>
                <w:rFonts w:hint="default" w:ascii="仿宋" w:hAnsi="仿宋" w:eastAsia="仿宋" w:cs="仿宋"/>
                <w:b w:val="0"/>
                <w:sz w:val="21"/>
                <w:szCs w:val="21"/>
              </w:rPr>
            </w:pPr>
            <w:r>
              <w:rPr>
                <w:rStyle w:val="6"/>
                <w:rFonts w:hint="default" w:ascii="仿宋" w:hAnsi="仿宋" w:eastAsia="仿宋" w:cs="仿宋"/>
                <w:b w:val="0"/>
                <w:sz w:val="21"/>
                <w:szCs w:val="21"/>
              </w:rPr>
              <w:t>4.</w:t>
            </w:r>
            <w:r>
              <w:t xml:space="preserve"> </w:t>
            </w:r>
            <w:r>
              <w:rPr>
                <w:rStyle w:val="6"/>
                <w:rFonts w:hint="default" w:ascii="仿宋" w:hAnsi="仿宋" w:eastAsia="仿宋" w:cs="仿宋"/>
                <w:b w:val="0"/>
                <w:sz w:val="21"/>
                <w:szCs w:val="21"/>
              </w:rPr>
              <w:t>Ruang Lingkup Pengadaan: Seperti tercantum dalam jadwal penawaran.</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采购方式：公开询比。</w:t>
            </w:r>
          </w:p>
          <w:p>
            <w:pPr>
              <w:tabs>
                <w:tab w:val="left" w:pos="1800"/>
              </w:tabs>
              <w:adjustRightInd w:val="0"/>
              <w:snapToGrid w:val="0"/>
              <w:spacing w:line="320" w:lineRule="exact"/>
              <w:rPr>
                <w:rStyle w:val="6"/>
                <w:rFonts w:hint="default" w:ascii="仿宋" w:hAnsi="仿宋" w:eastAsia="仿宋" w:cs="仿宋"/>
                <w:b w:val="0"/>
                <w:sz w:val="21"/>
                <w:szCs w:val="21"/>
              </w:rPr>
            </w:pPr>
            <w:r>
              <w:rPr>
                <w:rStyle w:val="6"/>
                <w:rFonts w:hint="default" w:ascii="仿宋" w:hAnsi="仿宋" w:eastAsia="仿宋" w:cs="仿宋"/>
                <w:b w:val="0"/>
                <w:sz w:val="21"/>
                <w:szCs w:val="21"/>
              </w:rPr>
              <w:t>5. Metode Pengadaan: Tender Terbuka dan Perbandingan.</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评审方法：经评审的最低价法，按照满足采购需求且报价最低原则按顺序推荐候选成交供应商。</w:t>
            </w:r>
          </w:p>
          <w:p>
            <w:pPr>
              <w:tabs>
                <w:tab w:val="left" w:pos="1800"/>
              </w:tabs>
              <w:adjustRightInd w:val="0"/>
              <w:snapToGrid w:val="0"/>
              <w:spacing w:line="320" w:lineRule="exact"/>
              <w:ind w:left="284" w:hanging="284"/>
              <w:rPr>
                <w:rStyle w:val="6"/>
                <w:rFonts w:hint="default" w:ascii="仿宋" w:hAnsi="仿宋" w:eastAsia="仿宋" w:cs="仿宋"/>
                <w:b w:val="0"/>
                <w:sz w:val="21"/>
                <w:szCs w:val="21"/>
              </w:rPr>
            </w:pPr>
            <w:r>
              <w:rPr>
                <w:rStyle w:val="6"/>
                <w:rFonts w:hint="default" w:ascii="仿宋" w:hAnsi="仿宋" w:eastAsia="仿宋" w:cs="仿宋"/>
                <w:b w:val="0"/>
                <w:sz w:val="21"/>
                <w:szCs w:val="21"/>
              </w:rPr>
              <w:t>6. Metode Evaluasi: Metode Harga Penawaran Terendah yang Dievaluasi. Calon pemasok yang berhasil akan direkomendasikan secara berurutan berdasarkan pemenuhan persyaratan pengadaan dan penawaran harga terendah.</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rPr>
            </w:pPr>
            <w:r>
              <w:rPr>
                <w:rStyle w:val="6"/>
                <w:rFonts w:ascii="仿宋" w:hAnsi="仿宋" w:eastAsia="仿宋" w:cs="仿宋"/>
                <w:b w:val="0"/>
                <w:bCs/>
                <w:sz w:val="21"/>
                <w:szCs w:val="21"/>
              </w:rPr>
              <w:t>报价截止时间：</w:t>
            </w:r>
            <w:bookmarkStart w:id="0" w:name="OLE_LINK1"/>
            <w:r>
              <w:rPr>
                <w:rStyle w:val="6"/>
                <w:rFonts w:hint="default" w:ascii="仿宋" w:hAnsi="仿宋" w:eastAsia="仿宋" w:cs="仿宋"/>
                <w:b w:val="0"/>
                <w:bCs/>
                <w:sz w:val="21"/>
                <w:szCs w:val="21"/>
              </w:rPr>
              <w:t>2025年</w:t>
            </w:r>
            <w:r>
              <w:rPr>
                <w:rStyle w:val="6"/>
                <w:rFonts w:hint="eastAsia" w:ascii="仿宋" w:hAnsi="仿宋" w:eastAsia="仿宋" w:cs="仿宋"/>
                <w:b w:val="0"/>
                <w:bCs/>
                <w:sz w:val="21"/>
                <w:szCs w:val="21"/>
                <w:lang w:eastAsia="zh-CN"/>
              </w:rPr>
              <w:t>1</w:t>
            </w:r>
            <w:r>
              <w:rPr>
                <w:rStyle w:val="6"/>
                <w:rFonts w:hint="eastAsia" w:ascii="仿宋" w:hAnsi="仿宋" w:eastAsia="仿宋" w:cs="仿宋"/>
                <w:b w:val="0"/>
                <w:bCs/>
                <w:sz w:val="21"/>
                <w:szCs w:val="21"/>
                <w:lang w:val="en-US" w:eastAsia="zh-CN"/>
              </w:rPr>
              <w:t>1</w:t>
            </w:r>
            <w:r>
              <w:rPr>
                <w:rStyle w:val="6"/>
                <w:rFonts w:hint="default" w:ascii="仿宋" w:hAnsi="仿宋" w:eastAsia="仿宋" w:cs="仿宋"/>
                <w:b w:val="0"/>
                <w:bCs/>
                <w:sz w:val="21"/>
                <w:szCs w:val="21"/>
              </w:rPr>
              <w:t>月</w:t>
            </w:r>
            <w:r>
              <w:rPr>
                <w:rStyle w:val="6"/>
                <w:rFonts w:hint="eastAsia" w:ascii="仿宋" w:hAnsi="仿宋" w:eastAsia="仿宋" w:cs="仿宋"/>
                <w:b w:val="0"/>
                <w:bCs/>
                <w:sz w:val="21"/>
                <w:szCs w:val="21"/>
                <w:lang w:val="en-US" w:eastAsia="zh-CN"/>
              </w:rPr>
              <w:t>24</w:t>
            </w:r>
            <w:r>
              <w:rPr>
                <w:rStyle w:val="6"/>
                <w:rFonts w:hint="default" w:ascii="仿宋" w:hAnsi="仿宋" w:eastAsia="仿宋" w:cs="仿宋"/>
                <w:b w:val="0"/>
                <w:bCs/>
                <w:sz w:val="21"/>
                <w:szCs w:val="21"/>
              </w:rPr>
              <w:t>日</w:t>
            </w:r>
            <w:r>
              <w:rPr>
                <w:rStyle w:val="6"/>
                <w:rFonts w:hint="eastAsia" w:ascii="仿宋" w:hAnsi="仿宋" w:eastAsia="仿宋" w:cs="仿宋"/>
                <w:b w:val="0"/>
                <w:bCs/>
                <w:sz w:val="21"/>
                <w:szCs w:val="21"/>
                <w:lang w:val="en-US" w:eastAsia="zh-CN"/>
              </w:rPr>
              <w:t>15</w:t>
            </w:r>
            <w:r>
              <w:rPr>
                <w:rStyle w:val="6"/>
                <w:rFonts w:hint="default" w:ascii="仿宋" w:hAnsi="仿宋" w:eastAsia="仿宋" w:cs="仿宋"/>
                <w:b w:val="0"/>
                <w:bCs/>
                <w:sz w:val="21"/>
                <w:szCs w:val="21"/>
              </w:rPr>
              <w:t>：</w:t>
            </w:r>
            <w:r>
              <w:rPr>
                <w:rStyle w:val="6"/>
                <w:rFonts w:hint="eastAsia" w:ascii="仿宋" w:hAnsi="仿宋" w:eastAsia="仿宋" w:cs="仿宋"/>
                <w:b w:val="0"/>
                <w:bCs/>
                <w:sz w:val="21"/>
                <w:szCs w:val="21"/>
                <w:lang w:eastAsia="zh-CN"/>
              </w:rPr>
              <w:t>0</w:t>
            </w:r>
            <w:r>
              <w:rPr>
                <w:rStyle w:val="6"/>
                <w:rFonts w:hint="eastAsia" w:ascii="仿宋" w:hAnsi="仿宋" w:eastAsia="仿宋" w:cs="仿宋"/>
                <w:b w:val="0"/>
                <w:bCs/>
                <w:sz w:val="21"/>
                <w:szCs w:val="21"/>
                <w:lang w:val="en-US" w:eastAsia="zh-CN"/>
              </w:rPr>
              <w:t>0</w:t>
            </w:r>
            <w:r>
              <w:rPr>
                <w:rStyle w:val="6"/>
                <w:rFonts w:hint="default" w:ascii="仿宋" w:hAnsi="仿宋" w:eastAsia="仿宋" w:cs="仿宋"/>
                <w:b w:val="0"/>
                <w:bCs/>
                <w:sz w:val="21"/>
                <w:szCs w:val="21"/>
              </w:rPr>
              <w:t>点前</w:t>
            </w:r>
            <w:bookmarkEnd w:id="0"/>
            <w:r>
              <w:rPr>
                <w:rStyle w:val="6"/>
                <w:rFonts w:hint="default" w:ascii="仿宋" w:hAnsi="仿宋" w:eastAsia="仿宋" w:cs="仿宋"/>
                <w:b w:val="0"/>
                <w:bCs/>
                <w:sz w:val="21"/>
                <w:szCs w:val="21"/>
              </w:rPr>
              <w:t>（雅加达时间）。</w:t>
            </w:r>
          </w:p>
          <w:p>
            <w:pPr>
              <w:tabs>
                <w:tab w:val="left" w:pos="1800"/>
              </w:tabs>
              <w:adjustRightInd w:val="0"/>
              <w:snapToGrid w:val="0"/>
              <w:spacing w:line="320" w:lineRule="exact"/>
              <w:rPr>
                <w:rStyle w:val="6"/>
                <w:rFonts w:hint="default" w:ascii="仿宋" w:hAnsi="仿宋" w:eastAsia="仿宋" w:cs="仿宋"/>
                <w:b w:val="0"/>
                <w:bCs/>
                <w:sz w:val="21"/>
                <w:szCs w:val="21"/>
              </w:rPr>
            </w:pPr>
            <w:r>
              <w:rPr>
                <w:rStyle w:val="6"/>
                <w:rFonts w:hint="default" w:ascii="仿宋" w:hAnsi="仿宋" w:eastAsia="仿宋" w:cs="仿宋"/>
                <w:b w:val="0"/>
                <w:bCs/>
                <w:sz w:val="21"/>
                <w:szCs w:val="21"/>
              </w:rPr>
              <w:t xml:space="preserve">7. Batas Waktu Penawaran: Sebelum pukul </w:t>
            </w:r>
            <w:r>
              <w:rPr>
                <w:rStyle w:val="6"/>
                <w:rFonts w:hint="eastAsia" w:ascii="仿宋" w:hAnsi="仿宋" w:eastAsia="仿宋" w:cs="仿宋"/>
                <w:b w:val="0"/>
                <w:bCs/>
                <w:sz w:val="21"/>
                <w:szCs w:val="21"/>
                <w:lang w:val="en-US" w:eastAsia="zh-CN"/>
              </w:rPr>
              <w:t>15</w:t>
            </w:r>
            <w:r>
              <w:rPr>
                <w:rStyle w:val="6"/>
                <w:rFonts w:hint="default" w:ascii="仿宋" w:hAnsi="仿宋" w:eastAsia="仿宋" w:cs="仿宋"/>
                <w:b w:val="0"/>
                <w:bCs/>
                <w:sz w:val="21"/>
                <w:szCs w:val="21"/>
              </w:rPr>
              <w:t xml:space="preserve">.00 tanggal </w:t>
            </w:r>
            <w:r>
              <w:rPr>
                <w:rStyle w:val="6"/>
                <w:rFonts w:hint="eastAsia" w:ascii="仿宋" w:hAnsi="仿宋" w:eastAsia="仿宋" w:cs="仿宋"/>
                <w:b w:val="0"/>
                <w:bCs/>
                <w:sz w:val="21"/>
                <w:szCs w:val="21"/>
                <w:lang w:val="en-US" w:eastAsia="zh-CN"/>
              </w:rPr>
              <w:t>24</w:t>
            </w:r>
            <w:r>
              <w:rPr>
                <w:rStyle w:val="6"/>
                <w:rFonts w:hint="default" w:ascii="仿宋" w:hAnsi="仿宋" w:eastAsia="仿宋" w:cs="仿宋"/>
                <w:b w:val="0"/>
                <w:bCs/>
                <w:sz w:val="21"/>
                <w:szCs w:val="21"/>
              </w:rPr>
              <w:t xml:space="preserve"> November 2025 (Waktu Jakarta).</w:t>
            </w:r>
          </w:p>
          <w:p>
            <w:pPr>
              <w:numPr>
                <w:ilvl w:val="0"/>
                <w:numId w:val="1"/>
              </w:numPr>
              <w:tabs>
                <w:tab w:val="left" w:pos="1800"/>
              </w:tabs>
              <w:adjustRightInd w:val="0"/>
              <w:snapToGrid w:val="0"/>
              <w:spacing w:line="320" w:lineRule="exact"/>
              <w:ind w:left="284" w:hanging="284"/>
              <w:rPr>
                <w:rStyle w:val="6"/>
                <w:rFonts w:hint="default" w:ascii="仿宋" w:hAnsi="仿宋" w:eastAsia="仿宋" w:cs="仿宋"/>
                <w:b w:val="0"/>
                <w:bCs/>
                <w:sz w:val="21"/>
                <w:szCs w:val="21"/>
                <w:lang w:bidi="ar"/>
              </w:rPr>
            </w:pPr>
            <w:r>
              <w:rPr>
                <w:rStyle w:val="6"/>
                <w:rFonts w:ascii="仿宋" w:hAnsi="仿宋" w:eastAsia="仿宋" w:cs="仿宋"/>
                <w:b w:val="0"/>
                <w:bCs/>
                <w:sz w:val="21"/>
                <w:szCs w:val="21"/>
              </w:rPr>
              <w:t>送货地址：</w:t>
            </w:r>
            <w:r>
              <w:rPr>
                <w:rStyle w:val="6"/>
                <w:rFonts w:hint="default" w:ascii="仿宋" w:hAnsi="仿宋" w:eastAsia="仿宋" w:cs="仿宋"/>
                <w:b w:val="0"/>
                <w:bCs/>
                <w:sz w:val="21"/>
                <w:szCs w:val="21"/>
              </w:rPr>
              <w:t>PT. CHD Power Plant Operation Indonesia" PLTU SUMSEL 8 Desa Tanjung Lalang, Tanjung Agung, Kabupaten Muara Enim, Sumatera Selata</w:t>
            </w:r>
            <w:r>
              <w:rPr>
                <w:rStyle w:val="6"/>
                <w:rFonts w:hint="default" w:ascii="仿宋" w:hAnsi="仿宋" w:eastAsia="仿宋" w:cs="仿宋"/>
                <w:b w:val="0"/>
                <w:bCs/>
                <w:sz w:val="21"/>
                <w:szCs w:val="21"/>
                <w:lang w:bidi="ar"/>
              </w:rPr>
              <w:t>。</w:t>
            </w:r>
          </w:p>
          <w:p>
            <w:pPr>
              <w:tabs>
                <w:tab w:val="left" w:pos="1800"/>
              </w:tabs>
              <w:adjustRightInd w:val="0"/>
              <w:snapToGrid w:val="0"/>
              <w:spacing w:line="320" w:lineRule="exact"/>
              <w:ind w:left="284" w:hanging="284"/>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8. Alamat Pengiriman: PT. CHD Power Plant Operation Indonesia “PLTU SUMSEL 8”, Desa Tanjung Lalang, Tanjung Agung, Kabupaten Muara Enim, Sumatera Selatan.  </w:t>
            </w:r>
          </w:p>
          <w:p>
            <w:pPr>
              <w:pStyle w:val="7"/>
              <w:numPr>
                <w:ilvl w:val="0"/>
                <w:numId w:val="1"/>
              </w:numPr>
              <w:adjustRightInd w:val="0"/>
              <w:snapToGrid w:val="0"/>
              <w:spacing w:line="320" w:lineRule="exact"/>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采购监督投诉受理邮箱</w:t>
            </w:r>
            <w:r>
              <w:rPr>
                <w:rStyle w:val="6"/>
                <w:rFonts w:hint="eastAsia" w:ascii="仿宋" w:hAnsi="仿宋" w:eastAsia="仿宋" w:cs="仿宋"/>
                <w:b w:val="0"/>
                <w:bCs/>
                <w:sz w:val="21"/>
                <w:szCs w:val="21"/>
                <w:lang w:val="en-US" w:eastAsia="zh-CN" w:bidi="ar"/>
              </w:rPr>
              <w:t>:</w:t>
            </w:r>
            <w:r>
              <w:rPr>
                <w:rStyle w:val="6"/>
                <w:rFonts w:hint="default" w:ascii="仿宋" w:hAnsi="仿宋" w:eastAsia="仿宋" w:cs="仿宋"/>
                <w:b w:val="0"/>
                <w:bCs/>
                <w:sz w:val="21"/>
                <w:szCs w:val="21"/>
                <w:lang w:bidi="ar"/>
              </w:rPr>
              <w:t>info-sumsel8@chdoc.co.id。</w:t>
            </w:r>
          </w:p>
          <w:p>
            <w:pPr>
              <w:pStyle w:val="9"/>
              <w:numPr>
                <w:ilvl w:val="0"/>
                <w:numId w:val="1"/>
              </w:numPr>
              <w:ind w:left="0" w:leftChars="0" w:firstLine="0" w:firstLineChars="0"/>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Alamat Email Pengaduan Pengawasan Pengadaan: info-sumsel8@chdoc.co.id.</w:t>
            </w:r>
          </w:p>
          <w:p>
            <w:pPr>
              <w:pStyle w:val="9"/>
              <w:numPr>
                <w:ilvl w:val="0"/>
                <w:numId w:val="0"/>
              </w:numPr>
              <w:ind w:leftChars="0"/>
              <w:rPr>
                <w:rStyle w:val="6"/>
                <w:rFonts w:hint="default" w:ascii="仿宋" w:hAnsi="仿宋" w:eastAsia="仿宋" w:cs="仿宋"/>
                <w:b w:val="0"/>
                <w:bCs/>
                <w:sz w:val="21"/>
                <w:szCs w:val="21"/>
                <w:lang w:bidi="ar"/>
              </w:rPr>
            </w:pP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二、报价说明</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II. Spesifikasi Penawaran</w:t>
            </w:r>
          </w:p>
          <w:p>
            <w:pPr>
              <w:pStyle w:val="13"/>
              <w:widowControl/>
              <w:numPr>
                <w:ilvl w:val="0"/>
                <w:numId w:val="2"/>
              </w:numPr>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报价人的报价包括人工费、材料费、运杂费、管理费、利润、PPN税费、保险费以及标的物运抵到采购人指定交货地点有关的一切费用，固定价格保持不变。</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1. Penawaran peserta lelang harus mencakup biaya tenaga kerja, biaya bahan, biaya angkut dan penanganan, biaya manajemen, keuntungan, pajak PPN, premi asuransi, dan semua biaya yang terkait dengan pengiriman barang ke lokasi pengiriman yang ditunjuk oleh pembeli. Harga tetap harus tetap tidak berubah.</w:t>
            </w:r>
          </w:p>
          <w:p>
            <w:pPr>
              <w:pStyle w:val="13"/>
              <w:widowControl/>
              <w:numPr>
                <w:ilvl w:val="0"/>
                <w:numId w:val="2"/>
              </w:numPr>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特别注意：所报货物参数规格务必符合要求，所报产品差异应注明。</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2. Catatan Khusus: Parameter dan spesifikasi barang yang ditawarkan harus sesuai dengan persyaratan.  dan setiap penyimpangan dari barang yang ditawarkan harus dinyatakan dengan jelas.</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3. 供货周期：2025年</w:t>
            </w:r>
            <w:r>
              <w:rPr>
                <w:rStyle w:val="6"/>
                <w:rFonts w:hint="eastAsia" w:ascii="仿宋" w:hAnsi="仿宋" w:eastAsia="仿宋" w:cs="仿宋"/>
                <w:b w:val="0"/>
                <w:bCs/>
                <w:sz w:val="21"/>
                <w:szCs w:val="21"/>
                <w:lang w:val="en-US" w:eastAsia="zh-CN" w:bidi="ar"/>
              </w:rPr>
              <w:t>12</w:t>
            </w:r>
            <w:r>
              <w:rPr>
                <w:rStyle w:val="6"/>
                <w:rFonts w:hint="default" w:ascii="仿宋" w:hAnsi="仿宋" w:eastAsia="仿宋" w:cs="仿宋"/>
                <w:b w:val="0"/>
                <w:bCs/>
                <w:sz w:val="21"/>
                <w:szCs w:val="21"/>
                <w:lang w:bidi="ar"/>
              </w:rPr>
              <w:t>月</w:t>
            </w:r>
            <w:r>
              <w:rPr>
                <w:rStyle w:val="6"/>
                <w:rFonts w:hint="eastAsia" w:ascii="仿宋" w:hAnsi="仿宋" w:eastAsia="仿宋" w:cs="仿宋"/>
                <w:b w:val="0"/>
                <w:bCs/>
                <w:sz w:val="21"/>
                <w:szCs w:val="21"/>
                <w:lang w:val="en-US" w:eastAsia="zh-CN" w:bidi="ar"/>
              </w:rPr>
              <w:t>31</w:t>
            </w:r>
            <w:r>
              <w:rPr>
                <w:rStyle w:val="6"/>
                <w:rFonts w:hint="default" w:ascii="仿宋" w:hAnsi="仿宋" w:eastAsia="仿宋" w:cs="仿宋"/>
                <w:b w:val="0"/>
                <w:bCs/>
                <w:sz w:val="21"/>
                <w:szCs w:val="21"/>
                <w:lang w:bidi="ar"/>
              </w:rPr>
              <w:t>日之前，如有特殊产品交货期晚于该时间，经确认后可适当延长。</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3.</w:t>
            </w:r>
            <w:r>
              <w:rPr>
                <w:rStyle w:val="6"/>
                <w:rFonts w:hint="default" w:ascii="仿宋" w:hAnsi="仿宋" w:eastAsia="仿宋" w:cs="仿宋"/>
                <w:b w:val="0"/>
                <w:bCs/>
                <w:color w:val="auto"/>
                <w:sz w:val="21"/>
                <w:szCs w:val="21"/>
                <w:shd w:val="clear" w:color="auto" w:fill="auto"/>
                <w:lang w:bidi="ar"/>
              </w:rPr>
              <w:t xml:space="preserve"> Masa Pengiriman</w:t>
            </w:r>
            <w:r>
              <w:rPr>
                <w:rStyle w:val="6"/>
                <w:rFonts w:hint="eastAsia" w:ascii="仿宋" w:hAnsi="仿宋" w:eastAsia="仿宋" w:cs="仿宋"/>
                <w:b w:val="0"/>
                <w:bCs/>
                <w:color w:val="auto"/>
                <w:sz w:val="21"/>
                <w:szCs w:val="21"/>
                <w:lang w:val="en-US" w:eastAsia="zh-CN" w:bidi="ar"/>
              </w:rPr>
              <w:t>:</w:t>
            </w:r>
            <w:r>
              <w:rPr>
                <w:rStyle w:val="6"/>
                <w:rFonts w:hint="default" w:ascii="仿宋" w:hAnsi="仿宋" w:eastAsia="仿宋" w:cs="仿宋"/>
                <w:b w:val="0"/>
                <w:bCs/>
                <w:color w:val="auto"/>
                <w:sz w:val="21"/>
                <w:szCs w:val="21"/>
                <w:lang w:bidi="ar"/>
              </w:rPr>
              <w:t>H</w:t>
            </w:r>
            <w:r>
              <w:rPr>
                <w:rStyle w:val="6"/>
                <w:rFonts w:hint="default" w:ascii="仿宋" w:hAnsi="仿宋" w:eastAsia="仿宋" w:cs="仿宋"/>
                <w:b w:val="0"/>
                <w:bCs/>
                <w:sz w:val="21"/>
                <w:szCs w:val="21"/>
                <w:lang w:bidi="ar"/>
              </w:rPr>
              <w:t>arus tiba sebelum</w:t>
            </w:r>
            <w:r>
              <w:rPr>
                <w:rStyle w:val="6"/>
                <w:rFonts w:hint="eastAsia" w:ascii="仿宋" w:hAnsi="仿宋" w:eastAsia="仿宋" w:cs="仿宋"/>
                <w:b w:val="0"/>
                <w:bCs/>
                <w:sz w:val="21"/>
                <w:szCs w:val="21"/>
                <w:lang w:val="en-US" w:eastAsia="zh-CN" w:bidi="ar"/>
              </w:rPr>
              <w:t xml:space="preserve"> 31</w:t>
            </w:r>
            <w:r>
              <w:rPr>
                <w:rStyle w:val="6"/>
                <w:rFonts w:hint="default" w:ascii="仿宋" w:hAnsi="仿宋" w:eastAsia="仿宋" w:cs="仿宋"/>
                <w:b w:val="0"/>
                <w:bCs/>
                <w:sz w:val="21"/>
                <w:szCs w:val="21"/>
                <w:lang w:bidi="ar"/>
              </w:rPr>
              <w:t xml:space="preserve"> Desember 2025.Jika waktu pengiriman untuk produk khusus lebih lambat dari waktu tersebut, dapat diperpanjang dengan tepat setelah konfirmasi.</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4. 资格审查资料：提供营业执照、税务登记证、法人身份证明文件。</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4. Dokumen Verifikasi Kualifikasi: Sediakan Surat Izin Usaha, Sertifikat Pendaftaran Pajak, dan Dokumen Identitas Pejabat Hukum.</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5. 付款方式：货到验收合格后通过银行转账付款，报价人应具有银行对公账户。5. Metode Pembayaran: Pembayaran akan dilakukan melalui transfer bank setelah pengiriman dan penerimaan barang berhasil. Penyedia penawaran harus memiliki rekening bank korporasi.</w:t>
            </w:r>
          </w:p>
          <w:p>
            <w:pPr>
              <w:widowControl/>
              <w:adjustRightInd w:val="0"/>
              <w:snapToGrid w:val="0"/>
              <w:spacing w:line="320" w:lineRule="exact"/>
              <w:textAlignment w:val="center"/>
              <w:rPr>
                <w:rStyle w:val="6"/>
                <w:rFonts w:hint="default" w:ascii="仿宋" w:hAnsi="仿宋" w:eastAsia="仿宋" w:cs="仿宋"/>
                <w:b w:val="0"/>
                <w:bCs/>
                <w:sz w:val="21"/>
                <w:szCs w:val="21"/>
                <w:lang w:val="en-US" w:eastAsia="zh-CN" w:bidi="ar"/>
              </w:rPr>
            </w:pPr>
            <w:r>
              <w:rPr>
                <w:rStyle w:val="6"/>
                <w:rFonts w:hint="default" w:ascii="仿宋" w:hAnsi="仿宋" w:eastAsia="仿宋" w:cs="仿宋"/>
                <w:b w:val="0"/>
                <w:bCs/>
                <w:sz w:val="21"/>
                <w:szCs w:val="21"/>
                <w:lang w:bidi="ar"/>
              </w:rPr>
              <w:t>6. 质保金：</w:t>
            </w:r>
            <w:r>
              <w:rPr>
                <w:rStyle w:val="6"/>
                <w:rFonts w:hint="default" w:ascii="仿宋" w:hAnsi="仿宋" w:eastAsia="仿宋" w:cs="仿宋"/>
                <w:b w:val="0"/>
                <w:bCs/>
                <w:sz w:val="21"/>
                <w:szCs w:val="21"/>
                <w:lang w:bidi="ar"/>
              </w:rPr>
              <w:sym w:font="Wingdings 2" w:char="0052"/>
            </w:r>
            <w:r>
              <w:rPr>
                <w:rStyle w:val="6"/>
                <w:rFonts w:hint="default" w:ascii="仿宋" w:hAnsi="仿宋" w:eastAsia="仿宋" w:cs="仿宋"/>
                <w:b w:val="0"/>
                <w:bCs/>
                <w:sz w:val="21"/>
                <w:szCs w:val="21"/>
                <w:lang w:bidi="ar"/>
              </w:rPr>
              <w:t>不适用。</w:t>
            </w:r>
            <w:r>
              <w:rPr>
                <w:rStyle w:val="6"/>
                <w:rFonts w:hint="default" w:ascii="仿宋" w:hAnsi="仿宋" w:eastAsia="仿宋" w:cs="仿宋"/>
                <w:b w:val="0"/>
                <w:bCs/>
                <w:sz w:val="21"/>
                <w:szCs w:val="21"/>
                <w:lang w:bidi="ar"/>
              </w:rPr>
              <w:sym w:font="Wingdings 2" w:char="00A3"/>
            </w:r>
            <w:r>
              <w:rPr>
                <w:rStyle w:val="6"/>
                <w:rFonts w:hint="default" w:ascii="仿宋" w:hAnsi="仿宋" w:eastAsia="仿宋" w:cs="仿宋"/>
                <w:b w:val="0"/>
                <w:bCs/>
                <w:sz w:val="21"/>
                <w:szCs w:val="21"/>
                <w:lang w:bidi="ar"/>
              </w:rPr>
              <w:t>适用：合同总额的</w:t>
            </w:r>
            <w:r>
              <w:rPr>
                <w:rStyle w:val="6"/>
                <w:rFonts w:hint="default" w:ascii="仿宋" w:hAnsi="仿宋" w:eastAsia="仿宋" w:cs="仿宋"/>
                <w:b w:val="0"/>
                <w:bCs/>
                <w:sz w:val="21"/>
                <w:szCs w:val="21"/>
                <w:u w:val="single"/>
                <w:lang w:bidi="ar"/>
              </w:rPr>
              <w:t xml:space="preserve"> </w:t>
            </w:r>
            <w:r>
              <w:rPr>
                <w:rStyle w:val="6"/>
                <w:rFonts w:hint="eastAsia" w:ascii="仿宋" w:hAnsi="仿宋" w:eastAsia="仿宋" w:cs="仿宋"/>
                <w:b w:val="0"/>
                <w:bCs/>
                <w:sz w:val="21"/>
                <w:szCs w:val="21"/>
                <w:u w:val="single"/>
                <w:lang w:val="en-US" w:eastAsia="zh-CN" w:bidi="ar"/>
              </w:rPr>
              <w:t xml:space="preserve"> </w:t>
            </w:r>
            <w:r>
              <w:rPr>
                <w:rStyle w:val="6"/>
                <w:rFonts w:hint="default" w:ascii="仿宋" w:hAnsi="仿宋" w:eastAsia="仿宋" w:cs="仿宋"/>
                <w:b w:val="0"/>
                <w:bCs/>
                <w:sz w:val="21"/>
                <w:szCs w:val="21"/>
                <w:lang w:bidi="ar"/>
              </w:rPr>
              <w:t>，期限</w:t>
            </w:r>
            <w:r>
              <w:rPr>
                <w:rStyle w:val="6"/>
                <w:rFonts w:hint="eastAsia" w:ascii="仿宋" w:hAnsi="仿宋" w:eastAsia="仿宋" w:cs="仿宋"/>
                <w:b w:val="0"/>
                <w:bCs/>
                <w:sz w:val="21"/>
                <w:szCs w:val="21"/>
                <w:u w:val="single"/>
                <w:lang w:val="en-US" w:eastAsia="zh-CN" w:bidi="ar"/>
              </w:rPr>
              <w:t xml:space="preserve">   </w:t>
            </w:r>
            <w:r>
              <w:rPr>
                <w:rStyle w:val="6"/>
                <w:rFonts w:hint="default" w:ascii="仿宋" w:hAnsi="仿宋" w:eastAsia="仿宋" w:cs="仿宋"/>
                <w:b w:val="0"/>
                <w:bCs/>
                <w:sz w:val="21"/>
                <w:szCs w:val="21"/>
                <w:lang w:bidi="ar"/>
              </w:rPr>
              <w:t>。</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6. Deposit Retensi: </w:t>
            </w:r>
            <w:r>
              <w:rPr>
                <w:rStyle w:val="6"/>
                <w:rFonts w:hint="default" w:ascii="仿宋" w:hAnsi="仿宋" w:eastAsia="仿宋" w:cs="仿宋"/>
                <w:b w:val="0"/>
                <w:bCs/>
                <w:sz w:val="21"/>
                <w:szCs w:val="21"/>
                <w:lang w:bidi="ar"/>
              </w:rPr>
              <w:sym w:font="Wingdings 2" w:char="0052"/>
            </w:r>
            <w:r>
              <w:rPr>
                <w:rStyle w:val="6"/>
                <w:rFonts w:hint="default" w:ascii="仿宋" w:hAnsi="仿宋" w:eastAsia="仿宋" w:cs="仿宋"/>
                <w:b w:val="0"/>
                <w:bCs/>
                <w:sz w:val="21"/>
                <w:szCs w:val="21"/>
                <w:lang w:bidi="ar"/>
              </w:rPr>
              <w:t xml:space="preserve"> Tidak berlaku. </w:t>
            </w:r>
            <w:r>
              <w:rPr>
                <w:rFonts w:hint="eastAsia" w:eastAsia="仿宋" w:cs="Calibri"/>
                <w:bCs/>
                <w:color w:val="000000"/>
                <w:szCs w:val="21"/>
                <w:lang w:bidi="ar"/>
              </w:rPr>
              <w:sym w:font="Wingdings 2" w:char="00A3"/>
            </w:r>
            <w:r>
              <w:rPr>
                <w:rStyle w:val="6"/>
                <w:rFonts w:hint="default" w:ascii="仿宋" w:hAnsi="仿宋" w:eastAsia="仿宋" w:cs="仿宋"/>
                <w:b w:val="0"/>
                <w:bCs/>
                <w:sz w:val="21"/>
                <w:szCs w:val="21"/>
                <w:lang w:bidi="ar"/>
              </w:rPr>
              <w:t xml:space="preserve"> Berlaku: </w:t>
            </w:r>
            <w:r>
              <w:rPr>
                <w:rStyle w:val="6"/>
                <w:rFonts w:hint="eastAsia" w:ascii="仿宋" w:hAnsi="仿宋" w:eastAsia="仿宋" w:cs="仿宋"/>
                <w:b w:val="0"/>
                <w:bCs/>
                <w:sz w:val="21"/>
                <w:szCs w:val="21"/>
                <w:lang w:val="en-US" w:eastAsia="zh-CN" w:bidi="ar"/>
              </w:rPr>
              <w:t xml:space="preserve"> </w:t>
            </w:r>
            <w:r>
              <w:rPr>
                <w:rStyle w:val="6"/>
                <w:rFonts w:hint="eastAsia" w:ascii="仿宋" w:hAnsi="仿宋" w:eastAsia="仿宋" w:cs="仿宋"/>
                <w:b w:val="0"/>
                <w:bCs/>
                <w:sz w:val="21"/>
                <w:szCs w:val="21"/>
                <w:u w:val="single"/>
                <w:lang w:val="en-US" w:eastAsia="zh-CN" w:bidi="ar"/>
              </w:rPr>
              <w:t xml:space="preserve">  </w:t>
            </w:r>
            <w:r>
              <w:rPr>
                <w:rStyle w:val="6"/>
                <w:rFonts w:hint="default" w:ascii="仿宋" w:hAnsi="仿宋" w:eastAsia="仿宋" w:cs="仿宋"/>
                <w:b w:val="0"/>
                <w:bCs/>
                <w:sz w:val="21"/>
                <w:szCs w:val="21"/>
                <w:lang w:bidi="ar"/>
              </w:rPr>
              <w:t>dari total kontrak, angka waktu:</w:t>
            </w:r>
            <w:r>
              <w:rPr>
                <w:rStyle w:val="6"/>
                <w:rFonts w:hint="eastAsia" w:ascii="仿宋" w:hAnsi="仿宋" w:eastAsia="仿宋" w:cs="仿宋"/>
                <w:b w:val="0"/>
                <w:bCs/>
                <w:sz w:val="21"/>
                <w:szCs w:val="21"/>
                <w:u w:val="single"/>
                <w:lang w:val="en-US" w:eastAsia="zh-CN" w:bidi="ar"/>
              </w:rPr>
              <w:t xml:space="preserve">   </w:t>
            </w:r>
            <w:r>
              <w:rPr>
                <w:rStyle w:val="6"/>
                <w:rFonts w:hint="default" w:ascii="仿宋" w:hAnsi="仿宋" w:eastAsia="仿宋" w:cs="仿宋"/>
                <w:b w:val="0"/>
                <w:bCs/>
                <w:sz w:val="21"/>
                <w:szCs w:val="21"/>
                <w:lang w:bidi="ar"/>
              </w:rPr>
              <w:t>.</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7. 采购人不保证价格最低的供应商中标，也不对未中标的供应商作任何解释。对使用不符合质量要求的产品报价不予评审。</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7. Pembeli tidak menjamin bahwa pemasok dengan harga terendah akan mendapatkan kontrak dan tidak akan memberikan penjelasan kepada penawar yang tidak berhasil. Penawaran yang menggunakan produk yang tidak memenuhi persyaratan kualitas tidak akan dievaluasi.</w:t>
            </w:r>
          </w:p>
          <w:p>
            <w:pPr>
              <w:widowControl/>
              <w:adjustRightInd w:val="0"/>
              <w:snapToGrid w:val="0"/>
              <w:spacing w:line="320" w:lineRule="exact"/>
              <w:textAlignment w:val="center"/>
              <w:rPr>
                <w:rFonts w:ascii="仿宋" w:hAnsi="仿宋" w:eastAsia="仿宋" w:cs="仿宋"/>
                <w:bCs/>
                <w:color w:val="000000"/>
                <w:kern w:val="0"/>
                <w:szCs w:val="21"/>
                <w:lang w:bidi="ar"/>
              </w:rPr>
            </w:pPr>
            <w:r>
              <w:rPr>
                <w:rStyle w:val="6"/>
                <w:rFonts w:hint="default" w:ascii="仿宋" w:hAnsi="仿宋" w:eastAsia="仿宋" w:cs="仿宋"/>
                <w:b w:val="0"/>
                <w:bCs/>
                <w:sz w:val="21"/>
                <w:szCs w:val="21"/>
                <w:lang w:bidi="ar"/>
              </w:rPr>
              <w:t>III. Formulir Penawaran</w:t>
            </w:r>
          </w:p>
        </w:tc>
      </w:tr>
    </w:tbl>
    <w:p/>
    <w:p>
      <w:pPr>
        <w:rPr>
          <w:rFonts w:hint="eastAsia"/>
          <w:lang w:val="en-US" w:eastAsia="zh-CN"/>
        </w:rPr>
        <w:sectPr>
          <w:pgSz w:w="11906" w:h="16838"/>
          <w:pgMar w:top="907" w:right="850" w:bottom="1134" w:left="1134" w:header="851" w:footer="992" w:gutter="0"/>
          <w:cols w:space="425" w:num="1"/>
          <w:docGrid w:type="lines" w:linePitch="312" w:charSpace="0"/>
        </w:sectPr>
      </w:pPr>
    </w:p>
    <w:p>
      <w:pPr>
        <w:numPr>
          <w:ilvl w:val="0"/>
          <w:numId w:val="3"/>
        </w:numPr>
        <w:rPr>
          <w:rFonts w:hint="default"/>
          <w:lang w:val="en-US" w:eastAsia="zh-CN"/>
        </w:rPr>
      </w:pPr>
      <w:r>
        <w:rPr>
          <w:rFonts w:hint="eastAsia"/>
          <w:lang w:val="en-US" w:eastAsia="zh-CN"/>
        </w:rPr>
        <w:t>报价表</w:t>
      </w:r>
    </w:p>
    <w:p>
      <w:pPr>
        <w:numPr>
          <w:ilvl w:val="0"/>
          <w:numId w:val="0"/>
        </w:numPr>
        <w:rPr>
          <w:rFonts w:hint="default"/>
          <w:lang w:val="en-US" w:eastAsia="zh-CN"/>
        </w:rPr>
      </w:pPr>
      <w:r>
        <w:rPr>
          <w:rStyle w:val="6"/>
          <w:rFonts w:hint="default" w:ascii="仿宋" w:hAnsi="仿宋" w:eastAsia="仿宋" w:cs="仿宋"/>
          <w:b w:val="0"/>
          <w:bCs/>
          <w:sz w:val="21"/>
          <w:szCs w:val="21"/>
          <w:lang w:bidi="ar"/>
        </w:rPr>
        <w:t>III. Formulir Penawaran</w:t>
      </w:r>
    </w:p>
    <w:tbl>
      <w:tblPr>
        <w:tblStyle w:val="2"/>
        <w:tblW w:w="139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76"/>
        <w:gridCol w:w="1143"/>
        <w:gridCol w:w="59"/>
        <w:gridCol w:w="3336"/>
        <w:gridCol w:w="792"/>
        <w:gridCol w:w="804"/>
        <w:gridCol w:w="1464"/>
        <w:gridCol w:w="1656"/>
        <w:gridCol w:w="42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476"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序号</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No. Seri</w:t>
            </w:r>
          </w:p>
        </w:tc>
        <w:tc>
          <w:tcPr>
            <w:tcW w:w="1202"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物资名称</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Nama Barang</w:t>
            </w:r>
          </w:p>
        </w:tc>
        <w:tc>
          <w:tcPr>
            <w:tcW w:w="3336"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规格/型号</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Spesifikasi/Model</w:t>
            </w:r>
          </w:p>
        </w:tc>
        <w:tc>
          <w:tcPr>
            <w:tcW w:w="792"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单位</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Satuan</w:t>
            </w:r>
          </w:p>
        </w:tc>
        <w:tc>
          <w:tcPr>
            <w:tcW w:w="804"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数量</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Jumlah</w:t>
            </w:r>
          </w:p>
        </w:tc>
        <w:tc>
          <w:tcPr>
            <w:tcW w:w="1464"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单价（RP）</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Fonts w:ascii="仿宋" w:hAnsi="仿宋" w:eastAsia="仿宋" w:cs="仿宋"/>
                <w:b w:val="0"/>
                <w:bCs/>
                <w:color w:val="000000"/>
                <w:szCs w:val="21"/>
                <w:lang w:bidi="ar"/>
              </w:rPr>
              <w:t>Harga Satuan (IDR)</w:t>
            </w:r>
          </w:p>
        </w:tc>
        <w:tc>
          <w:tcPr>
            <w:tcW w:w="1656"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合价（RP）</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Harga Total (IDR)</w:t>
            </w:r>
          </w:p>
        </w:tc>
        <w:tc>
          <w:tcPr>
            <w:tcW w:w="4248" w:type="dxa"/>
            <w:tcMar>
              <w:top w:w="9" w:type="dxa"/>
              <w:left w:w="9" w:type="dxa"/>
              <w:right w:w="9" w:type="dxa"/>
            </w:tcMar>
            <w:vAlign w:val="center"/>
          </w:tcPr>
          <w:p>
            <w:pPr>
              <w:widowControl/>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备注</w:t>
            </w:r>
          </w:p>
          <w:p>
            <w:pPr>
              <w:widowControl/>
              <w:jc w:val="center"/>
              <w:textAlignment w:val="center"/>
              <w:rPr>
                <w:rFonts w:ascii="仿宋" w:hAnsi="仿宋" w:eastAsia="仿宋" w:cs="仿宋"/>
                <w:b w:val="0"/>
                <w:bCs/>
                <w:color w:val="000000"/>
                <w:szCs w:val="21"/>
              </w:rPr>
            </w:pPr>
            <w:r>
              <w:rPr>
                <w:rFonts w:ascii="仿宋" w:hAnsi="仿宋" w:eastAsia="仿宋" w:cs="仿宋"/>
                <w:b w:val="0"/>
                <w:bCs/>
                <w:color w:val="000000"/>
                <w:szCs w:val="21"/>
              </w:rPr>
              <w:t>Catatan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top"/>
          </w:tcPr>
          <w:p>
            <w:pPr>
              <w:keepNext w:val="0"/>
              <w:keepLines w:val="0"/>
              <w:widowControl/>
              <w:suppressLineNumbers w:val="0"/>
              <w:jc w:val="center"/>
              <w:textAlignment w:val="top"/>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 xml:space="preserve">螺栓松动剂 </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 xml:space="preserve">400ml/气雾罐装 </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 xml:space="preserve">瓶 </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100</w:t>
            </w:r>
          </w:p>
        </w:tc>
        <w:tc>
          <w:tcPr>
            <w:tcW w:w="1464" w:type="dxa"/>
            <w:tcMar>
              <w:top w:w="9" w:type="dxa"/>
              <w:left w:w="9" w:type="dxa"/>
              <w:right w:w="9" w:type="dxa"/>
            </w:tcMar>
            <w:vAlign w:val="center"/>
          </w:tcPr>
          <w:p>
            <w:pPr>
              <w:keepNext w:val="0"/>
              <w:keepLines w:val="0"/>
              <w:widowControl/>
              <w:suppressLineNumbers w:val="0"/>
              <w:jc w:val="center"/>
              <w:textAlignment w:val="center"/>
              <w:rPr>
                <w:rFonts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ascii="仿宋" w:hAnsi="仿宋" w:eastAsia="仿宋" w:cs="仿宋"/>
                <w:color w:val="000000"/>
                <w:kern w:val="0"/>
                <w:szCs w:val="21"/>
                <w:lang w:bidi="ar"/>
              </w:rPr>
            </w:pPr>
          </w:p>
        </w:tc>
        <w:tc>
          <w:tcPr>
            <w:tcW w:w="4248" w:type="dxa"/>
            <w:tcMar>
              <w:top w:w="9" w:type="dxa"/>
              <w:left w:w="9" w:type="dxa"/>
              <w:right w:w="9" w:type="dxa"/>
            </w:tcMar>
            <w:vAlign w:val="center"/>
          </w:tcPr>
          <w:p>
            <w:pPr>
              <w:jc w:val="center"/>
              <w:rPr>
                <w:rFonts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top"/>
          </w:tcPr>
          <w:p>
            <w:pPr>
              <w:keepNext w:val="0"/>
              <w:keepLines w:val="0"/>
              <w:widowControl/>
              <w:suppressLineNumbers w:val="0"/>
              <w:jc w:val="center"/>
              <w:textAlignment w:val="top"/>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碎布</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1包50kg</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kg</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1000</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jc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top"/>
          </w:tcPr>
          <w:p>
            <w:pPr>
              <w:keepNext w:val="0"/>
              <w:keepLines w:val="0"/>
              <w:widowControl/>
              <w:suppressLineNumbers w:val="0"/>
              <w:jc w:val="center"/>
              <w:textAlignment w:val="top"/>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3</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除锈剂</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WD40 200L/瓶</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瓶</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200</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jc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top"/>
          </w:tcPr>
          <w:p>
            <w:pPr>
              <w:keepNext w:val="0"/>
              <w:keepLines w:val="0"/>
              <w:widowControl/>
              <w:suppressLineNumbers w:val="0"/>
              <w:jc w:val="center"/>
              <w:textAlignment w:val="top"/>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4</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自喷漆</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白色400ml/瓶</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瓶</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50</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jc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top"/>
          </w:tcPr>
          <w:p>
            <w:pPr>
              <w:keepNext w:val="0"/>
              <w:keepLines w:val="0"/>
              <w:widowControl/>
              <w:suppressLineNumbers w:val="0"/>
              <w:jc w:val="center"/>
              <w:textAlignment w:val="top"/>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5</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自喷漆</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红色400ml/瓶</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瓶</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50</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jc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top"/>
          </w:tcPr>
          <w:p>
            <w:pPr>
              <w:keepNext w:val="0"/>
              <w:keepLines w:val="0"/>
              <w:widowControl/>
              <w:suppressLineNumbers w:val="0"/>
              <w:jc w:val="center"/>
              <w:textAlignment w:val="top"/>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6</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自喷漆</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黄色400ml/瓶</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瓶</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50</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jc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top"/>
          </w:tcPr>
          <w:p>
            <w:pPr>
              <w:keepNext w:val="0"/>
              <w:keepLines w:val="0"/>
              <w:widowControl/>
              <w:suppressLineNumbers w:val="0"/>
              <w:jc w:val="center"/>
              <w:textAlignment w:val="top"/>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7</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自喷漆</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黑色400ml/瓶</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瓶</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50</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top"/>
          </w:tcPr>
          <w:p>
            <w:pPr>
              <w:keepNext w:val="0"/>
              <w:keepLines w:val="0"/>
              <w:widowControl/>
              <w:suppressLineNumbers w:val="0"/>
              <w:jc w:val="center"/>
              <w:textAlignment w:val="top"/>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8</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自喷漆</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灰色400ml/瓶</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瓶</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100</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top"/>
          </w:tcPr>
          <w:p>
            <w:pPr>
              <w:keepNext w:val="0"/>
              <w:keepLines w:val="0"/>
              <w:widowControl/>
              <w:suppressLineNumbers w:val="0"/>
              <w:jc w:val="center"/>
              <w:textAlignment w:val="top"/>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9</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自喷漆</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绿色400ml/瓶</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瓶</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50</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jc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top"/>
          </w:tcPr>
          <w:p>
            <w:pPr>
              <w:keepNext w:val="0"/>
              <w:keepLines w:val="0"/>
              <w:widowControl/>
              <w:suppressLineNumbers w:val="0"/>
              <w:jc w:val="center"/>
              <w:textAlignment w:val="top"/>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10</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自喷漆</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蓝色400ml/瓶</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瓶</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50</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jc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top"/>
          </w:tcPr>
          <w:p>
            <w:pPr>
              <w:keepNext w:val="0"/>
              <w:keepLines w:val="0"/>
              <w:widowControl/>
              <w:suppressLineNumbers w:val="0"/>
              <w:jc w:val="center"/>
              <w:textAlignment w:val="top"/>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11</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电气绝缘清洗剂</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DQ-50</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KG</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200</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top"/>
          </w:tcPr>
          <w:p>
            <w:pPr>
              <w:keepNext w:val="0"/>
              <w:keepLines w:val="0"/>
              <w:widowControl/>
              <w:suppressLineNumbers w:val="0"/>
              <w:jc w:val="center"/>
              <w:textAlignment w:val="top"/>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12</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不锈钢法兰</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DN50\1Cr18Ni9Ti\1.0Mpa</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片</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10</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top"/>
          </w:tcPr>
          <w:p>
            <w:pPr>
              <w:keepNext w:val="0"/>
              <w:keepLines w:val="0"/>
              <w:widowControl/>
              <w:suppressLineNumbers w:val="0"/>
              <w:jc w:val="center"/>
              <w:textAlignment w:val="top"/>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13</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不锈钢法兰</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DN150\022Cr17Ni12Mo2\1.0MPa</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片</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4</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top"/>
          </w:tcPr>
          <w:p>
            <w:pPr>
              <w:keepNext w:val="0"/>
              <w:keepLines w:val="0"/>
              <w:widowControl/>
              <w:suppressLineNumbers w:val="0"/>
              <w:jc w:val="center"/>
              <w:textAlignment w:val="top"/>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14</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不锈钢弯头</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φ159*10\1Cr18Ni9Ti\90°\1.0Mpa</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6</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top"/>
          </w:tcPr>
          <w:p>
            <w:pPr>
              <w:keepNext w:val="0"/>
              <w:keepLines w:val="0"/>
              <w:widowControl/>
              <w:suppressLineNumbers w:val="0"/>
              <w:jc w:val="center"/>
              <w:textAlignment w:val="top"/>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15</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不锈钢管</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 xml:space="preserve">φ159*8\022Cr17Ni12Mo2 </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公斤</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364</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top"/>
          </w:tcPr>
          <w:p>
            <w:pPr>
              <w:keepNext w:val="0"/>
              <w:keepLines w:val="0"/>
              <w:widowControl/>
              <w:suppressLineNumbers w:val="0"/>
              <w:jc w:val="center"/>
              <w:textAlignment w:val="top"/>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16</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金属缠绕垫</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DN250 PN1.6MPa 材质304</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40</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top"/>
          </w:tcPr>
          <w:p>
            <w:pPr>
              <w:keepNext w:val="0"/>
              <w:keepLines w:val="0"/>
              <w:widowControl/>
              <w:suppressLineNumbers w:val="0"/>
              <w:jc w:val="center"/>
              <w:textAlignment w:val="top"/>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17</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金属缠绕垫</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DN200 PN1.6MPa 材质304</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40</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top"/>
          </w:tcPr>
          <w:p>
            <w:pPr>
              <w:keepNext w:val="0"/>
              <w:keepLines w:val="0"/>
              <w:widowControl/>
              <w:suppressLineNumbers w:val="0"/>
              <w:jc w:val="center"/>
              <w:textAlignment w:val="top"/>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18</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焊条</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SPRAY ZUCAR 90 3.2*350</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公斤</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120</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r>
              <w:drawing>
                <wp:inline distT="0" distB="0" distL="114300" distR="114300">
                  <wp:extent cx="1643380" cy="586740"/>
                  <wp:effectExtent l="0" t="0" r="2540" b="7620"/>
                  <wp:docPr id="6" name="ID_0F73B2C2F46C478C85132469BB3B195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D_0F73B2C2F46C478C85132469BB3B195F"/>
                          <pic:cNvPicPr>
                            <a:picLocks noChangeAspect="1"/>
                          </pic:cNvPicPr>
                        </pic:nvPicPr>
                        <pic:blipFill>
                          <a:blip r:embed="rId4"/>
                          <a:stretch>
                            <a:fillRect/>
                          </a:stretch>
                        </pic:blipFill>
                        <pic:spPr>
                          <a:xfrm>
                            <a:off x="0" y="0"/>
                            <a:ext cx="1643380" cy="58674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top"/>
          </w:tcPr>
          <w:p>
            <w:pPr>
              <w:keepNext w:val="0"/>
              <w:keepLines w:val="0"/>
              <w:widowControl/>
              <w:suppressLineNumbers w:val="0"/>
              <w:jc w:val="center"/>
              <w:textAlignment w:val="top"/>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19</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胶水</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Sikadur 31CF，AB组合6kg</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组</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15</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jc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top"/>
          </w:tcPr>
          <w:p>
            <w:pPr>
              <w:keepNext w:val="0"/>
              <w:keepLines w:val="0"/>
              <w:widowControl/>
              <w:suppressLineNumbers w:val="0"/>
              <w:jc w:val="center"/>
              <w:textAlignment w:val="top"/>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20</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耐火胶</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AL SERL：耐温1360°C，450ml*支</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箱</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5</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top"/>
          </w:tcPr>
          <w:p>
            <w:pPr>
              <w:keepNext w:val="0"/>
              <w:keepLines w:val="0"/>
              <w:widowControl/>
              <w:suppressLineNumbers w:val="0"/>
              <w:jc w:val="center"/>
              <w:textAlignment w:val="top"/>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21</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接头</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直通螺纹1/2PT—Φ8</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10</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vMerge w:val="restart"/>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top"/>
          </w:tcPr>
          <w:p>
            <w:pPr>
              <w:keepNext w:val="0"/>
              <w:keepLines w:val="0"/>
              <w:widowControl/>
              <w:suppressLineNumbers w:val="0"/>
              <w:jc w:val="center"/>
              <w:textAlignment w:val="top"/>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22</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接头</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直通螺纹3/8PT—Φ8</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10</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vMerge w:val="continue"/>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top"/>
          </w:tcPr>
          <w:p>
            <w:pPr>
              <w:keepNext w:val="0"/>
              <w:keepLines w:val="0"/>
              <w:widowControl/>
              <w:suppressLineNumbers w:val="0"/>
              <w:jc w:val="center"/>
              <w:textAlignment w:val="top"/>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23</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JB982-77组合垫套装</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M6--M30</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盒</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jc w:val="center"/>
              <w:rPr>
                <w:rFonts w:hint="eastAsia" w:ascii="仿宋" w:hAnsi="仿宋" w:eastAsia="仿宋" w:cs="仿宋"/>
                <w:color w:val="000000"/>
                <w:kern w:val="0"/>
                <w:szCs w:val="21"/>
                <w:lang w:bidi="ar"/>
              </w:rPr>
            </w:pPr>
            <w:r>
              <w:drawing>
                <wp:inline distT="0" distB="0" distL="114300" distR="114300">
                  <wp:extent cx="309245" cy="450215"/>
                  <wp:effectExtent l="0" t="0" r="10795" b="6985"/>
                  <wp:docPr id="7" name="ID_6D9B39BDF4B84A02AFA10EC9EE7D3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D_6D9B39BDF4B84A02AFA10EC9EE7D3456"/>
                          <pic:cNvPicPr>
                            <a:picLocks noChangeAspect="1"/>
                          </pic:cNvPicPr>
                        </pic:nvPicPr>
                        <pic:blipFill>
                          <a:blip r:embed="rId5"/>
                          <a:stretch>
                            <a:fillRect/>
                          </a:stretch>
                        </pic:blipFill>
                        <pic:spPr>
                          <a:xfrm>
                            <a:off x="0" y="0"/>
                            <a:ext cx="309245" cy="45021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top"/>
          </w:tcPr>
          <w:p>
            <w:pPr>
              <w:keepNext w:val="0"/>
              <w:keepLines w:val="0"/>
              <w:widowControl/>
              <w:suppressLineNumbers w:val="0"/>
              <w:jc w:val="center"/>
              <w:textAlignment w:val="top"/>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24</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JB982-77组合垫套装</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M6--M60</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盒</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r>
              <w:drawing>
                <wp:inline distT="0" distB="0" distL="114300" distR="114300">
                  <wp:extent cx="280035" cy="412115"/>
                  <wp:effectExtent l="0" t="0" r="9525" b="14605"/>
                  <wp:docPr id="8" name="ID_303ACF8A0E2B4A389635DD06A29D42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D_303ACF8A0E2B4A389635DD06A29D42EF"/>
                          <pic:cNvPicPr>
                            <a:picLocks noChangeAspect="1"/>
                          </pic:cNvPicPr>
                        </pic:nvPicPr>
                        <pic:blipFill>
                          <a:blip r:embed="rId6"/>
                          <a:stretch>
                            <a:fillRect/>
                          </a:stretch>
                        </pic:blipFill>
                        <pic:spPr>
                          <a:xfrm>
                            <a:off x="0" y="0"/>
                            <a:ext cx="280035" cy="41211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top"/>
          </w:tcPr>
          <w:p>
            <w:pPr>
              <w:keepNext w:val="0"/>
              <w:keepLines w:val="0"/>
              <w:widowControl/>
              <w:suppressLineNumbers w:val="0"/>
              <w:jc w:val="center"/>
              <w:textAlignment w:val="top"/>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25</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高级冷却液（4L装）</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UH311</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升</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100</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top"/>
          </w:tcPr>
          <w:p>
            <w:pPr>
              <w:keepNext w:val="0"/>
              <w:keepLines w:val="0"/>
              <w:widowControl/>
              <w:suppressLineNumbers w:val="0"/>
              <w:jc w:val="center"/>
              <w:textAlignment w:val="top"/>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26</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夹布输水橡胶管</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DN25 工作压力16KG</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米</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200</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top"/>
          </w:tcPr>
          <w:p>
            <w:pPr>
              <w:keepNext w:val="0"/>
              <w:keepLines w:val="0"/>
              <w:widowControl/>
              <w:suppressLineNumbers w:val="0"/>
              <w:jc w:val="center"/>
              <w:textAlignment w:val="top"/>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27</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夹布输水橡胶管</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DN20 工作压力16KG</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米</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400</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jc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top"/>
          </w:tcPr>
          <w:p>
            <w:pPr>
              <w:keepNext w:val="0"/>
              <w:keepLines w:val="0"/>
              <w:widowControl/>
              <w:suppressLineNumbers w:val="0"/>
              <w:jc w:val="center"/>
              <w:textAlignment w:val="top"/>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28</w:t>
            </w:r>
          </w:p>
        </w:tc>
        <w:tc>
          <w:tcPr>
            <w:tcW w:w="1202" w:type="dxa"/>
            <w:gridSpan w:val="2"/>
            <w:vMerge w:val="restart"/>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加厚工具箱零件盒（无盖）</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外经尺寸：280*200*85</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20</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jc w:val="center"/>
              <w:rPr>
                <w:rFonts w:hint="eastAsia" w:ascii="仿宋" w:hAnsi="仿宋" w:eastAsia="仿宋" w:cs="仿宋"/>
                <w:color w:val="000000"/>
                <w:kern w:val="0"/>
                <w:szCs w:val="21"/>
                <w:lang w:bidi="ar"/>
              </w:rPr>
            </w:pPr>
            <w:r>
              <w:drawing>
                <wp:inline distT="0" distB="0" distL="114300" distR="114300">
                  <wp:extent cx="614045" cy="317500"/>
                  <wp:effectExtent l="0" t="0" r="10795" b="2540"/>
                  <wp:docPr id="9" name="ID_D7275A84E7D44302AFB74FEC27020DF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D_D7275A84E7D44302AFB74FEC27020DF7"/>
                          <pic:cNvPicPr>
                            <a:picLocks noChangeAspect="1"/>
                          </pic:cNvPicPr>
                        </pic:nvPicPr>
                        <pic:blipFill>
                          <a:blip r:embed="rId7"/>
                          <a:stretch>
                            <a:fillRect/>
                          </a:stretch>
                        </pic:blipFill>
                        <pic:spPr>
                          <a:xfrm>
                            <a:off x="0" y="0"/>
                            <a:ext cx="614045" cy="31750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top"/>
          </w:tcPr>
          <w:p>
            <w:pPr>
              <w:keepNext w:val="0"/>
              <w:keepLines w:val="0"/>
              <w:widowControl/>
              <w:suppressLineNumbers w:val="0"/>
              <w:jc w:val="center"/>
              <w:textAlignment w:val="top"/>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29</w:t>
            </w:r>
          </w:p>
        </w:tc>
        <w:tc>
          <w:tcPr>
            <w:tcW w:w="1202" w:type="dxa"/>
            <w:gridSpan w:val="2"/>
            <w:vMerge w:val="continue"/>
            <w:tcMar>
              <w:top w:w="9" w:type="dxa"/>
              <w:left w:w="9" w:type="dxa"/>
              <w:right w:w="9" w:type="dxa"/>
            </w:tcMar>
            <w:vAlign w:val="center"/>
          </w:tcPr>
          <w:p>
            <w:pPr>
              <w:jc w:val="left"/>
              <w:rPr>
                <w:rFonts w:hint="eastAsia" w:ascii="仿宋" w:hAnsi="仿宋" w:eastAsia="仿宋" w:cs="仿宋"/>
                <w:color w:val="000000"/>
                <w:kern w:val="0"/>
                <w:sz w:val="21"/>
                <w:szCs w:val="21"/>
                <w:lang w:bidi="ar"/>
              </w:rPr>
            </w:pP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外经尺寸：450*260*130</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20</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jc w:val="center"/>
              <w:rPr>
                <w:rFonts w:hint="eastAsia" w:ascii="仿宋" w:hAnsi="仿宋" w:eastAsia="仿宋" w:cs="仿宋"/>
                <w:color w:val="000000"/>
                <w:kern w:val="0"/>
                <w:szCs w:val="21"/>
                <w:lang w:bidi="ar"/>
              </w:rPr>
            </w:pPr>
            <w:r>
              <w:drawing>
                <wp:inline distT="0" distB="0" distL="114300" distR="114300">
                  <wp:extent cx="614045" cy="317500"/>
                  <wp:effectExtent l="0" t="0" r="10795" b="2540"/>
                  <wp:docPr id="10" name="ID_D7275A84E7D44302AFB74FEC27020DF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D_D7275A84E7D44302AFB74FEC27020DF7"/>
                          <pic:cNvPicPr>
                            <a:picLocks noChangeAspect="1"/>
                          </pic:cNvPicPr>
                        </pic:nvPicPr>
                        <pic:blipFill>
                          <a:blip r:embed="rId7"/>
                          <a:stretch>
                            <a:fillRect/>
                          </a:stretch>
                        </pic:blipFill>
                        <pic:spPr>
                          <a:xfrm>
                            <a:off x="0" y="0"/>
                            <a:ext cx="614045" cy="317500"/>
                          </a:xfrm>
                          <a:prstGeom prst="rect">
                            <a:avLst/>
                          </a:prstGeom>
                          <a:noFill/>
                          <a:ln w="9525">
                            <a:noFill/>
                          </a:ln>
                        </pic:spPr>
                      </pic:pic>
                    </a:graphicData>
                  </a:graphic>
                </wp:inline>
              </w:drawing>
            </w:r>
            <w:bookmarkStart w:id="1" w:name="_GoBack"/>
            <w:bookmarkEnd w:id="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top"/>
          </w:tcPr>
          <w:p>
            <w:pPr>
              <w:keepNext w:val="0"/>
              <w:keepLines w:val="0"/>
              <w:widowControl/>
              <w:suppressLineNumbers w:val="0"/>
              <w:jc w:val="center"/>
              <w:textAlignment w:val="top"/>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30</w:t>
            </w:r>
          </w:p>
        </w:tc>
        <w:tc>
          <w:tcPr>
            <w:tcW w:w="1202" w:type="dxa"/>
            <w:gridSpan w:val="2"/>
            <w:vMerge w:val="restart"/>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拉链式油缸防尘套（配卡箍）</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缸径：Ф63 杆径：40 行程：350</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vMerge w:val="restart"/>
            <w:tcMar>
              <w:top w:w="9" w:type="dxa"/>
              <w:left w:w="9" w:type="dxa"/>
              <w:right w:w="9" w:type="dxa"/>
            </w:tcMar>
            <w:vAlign w:val="center"/>
          </w:tcPr>
          <w:p>
            <w:pPr>
              <w:jc w:val="center"/>
              <w:rPr>
                <w:rFonts w:hint="eastAsia" w:ascii="仿宋" w:hAnsi="仿宋" w:eastAsia="仿宋" w:cs="仿宋"/>
                <w:color w:val="000000"/>
                <w:kern w:val="0"/>
                <w:szCs w:val="21"/>
                <w:lang w:bidi="ar"/>
              </w:rPr>
            </w:pPr>
            <w:r>
              <w:drawing>
                <wp:inline distT="0" distB="0" distL="114300" distR="114300">
                  <wp:extent cx="718820" cy="868045"/>
                  <wp:effectExtent l="0" t="0" r="12700"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718820" cy="868045"/>
                          </a:xfrm>
                          <a:prstGeom prst="rect">
                            <a:avLst/>
                          </a:prstGeom>
                          <a:noFill/>
                          <a:ln>
                            <a:noFill/>
                          </a:ln>
                        </pic:spPr>
                      </pic:pic>
                    </a:graphicData>
                  </a:graphic>
                </wp:inline>
              </w:drawing>
            </w:r>
            <w:r>
              <w:drawing>
                <wp:inline distT="0" distB="0" distL="114300" distR="114300">
                  <wp:extent cx="635" cy="635"/>
                  <wp:effectExtent l="0" t="0" r="0" b="0"/>
                  <wp:docPr id="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
                          <pic:cNvPicPr>
                            <a:picLocks noChangeAspect="1"/>
                          </pic:cNvPicPr>
                        </pic:nvPicPr>
                        <pic:blipFill>
                          <a:blip r:embed="rId9"/>
                          <a:stretch>
                            <a:fillRect/>
                          </a:stretch>
                        </pic:blipFill>
                        <pic:spPr>
                          <a:xfrm>
                            <a:off x="0" y="0"/>
                            <a:ext cx="635" cy="635"/>
                          </a:xfrm>
                          <a:prstGeom prst="rect">
                            <a:avLst/>
                          </a:prstGeom>
                          <a:noFill/>
                          <a:ln w="9525">
                            <a:noFill/>
                          </a:ln>
                        </pic:spPr>
                      </pic:pic>
                    </a:graphicData>
                  </a:graphic>
                </wp:inline>
              </w:drawing>
            </w:r>
            <w:r>
              <w:drawing>
                <wp:inline distT="0" distB="0" distL="114300" distR="114300">
                  <wp:extent cx="1027430" cy="737235"/>
                  <wp:effectExtent l="0" t="0" r="889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0"/>
                          <a:stretch>
                            <a:fillRect/>
                          </a:stretch>
                        </pic:blipFill>
                        <pic:spPr>
                          <a:xfrm>
                            <a:off x="0" y="0"/>
                            <a:ext cx="1027430" cy="73723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top"/>
          </w:tcPr>
          <w:p>
            <w:pPr>
              <w:keepNext w:val="0"/>
              <w:keepLines w:val="0"/>
              <w:widowControl/>
              <w:suppressLineNumbers w:val="0"/>
              <w:jc w:val="center"/>
              <w:textAlignment w:val="top"/>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31</w:t>
            </w:r>
          </w:p>
        </w:tc>
        <w:tc>
          <w:tcPr>
            <w:tcW w:w="1202" w:type="dxa"/>
            <w:gridSpan w:val="2"/>
            <w:vMerge w:val="continue"/>
            <w:tcMar>
              <w:top w:w="9" w:type="dxa"/>
              <w:left w:w="9" w:type="dxa"/>
              <w:right w:w="9" w:type="dxa"/>
            </w:tcMar>
            <w:vAlign w:val="center"/>
          </w:tcPr>
          <w:p>
            <w:pPr>
              <w:jc w:val="left"/>
              <w:rPr>
                <w:rFonts w:hint="eastAsia" w:ascii="仿宋" w:hAnsi="仿宋" w:eastAsia="仿宋" w:cs="仿宋"/>
                <w:color w:val="000000"/>
                <w:kern w:val="0"/>
                <w:sz w:val="21"/>
                <w:szCs w:val="21"/>
                <w:lang w:bidi="ar"/>
              </w:rPr>
            </w:pP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缸径：Ф63 杆径：40 行程：250</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top"/>
          </w:tcPr>
          <w:p>
            <w:pPr>
              <w:keepNext w:val="0"/>
              <w:keepLines w:val="0"/>
              <w:widowControl/>
              <w:suppressLineNumbers w:val="0"/>
              <w:jc w:val="center"/>
              <w:textAlignment w:val="top"/>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32</w:t>
            </w:r>
          </w:p>
        </w:tc>
        <w:tc>
          <w:tcPr>
            <w:tcW w:w="1202" w:type="dxa"/>
            <w:gridSpan w:val="2"/>
            <w:vMerge w:val="continue"/>
            <w:tcMar>
              <w:top w:w="9" w:type="dxa"/>
              <w:left w:w="9" w:type="dxa"/>
              <w:right w:w="9" w:type="dxa"/>
            </w:tcMar>
            <w:vAlign w:val="center"/>
          </w:tcPr>
          <w:p>
            <w:pPr>
              <w:jc w:val="left"/>
              <w:rPr>
                <w:rFonts w:hint="eastAsia" w:ascii="仿宋" w:hAnsi="仿宋" w:eastAsia="仿宋" w:cs="仿宋"/>
                <w:color w:val="000000"/>
                <w:kern w:val="0"/>
                <w:sz w:val="21"/>
                <w:szCs w:val="21"/>
                <w:lang w:bidi="ar"/>
              </w:rPr>
            </w:pP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缸径：Ф200 杆径：70 行程：300</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vMerge w:val="continue"/>
            <w:tcBorders/>
            <w:tcMar>
              <w:top w:w="9" w:type="dxa"/>
              <w:left w:w="9" w:type="dxa"/>
              <w:right w:w="9" w:type="dxa"/>
            </w:tcMar>
            <w:vAlign w:val="center"/>
          </w:tcPr>
          <w:p>
            <w:pPr>
              <w:jc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33</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电焊条</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LB-52 ∅3.2</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KG</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100</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jc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34</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镀锌管</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1寸（DN25 壁厚3mm  6m\根）</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根</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30</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jc w:val="center"/>
              <w:rPr>
                <w:rFonts w:hint="default" w:ascii="仿宋" w:hAnsi="仿宋" w:eastAsia="宋体" w:cs="仿宋"/>
                <w:color w:val="000000"/>
                <w:kern w:val="0"/>
                <w:szCs w:val="21"/>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35</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便携式电动葫芦</w:t>
            </w:r>
          </w:p>
        </w:tc>
        <w:tc>
          <w:tcPr>
            <w:tcW w:w="333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三栖虎德国进口电动葫芦220V，200公斤/19米钢丝绳。</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台</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r>
              <w:drawing>
                <wp:inline distT="0" distB="0" distL="114300" distR="114300">
                  <wp:extent cx="1087755" cy="1008380"/>
                  <wp:effectExtent l="0" t="0" r="9525" b="12700"/>
                  <wp:docPr id="4" name="ID_BFECD6043D84483EB965F0817F054C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D_BFECD6043D84483EB965F0817F054C90"/>
                          <pic:cNvPicPr>
                            <a:picLocks noChangeAspect="1"/>
                          </pic:cNvPicPr>
                        </pic:nvPicPr>
                        <pic:blipFill>
                          <a:blip r:embed="rId11"/>
                          <a:stretch>
                            <a:fillRect/>
                          </a:stretch>
                        </pic:blipFill>
                        <pic:spPr>
                          <a:xfrm>
                            <a:off x="0" y="0"/>
                            <a:ext cx="1087755" cy="100838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36</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塑料桶</w:t>
            </w:r>
          </w:p>
        </w:tc>
        <w:tc>
          <w:tcPr>
            <w:tcW w:w="333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容量50L</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壁厚</w:t>
            </w:r>
            <w:r>
              <w:rPr>
                <w:rStyle w:val="18"/>
                <w:lang w:val="en-US" w:eastAsia="zh-CN" w:bidi="ar"/>
              </w:rPr>
              <w:t>≥3mm</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6</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jc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37</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型材切割机(带切割片50张）</w:t>
            </w:r>
          </w:p>
        </w:tc>
        <w:tc>
          <w:tcPr>
            <w:tcW w:w="333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TCO2100 （Bosch）</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台</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jc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38</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手提式潜水排污泵（配100米水带）</w:t>
            </w:r>
          </w:p>
        </w:tc>
        <w:tc>
          <w:tcPr>
            <w:tcW w:w="333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DN50   220V  1.1kw</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台</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jc w:val="center"/>
              <w:rPr>
                <w:rFonts w:hint="eastAsia" w:ascii="仿宋" w:hAnsi="仿宋" w:eastAsia="仿宋" w:cs="仿宋"/>
                <w:color w:val="000000"/>
                <w:kern w:val="0"/>
                <w:szCs w:val="21"/>
                <w:lang w:bidi="ar"/>
              </w:rPr>
            </w:pPr>
            <w:r>
              <w:drawing>
                <wp:inline distT="0" distB="0" distL="114300" distR="114300">
                  <wp:extent cx="596265" cy="478790"/>
                  <wp:effectExtent l="0" t="0" r="13335" b="8890"/>
                  <wp:docPr id="5" name="ID_5BABE96F33C44E2495F43FA671895B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D_5BABE96F33C44E2495F43FA671895BD4"/>
                          <pic:cNvPicPr>
                            <a:picLocks noChangeAspect="1"/>
                          </pic:cNvPicPr>
                        </pic:nvPicPr>
                        <pic:blipFill>
                          <a:blip r:embed="rId12"/>
                          <a:stretch>
                            <a:fillRect/>
                          </a:stretch>
                        </pic:blipFill>
                        <pic:spPr>
                          <a:xfrm>
                            <a:off x="0" y="0"/>
                            <a:ext cx="596265" cy="47879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39</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内六角扳手（加长型）</w:t>
            </w:r>
          </w:p>
        </w:tc>
        <w:tc>
          <w:tcPr>
            <w:tcW w:w="333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12mm</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把</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4</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40</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内六角扳手（加长型）</w:t>
            </w:r>
          </w:p>
        </w:tc>
        <w:tc>
          <w:tcPr>
            <w:tcW w:w="333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14mm</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把</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4</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jc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41</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内六角扳手（加长型）</w:t>
            </w:r>
          </w:p>
        </w:tc>
        <w:tc>
          <w:tcPr>
            <w:tcW w:w="333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17mm</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把</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4</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42</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内六角扳手（加长型）</w:t>
            </w:r>
          </w:p>
        </w:tc>
        <w:tc>
          <w:tcPr>
            <w:tcW w:w="333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19mm</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把</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4</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43</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内六角扳手（加长型）</w:t>
            </w:r>
          </w:p>
        </w:tc>
        <w:tc>
          <w:tcPr>
            <w:tcW w:w="333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22mm</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把</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4</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jc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44</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内六角扳手（加长型）</w:t>
            </w:r>
          </w:p>
        </w:tc>
        <w:tc>
          <w:tcPr>
            <w:tcW w:w="333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24mm</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把</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4</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45</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充电式角磨机</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牧田/makita/DGA454RME ，盘径115mm</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台</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8074" w:type="dxa"/>
            <w:gridSpan w:val="7"/>
            <w:tcMar>
              <w:top w:w="9" w:type="dxa"/>
              <w:left w:w="9" w:type="dxa"/>
              <w:right w:w="9" w:type="dxa"/>
            </w:tcMar>
            <w:vAlign w:val="center"/>
          </w:tcPr>
          <w:p>
            <w:pPr>
              <w:widowControl/>
              <w:adjustRightInd w:val="0"/>
              <w:snapToGrid w:val="0"/>
              <w:spacing w:line="240" w:lineRule="auto"/>
              <w:jc w:val="center"/>
              <w:textAlignment w:val="center"/>
              <w:rPr>
                <w:rFonts w:hint="eastAsia" w:ascii="仿宋" w:hAnsi="仿宋" w:eastAsia="仿宋" w:cs="仿宋"/>
                <w:b/>
                <w:bCs w:val="0"/>
                <w:color w:val="000000"/>
                <w:szCs w:val="21"/>
                <w:lang w:val="en-US" w:eastAsia="zh-CN"/>
              </w:rPr>
            </w:pPr>
            <w:r>
              <w:rPr>
                <w:rFonts w:hint="eastAsia" w:ascii="仿宋" w:hAnsi="仿宋" w:eastAsia="仿宋" w:cs="仿宋"/>
                <w:b/>
                <w:bCs w:val="0"/>
                <w:color w:val="000000"/>
                <w:szCs w:val="21"/>
                <w:lang w:val="en-US" w:eastAsia="zh-CN"/>
              </w:rPr>
              <w:t>小计</w:t>
            </w:r>
          </w:p>
        </w:tc>
        <w:tc>
          <w:tcPr>
            <w:tcW w:w="5904" w:type="dxa"/>
            <w:gridSpan w:val="2"/>
            <w:tcMar>
              <w:top w:w="9" w:type="dxa"/>
              <w:left w:w="9" w:type="dxa"/>
              <w:right w:w="9" w:type="dxa"/>
            </w:tcMar>
            <w:vAlign w:val="center"/>
          </w:tcPr>
          <w:p>
            <w:pPr>
              <w:widowControl/>
              <w:adjustRightInd w:val="0"/>
              <w:snapToGrid w:val="0"/>
              <w:spacing w:line="240" w:lineRule="auto"/>
              <w:jc w:val="center"/>
              <w:rPr>
                <w:rFonts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8074" w:type="dxa"/>
            <w:gridSpan w:val="7"/>
            <w:tcMar>
              <w:top w:w="9" w:type="dxa"/>
              <w:left w:w="9" w:type="dxa"/>
              <w:right w:w="9" w:type="dxa"/>
            </w:tcMar>
            <w:vAlign w:val="center"/>
          </w:tcPr>
          <w:p>
            <w:pPr>
              <w:widowControl/>
              <w:adjustRightInd w:val="0"/>
              <w:snapToGrid w:val="0"/>
              <w:spacing w:line="240" w:lineRule="auto"/>
              <w:jc w:val="center"/>
              <w:textAlignment w:val="center"/>
              <w:rPr>
                <w:rFonts w:hint="default" w:ascii="仿宋" w:hAnsi="仿宋" w:eastAsia="仿宋" w:cs="仿宋"/>
                <w:b/>
                <w:bCs w:val="0"/>
                <w:color w:val="000000"/>
                <w:szCs w:val="21"/>
                <w:lang w:val="en-US" w:eastAsia="zh-CN"/>
              </w:rPr>
            </w:pPr>
            <w:r>
              <w:rPr>
                <w:rFonts w:hint="eastAsia" w:ascii="仿宋" w:hAnsi="仿宋" w:eastAsia="仿宋" w:cs="仿宋"/>
                <w:b/>
                <w:bCs w:val="0"/>
                <w:color w:val="000000"/>
                <w:szCs w:val="21"/>
                <w:lang w:val="en-US" w:eastAsia="zh-CN"/>
              </w:rPr>
              <w:t>PPN11%</w:t>
            </w:r>
          </w:p>
        </w:tc>
        <w:tc>
          <w:tcPr>
            <w:tcW w:w="5904" w:type="dxa"/>
            <w:gridSpan w:val="2"/>
            <w:tcMar>
              <w:top w:w="9" w:type="dxa"/>
              <w:left w:w="9" w:type="dxa"/>
              <w:right w:w="9" w:type="dxa"/>
            </w:tcMar>
            <w:vAlign w:val="center"/>
          </w:tcPr>
          <w:p>
            <w:pPr>
              <w:widowControl/>
              <w:adjustRightInd w:val="0"/>
              <w:snapToGrid w:val="0"/>
              <w:spacing w:line="240" w:lineRule="auto"/>
              <w:jc w:val="center"/>
              <w:rPr>
                <w:rFonts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8074" w:type="dxa"/>
            <w:gridSpan w:val="7"/>
            <w:tcMar>
              <w:top w:w="9" w:type="dxa"/>
              <w:left w:w="9" w:type="dxa"/>
              <w:right w:w="9" w:type="dxa"/>
            </w:tcMar>
            <w:vAlign w:val="center"/>
          </w:tcPr>
          <w:p>
            <w:pPr>
              <w:widowControl/>
              <w:adjustRightInd w:val="0"/>
              <w:snapToGrid w:val="0"/>
              <w:spacing w:line="240" w:lineRule="auto"/>
              <w:jc w:val="center"/>
              <w:textAlignment w:val="center"/>
              <w:rPr>
                <w:rFonts w:ascii="仿宋" w:hAnsi="仿宋" w:eastAsia="仿宋" w:cs="仿宋"/>
                <w:bCs/>
                <w:color w:val="000000"/>
                <w:szCs w:val="21"/>
              </w:rPr>
            </w:pPr>
            <w:r>
              <w:rPr>
                <w:rStyle w:val="10"/>
                <w:rFonts w:hint="default" w:ascii="仿宋" w:hAnsi="仿宋" w:eastAsia="仿宋" w:cs="仿宋"/>
                <w:sz w:val="21"/>
                <w:szCs w:val="21"/>
              </w:rPr>
              <w:t>总价Harga Total</w:t>
            </w:r>
            <w:r>
              <w:rPr>
                <w:rFonts w:hint="eastAsia" w:ascii="仿宋" w:hAnsi="仿宋" w:eastAsia="仿宋" w:cs="仿宋"/>
                <w:bCs/>
                <w:color w:val="000000"/>
                <w:kern w:val="0"/>
                <w:szCs w:val="21"/>
                <w:lang w:bidi="ar"/>
              </w:rPr>
              <w:t>：</w:t>
            </w:r>
          </w:p>
        </w:tc>
        <w:tc>
          <w:tcPr>
            <w:tcW w:w="5904" w:type="dxa"/>
            <w:gridSpan w:val="2"/>
            <w:tcMar>
              <w:top w:w="9" w:type="dxa"/>
              <w:left w:w="9" w:type="dxa"/>
              <w:right w:w="9" w:type="dxa"/>
            </w:tcMar>
            <w:vAlign w:val="center"/>
          </w:tcPr>
          <w:p>
            <w:pPr>
              <w:widowControl/>
              <w:adjustRightInd w:val="0"/>
              <w:snapToGrid w:val="0"/>
              <w:spacing w:line="240" w:lineRule="auto"/>
              <w:jc w:val="center"/>
              <w:rPr>
                <w:rFonts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1619"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交货期</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Periode pengiriman</w:t>
            </w:r>
          </w:p>
        </w:tc>
        <w:tc>
          <w:tcPr>
            <w:tcW w:w="3395"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p>
        </w:tc>
        <w:tc>
          <w:tcPr>
            <w:tcW w:w="1596"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供应商名称</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Nama Pemasok</w:t>
            </w:r>
          </w:p>
        </w:tc>
        <w:tc>
          <w:tcPr>
            <w:tcW w:w="7368" w:type="dxa"/>
            <w:gridSpan w:val="3"/>
            <w:tcMar>
              <w:top w:w="9" w:type="dxa"/>
              <w:left w:w="9" w:type="dxa"/>
              <w:right w:w="9" w:type="dxa"/>
            </w:tcMar>
            <w:vAlign w:val="center"/>
          </w:tcPr>
          <w:p>
            <w:pPr>
              <w:widowControl/>
              <w:adjustRightInd w:val="0"/>
              <w:snapToGrid w:val="0"/>
              <w:spacing w:line="240" w:lineRule="auto"/>
              <w:jc w:val="center"/>
              <w:rPr>
                <w:rFonts w:ascii="仿宋" w:hAnsi="仿宋" w:eastAsia="仿宋" w:cs="仿宋"/>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1619"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联系地址</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Alamat Kontak</w:t>
            </w:r>
          </w:p>
        </w:tc>
        <w:tc>
          <w:tcPr>
            <w:tcW w:w="12359" w:type="dxa"/>
            <w:gridSpan w:val="7"/>
            <w:tcMar>
              <w:top w:w="9" w:type="dxa"/>
              <w:left w:w="9" w:type="dxa"/>
              <w:right w:w="9" w:type="dxa"/>
            </w:tcMar>
            <w:vAlign w:val="center"/>
          </w:tcPr>
          <w:p>
            <w:pPr>
              <w:widowControl/>
              <w:adjustRightInd w:val="0"/>
              <w:snapToGrid w:val="0"/>
              <w:spacing w:line="240" w:lineRule="auto"/>
              <w:jc w:val="center"/>
              <w:rPr>
                <w:rFonts w:ascii="仿宋" w:hAnsi="仿宋" w:eastAsia="仿宋" w:cs="仿宋"/>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13978" w:type="dxa"/>
            <w:gridSpan w:val="9"/>
            <w:tcMar>
              <w:top w:w="9" w:type="dxa"/>
              <w:left w:w="9" w:type="dxa"/>
              <w:right w:w="9" w:type="dxa"/>
            </w:tcMar>
          </w:tcPr>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                                                 </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              （签字）                联系方式：</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Penyedia Penawaran:  (Tanda Tangan)              Rincian Kontak:</w:t>
            </w:r>
          </w:p>
          <w:p>
            <w:pPr>
              <w:widowControl/>
              <w:adjustRightInd w:val="0"/>
              <w:snapToGrid w:val="0"/>
              <w:spacing w:line="240" w:lineRule="auto"/>
              <w:ind w:firstLine="4410" w:firstLineChars="2100"/>
              <w:jc w:val="left"/>
              <w:textAlignment w:val="top"/>
              <w:rPr>
                <w:rStyle w:val="6"/>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报价单位：            （盖章）</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Organisasi Penawaran:            (Stempel)</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6"/>
                <w:rFonts w:hint="default" w:ascii="仿宋" w:hAnsi="仿宋" w:eastAsia="仿宋" w:cs="仿宋"/>
                <w:b w:val="0"/>
                <w:bCs/>
                <w:sz w:val="21"/>
                <w:szCs w:val="21"/>
                <w:lang w:val="en-US" w:eastAsia="zh-CN" w:bidi="ar"/>
              </w:rPr>
            </w:pPr>
            <w:r>
              <w:rPr>
                <w:rStyle w:val="6"/>
                <w:rFonts w:hint="default" w:ascii="仿宋" w:hAnsi="仿宋" w:eastAsia="仿宋" w:cs="仿宋"/>
                <w:b w:val="0"/>
                <w:bCs/>
                <w:sz w:val="21"/>
                <w:szCs w:val="21"/>
                <w:lang w:bidi="ar"/>
              </w:rPr>
              <w:t>备注：1. 报价人应签字盖章扫描后上传到报价专用邮箱</w:t>
            </w:r>
            <w:r>
              <w:rPr>
                <w:rStyle w:val="6"/>
                <w:rFonts w:hint="eastAsia" w:ascii="仿宋" w:hAnsi="仿宋" w:eastAsia="仿宋" w:cs="仿宋"/>
                <w:b w:val="0"/>
                <w:bCs/>
                <w:sz w:val="21"/>
                <w:szCs w:val="21"/>
                <w:lang w:eastAsia="zh-CN" w:bidi="ar"/>
              </w:rPr>
              <w:t>；</w:t>
            </w:r>
            <w:r>
              <w:rPr>
                <w:rStyle w:val="6"/>
                <w:rFonts w:hint="eastAsia" w:ascii="仿宋" w:hAnsi="仿宋" w:eastAsia="仿宋" w:cs="仿宋"/>
                <w:b w:val="0"/>
                <w:bCs/>
                <w:sz w:val="21"/>
                <w:szCs w:val="21"/>
                <w:lang w:val="en-US" w:eastAsia="zh-CN" w:bidi="ar"/>
              </w:rPr>
              <w:t>含图片报价清单联系商务人员索取。</w:t>
            </w:r>
          </w:p>
          <w:p>
            <w:pPr>
              <w:pStyle w:val="13"/>
              <w:widowControl/>
              <w:numPr>
                <w:ilvl w:val="0"/>
                <w:numId w:val="4"/>
              </w:numPr>
              <w:adjustRightInd w:val="0"/>
              <w:snapToGrid w:val="0"/>
              <w:spacing w:line="240" w:lineRule="auto"/>
              <w:ind w:hanging="15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报价人应附上营业执照、税务登记证、法人身份证明文件扫描件。</w:t>
            </w:r>
          </w:p>
          <w:p>
            <w:pPr>
              <w:widowControl/>
              <w:adjustRightInd w:val="0"/>
              <w:snapToGrid w:val="0"/>
              <w:spacing w:line="240" w:lineRule="auto"/>
              <w:ind w:left="993" w:hanging="99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Catatan: 1. Penyedia penawaran wajib menandatangani dan menempelkan stempel, kemudian memindai dan mengunggah dokumen ke alamat email penawaran yang ditentukan.Silakan hubungi staf penjualan kami untuk mendapatkan daftar harga termasuk gambar.</w:t>
            </w:r>
          </w:p>
          <w:p>
            <w:pPr>
              <w:widowControl/>
              <w:adjustRightInd w:val="0"/>
              <w:snapToGrid w:val="0"/>
              <w:spacing w:line="240" w:lineRule="auto"/>
              <w:ind w:left="993" w:hanging="99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      2. Penyedia penawaran wajib melampirkan salinan yang telah dipindai dari izin usaha, sertifikat pendaftaran pajak, dan dokumen identitas wakil hukum.</w:t>
            </w:r>
          </w:p>
        </w:tc>
      </w:tr>
    </w:tbl>
    <w:p>
      <w:pPr>
        <w:numPr>
          <w:ilvl w:val="0"/>
          <w:numId w:val="0"/>
        </w:numPr>
        <w:rPr>
          <w:rFonts w:hint="default"/>
          <w:lang w:val="en-US" w:eastAsia="zh-CN"/>
        </w:rPr>
      </w:pPr>
    </w:p>
    <w:sectPr>
      <w:pgSz w:w="16838" w:h="11906" w:orient="landscape"/>
      <w:pgMar w:top="1134" w:right="907" w:bottom="850" w:left="1134" w:header="851" w:footer="992" w:gutter="0"/>
      <w:cols w:space="0" w:num="1"/>
      <w:rtlGutter w:val="0"/>
      <w:docGrid w:type="lines" w:linePitch="32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BAD54"/>
    <w:multiLevelType w:val="singleLevel"/>
    <w:tmpl w:val="0CBBAD54"/>
    <w:lvl w:ilvl="0" w:tentative="0">
      <w:start w:val="3"/>
      <w:numFmt w:val="chineseCounting"/>
      <w:suff w:val="nothing"/>
      <w:lvlText w:val="%1、"/>
      <w:lvlJc w:val="left"/>
      <w:rPr>
        <w:rFonts w:hint="eastAsia"/>
      </w:rPr>
    </w:lvl>
  </w:abstractNum>
  <w:abstractNum w:abstractNumId="1">
    <w:nsid w:val="153A73EE"/>
    <w:multiLevelType w:val="multilevel"/>
    <w:tmpl w:val="153A73EE"/>
    <w:lvl w:ilvl="0" w:tentative="0">
      <w:start w:val="2"/>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4D1E3208"/>
    <w:multiLevelType w:val="multilevel"/>
    <w:tmpl w:val="4D1E320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683FB25F"/>
    <w:multiLevelType w:val="singleLevel"/>
    <w:tmpl w:val="683FB25F"/>
    <w:lvl w:ilvl="0" w:tentative="0">
      <w:start w:val="4"/>
      <w:numFmt w:val="decimal"/>
      <w:suff w:val="space"/>
      <w:lvlText w:val="%1."/>
      <w:lvlJc w:val="left"/>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6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xMDGxMLI0MzIyNLQ0NzVR0lEKTi0uzszPAykwrAUAeCGWtCwAAAA="/>
  </w:docVars>
  <w:rsids>
    <w:rsidRoot w:val="25E02FB7"/>
    <w:rsid w:val="000B5FD3"/>
    <w:rsid w:val="002752BF"/>
    <w:rsid w:val="00843864"/>
    <w:rsid w:val="008D6C82"/>
    <w:rsid w:val="00CC18EC"/>
    <w:rsid w:val="01961987"/>
    <w:rsid w:val="0CEB3FAE"/>
    <w:rsid w:val="0EBC0BA3"/>
    <w:rsid w:val="117C7849"/>
    <w:rsid w:val="210B6C91"/>
    <w:rsid w:val="25E02FB7"/>
    <w:rsid w:val="30236782"/>
    <w:rsid w:val="37E14762"/>
    <w:rsid w:val="3F1A65D4"/>
    <w:rsid w:val="49C15839"/>
    <w:rsid w:val="4BC06147"/>
    <w:rsid w:val="4E585FEB"/>
    <w:rsid w:val="52E11B07"/>
    <w:rsid w:val="5B7B286E"/>
    <w:rsid w:val="60810D7D"/>
    <w:rsid w:val="64100F6A"/>
    <w:rsid w:val="64D12C3E"/>
    <w:rsid w:val="73801BA4"/>
    <w:rsid w:val="77255041"/>
    <w:rsid w:val="789836A5"/>
    <w:rsid w:val="7D9757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4"/>
      <w:lang w:val="en-US" w:eastAsia="zh-CN" w:bidi="ar-SA"/>
    </w:rPr>
  </w:style>
  <w:style w:type="character" w:default="1" w:styleId="3">
    <w:name w:val="Default Paragraph Font"/>
    <w:unhideWhenUsed/>
    <w:uiPriority w:val="1"/>
  </w:style>
  <w:style w:type="table" w:default="1" w:styleId="2">
    <w:name w:val="Normal Table"/>
    <w:semiHidden/>
    <w:unhideWhenUsed/>
    <w:qFormat/>
    <w:uiPriority w:val="99"/>
    <w:tblPr>
      <w:tblLayout w:type="fixed"/>
      <w:tblCellMar>
        <w:top w:w="0" w:type="dxa"/>
        <w:left w:w="108" w:type="dxa"/>
        <w:bottom w:w="0" w:type="dxa"/>
        <w:right w:w="108" w:type="dxa"/>
      </w:tblCellMar>
    </w:tblPr>
  </w:style>
  <w:style w:type="character" w:styleId="4">
    <w:name w:val="FollowedHyperlink"/>
    <w:basedOn w:val="3"/>
    <w:qFormat/>
    <w:uiPriority w:val="0"/>
    <w:rPr>
      <w:color w:val="954F72" w:themeColor="followedHyperlink"/>
      <w:u w:val="single"/>
      <w14:textFill>
        <w14:solidFill>
          <w14:schemeClr w14:val="folHlink"/>
        </w14:solidFill>
      </w14:textFill>
    </w:rPr>
  </w:style>
  <w:style w:type="character" w:styleId="5">
    <w:name w:val="Hyperlink"/>
    <w:basedOn w:val="3"/>
    <w:uiPriority w:val="0"/>
    <w:rPr>
      <w:color w:val="0563C1" w:themeColor="hyperlink"/>
      <w:u w:val="single"/>
      <w14:textFill>
        <w14:solidFill>
          <w14:schemeClr w14:val="hlink"/>
        </w14:solidFill>
      </w14:textFill>
    </w:rPr>
  </w:style>
  <w:style w:type="character" w:customStyle="1" w:styleId="6">
    <w:name w:val="font41"/>
    <w:basedOn w:val="3"/>
    <w:qFormat/>
    <w:uiPriority w:val="0"/>
    <w:rPr>
      <w:rFonts w:hint="eastAsia" w:ascii="宋体" w:hAnsi="宋体" w:eastAsia="宋体" w:cs="宋体"/>
      <w:b/>
      <w:color w:val="000000"/>
      <w:sz w:val="24"/>
      <w:szCs w:val="24"/>
      <w:u w:val="none"/>
    </w:rPr>
  </w:style>
  <w:style w:type="paragraph" w:customStyle="1" w:styleId="7">
    <w:name w:val="引言二级条标题"/>
    <w:basedOn w:val="8"/>
    <w:next w:val="9"/>
    <w:qFormat/>
    <w:uiPriority w:val="0"/>
    <w:pPr>
      <w:tabs>
        <w:tab w:val="left" w:pos="900"/>
      </w:tabs>
      <w:ind w:left="0" w:firstLine="0"/>
    </w:pPr>
  </w:style>
  <w:style w:type="paragraph" w:customStyle="1" w:styleId="8">
    <w:name w:val="引言一级条标题"/>
    <w:basedOn w:val="1"/>
    <w:next w:val="9"/>
    <w:qFormat/>
    <w:uiPriority w:val="0"/>
    <w:pPr>
      <w:tabs>
        <w:tab w:val="left" w:pos="900"/>
      </w:tabs>
      <w:ind w:left="900" w:hanging="900"/>
    </w:pPr>
    <w:rPr>
      <w:rFonts w:ascii="Times New Roman" w:hAnsi="Times New Roman" w:eastAsia="黑体"/>
      <w:b/>
    </w:rPr>
  </w:style>
  <w:style w:type="paragraph" w:customStyle="1" w:styleId="9">
    <w:name w:val="段"/>
    <w:basedOn w:val="1"/>
    <w:qFormat/>
    <w:uiPriority w:val="0"/>
    <w:pPr>
      <w:ind w:firstLine="200"/>
    </w:pPr>
    <w:rPr>
      <w:rFonts w:ascii="宋体" w:hAnsi="宋体" w:cs="宋体"/>
      <w:szCs w:val="21"/>
    </w:rPr>
  </w:style>
  <w:style w:type="character" w:customStyle="1" w:styleId="10">
    <w:name w:val="font91"/>
    <w:basedOn w:val="3"/>
    <w:qFormat/>
    <w:uiPriority w:val="0"/>
    <w:rPr>
      <w:rFonts w:hint="eastAsia" w:ascii="微软雅黑" w:hAnsi="微软雅黑" w:eastAsia="微软雅黑" w:cs="微软雅黑"/>
      <w:b/>
      <w:color w:val="000000"/>
      <w:sz w:val="20"/>
      <w:szCs w:val="20"/>
      <w:u w:val="none"/>
    </w:rPr>
  </w:style>
  <w:style w:type="paragraph" w:customStyle="1" w:styleId="11">
    <w:name w:val="Revision"/>
    <w:hidden/>
    <w:unhideWhenUsed/>
    <w:qFormat/>
    <w:uiPriority w:val="99"/>
    <w:pPr>
      <w:spacing w:after="0" w:line="240" w:lineRule="auto"/>
    </w:pPr>
    <w:rPr>
      <w:rFonts w:ascii="Calibri" w:hAnsi="Calibri" w:eastAsia="宋体" w:cs="Times New Roman"/>
      <w:kern w:val="2"/>
      <w:sz w:val="21"/>
      <w:szCs w:val="24"/>
      <w:lang w:val="en-US" w:eastAsia="zh-CN" w:bidi="ar-SA"/>
    </w:rPr>
  </w:style>
  <w:style w:type="character" w:customStyle="1" w:styleId="12">
    <w:name w:val="Unresolved Mention"/>
    <w:basedOn w:val="3"/>
    <w:semiHidden/>
    <w:unhideWhenUsed/>
    <w:qFormat/>
    <w:uiPriority w:val="99"/>
    <w:rPr>
      <w:color w:val="605E5C"/>
      <w:shd w:val="clear" w:color="auto" w:fill="E1DFDD"/>
    </w:rPr>
  </w:style>
  <w:style w:type="paragraph" w:styleId="13">
    <w:name w:val="List Paragraph"/>
    <w:basedOn w:val="1"/>
    <w:unhideWhenUsed/>
    <w:uiPriority w:val="99"/>
    <w:pPr>
      <w:ind w:left="720"/>
      <w:contextualSpacing/>
    </w:pPr>
  </w:style>
  <w:style w:type="character" w:customStyle="1" w:styleId="14">
    <w:name w:val="font51"/>
    <w:basedOn w:val="3"/>
    <w:uiPriority w:val="0"/>
    <w:rPr>
      <w:rFonts w:hint="eastAsia" w:ascii="宋体" w:hAnsi="宋体" w:eastAsia="宋体" w:cs="宋体"/>
      <w:color w:val="000000"/>
      <w:sz w:val="22"/>
      <w:szCs w:val="22"/>
      <w:u w:val="none"/>
    </w:rPr>
  </w:style>
  <w:style w:type="character" w:customStyle="1" w:styleId="15">
    <w:name w:val="font31"/>
    <w:basedOn w:val="3"/>
    <w:uiPriority w:val="0"/>
    <w:rPr>
      <w:rFonts w:hint="eastAsia" w:ascii="等线" w:hAnsi="等线" w:eastAsia="等线" w:cs="等线"/>
      <w:color w:val="000000"/>
      <w:sz w:val="22"/>
      <w:szCs w:val="22"/>
      <w:u w:val="none"/>
    </w:rPr>
  </w:style>
  <w:style w:type="character" w:customStyle="1" w:styleId="16">
    <w:name w:val="font112"/>
    <w:basedOn w:val="3"/>
    <w:uiPriority w:val="0"/>
    <w:rPr>
      <w:rFonts w:hint="eastAsia" w:ascii="宋体" w:hAnsi="宋体" w:eastAsia="宋体" w:cs="宋体"/>
      <w:color w:val="000000"/>
      <w:sz w:val="24"/>
      <w:szCs w:val="24"/>
      <w:u w:val="none"/>
    </w:rPr>
  </w:style>
  <w:style w:type="character" w:customStyle="1" w:styleId="17">
    <w:name w:val="font151"/>
    <w:basedOn w:val="3"/>
    <w:uiPriority w:val="0"/>
    <w:rPr>
      <w:rFonts w:hint="eastAsia" w:ascii="宋体" w:hAnsi="宋体" w:eastAsia="宋体" w:cs="宋体"/>
      <w:color w:val="000000"/>
      <w:sz w:val="22"/>
      <w:szCs w:val="22"/>
      <w:u w:val="none"/>
    </w:rPr>
  </w:style>
  <w:style w:type="character" w:customStyle="1" w:styleId="18">
    <w:name w:val="font01"/>
    <w:basedOn w:val="3"/>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中国华电集团公司</Company>
  <Pages>3</Pages>
  <Words>695</Words>
  <Characters>3963</Characters>
  <Lines>33</Lines>
  <Paragraphs>9</Paragraphs>
  <TotalTime>3</TotalTime>
  <ScaleCrop>false</ScaleCrop>
  <LinksUpToDate>false</LinksUpToDate>
  <CharactersWithSpaces>4649</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2025-04-28T08:16:00Z</dcterms:created>
  <dc:creator>LJ</dc:creator>
  <cp:lastModifiedBy>yzj</cp:lastModifiedBy>
  <dcterms:modified xsi:type="dcterms:W3CDTF">2025-11-17T03:05:14Z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B46C16584C9241939D8A5B9D23EF6515</vt:lpwstr>
  </property>
</Properties>
</file>