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2560"/>
        </w:tabs>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ascii="Times New Roman" w:eastAsia="仿宋"/>
          <w:b/>
          <w:sz w:val="28"/>
          <w:szCs w:val="28"/>
        </w:rPr>
      </w:pPr>
      <w:bookmarkStart w:id="0" w:name="_bookmark124"/>
      <w:bookmarkEnd w:id="0"/>
      <w:bookmarkStart w:id="1" w:name="_bookmark129"/>
      <w:bookmarkEnd w:id="1"/>
      <w:bookmarkStart w:id="2" w:name="_bookmark60"/>
      <w:bookmarkEnd w:id="2"/>
      <w:r>
        <w:rPr>
          <w:rFonts w:hint="eastAsia" w:ascii="Times New Roman" w:eastAsia="仿宋"/>
          <w:b/>
          <w:sz w:val="28"/>
          <w:szCs w:val="28"/>
        </w:rPr>
        <w:t xml:space="preserve">PT PEMBANGKITAN LISTRIK PINTAR ENERGI </w:t>
      </w:r>
      <w:r>
        <w:rPr>
          <w:rFonts w:hint="eastAsia" w:ascii="Times New Roman" w:eastAsia="仿宋"/>
          <w:b/>
          <w:sz w:val="28"/>
          <w:szCs w:val="28"/>
          <w:lang w:val="en-US" w:eastAsia="zh-CN"/>
        </w:rPr>
        <w:t>2025年</w:t>
      </w:r>
      <w:r>
        <w:rPr>
          <w:rFonts w:ascii="Times New Roman" w:eastAsia="仿宋"/>
          <w:b/>
          <w:sz w:val="28"/>
          <w:szCs w:val="28"/>
        </w:rPr>
        <w:t>消防管理服务</w:t>
      </w:r>
      <w:r>
        <w:rPr>
          <w:rFonts w:hint="eastAsia" w:ascii="Times New Roman" w:eastAsia="仿宋"/>
          <w:b/>
          <w:sz w:val="28"/>
          <w:szCs w:val="28"/>
          <w:lang w:eastAsia="zh-CN"/>
        </w:rPr>
        <w:t>（</w:t>
      </w:r>
      <w:r>
        <w:rPr>
          <w:rFonts w:hint="eastAsia" w:ascii="Times New Roman" w:eastAsia="仿宋"/>
          <w:b/>
          <w:sz w:val="28"/>
          <w:szCs w:val="28"/>
          <w:lang w:val="en-US" w:eastAsia="zh-CN"/>
        </w:rPr>
        <w:t>第二次</w:t>
      </w:r>
      <w:r>
        <w:rPr>
          <w:rFonts w:hint="eastAsia" w:ascii="Times New Roman" w:eastAsia="仿宋"/>
          <w:b/>
          <w:sz w:val="28"/>
          <w:szCs w:val="28"/>
          <w:lang w:eastAsia="zh-CN"/>
        </w:rPr>
        <w:t>）</w:t>
      </w:r>
      <w:r>
        <w:rPr>
          <w:rFonts w:ascii="Times New Roman" w:eastAsia="仿宋"/>
          <w:b/>
          <w:sz w:val="28"/>
          <w:szCs w:val="28"/>
        </w:rPr>
        <w:t>询价采购文件</w:t>
      </w:r>
    </w:p>
    <w:p>
      <w:pPr>
        <w:keepNext w:val="0"/>
        <w:keepLines w:val="0"/>
        <w:pageBreakBefore w:val="0"/>
        <w:widowControl/>
        <w:tabs>
          <w:tab w:val="left" w:pos="2560"/>
        </w:tabs>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Times New Roman" w:eastAsia="仿宋"/>
          <w:b/>
          <w:sz w:val="28"/>
          <w:szCs w:val="28"/>
          <w:lang w:val="en-US" w:eastAsia="zh-CN"/>
        </w:rPr>
      </w:pPr>
      <w:r>
        <w:rPr>
          <w:rFonts w:ascii="Times New Roman" w:eastAsia="仿宋"/>
          <w:b/>
          <w:sz w:val="28"/>
          <w:szCs w:val="28"/>
        </w:rPr>
        <w:t xml:space="preserve">Dokumen Permintaan </w:t>
      </w:r>
      <w:r>
        <w:rPr>
          <w:rFonts w:hint="eastAsia" w:ascii="Times New Roman" w:eastAsia="仿宋"/>
          <w:b/>
          <w:sz w:val="28"/>
          <w:szCs w:val="28"/>
          <w:lang w:eastAsia="zh-CN"/>
        </w:rPr>
        <w:t>（</w:t>
      </w:r>
      <w:r>
        <w:rPr>
          <w:rFonts w:hint="eastAsia" w:ascii="Times New Roman" w:eastAsia="仿宋"/>
          <w:b/>
          <w:sz w:val="28"/>
          <w:szCs w:val="28"/>
          <w:lang w:val="en-US" w:eastAsia="zh-CN"/>
        </w:rPr>
        <w:t xml:space="preserve">kedua) </w:t>
      </w:r>
      <w:bookmarkStart w:id="38" w:name="_GoBack"/>
      <w:bookmarkEnd w:id="38"/>
      <w:r>
        <w:rPr>
          <w:rFonts w:ascii="Times New Roman" w:eastAsia="仿宋"/>
          <w:b/>
          <w:sz w:val="28"/>
          <w:szCs w:val="28"/>
        </w:rPr>
        <w:t>Penawaran Harga dan Pengadaan untuk Layanan Manajemen Kebakaran</w:t>
      </w:r>
      <w:r>
        <w:rPr>
          <w:rFonts w:hint="eastAsia" w:ascii="Times New Roman" w:eastAsia="仿宋"/>
          <w:b/>
          <w:sz w:val="28"/>
          <w:szCs w:val="28"/>
          <w:lang w:val="en-US" w:eastAsia="zh-CN"/>
        </w:rPr>
        <w:t xml:space="preserve"> Tahun 2025 </w:t>
      </w:r>
    </w:p>
    <w:p>
      <w:pPr>
        <w:tabs>
          <w:tab w:val="left" w:pos="2560"/>
        </w:tabs>
        <w:spacing w:line="360" w:lineRule="auto"/>
        <w:jc w:val="center"/>
        <w:outlineLvl w:val="9"/>
        <w:rPr>
          <w:rFonts w:ascii="Times New Roman" w:eastAsia="仿宋"/>
          <w:b/>
          <w:sz w:val="24"/>
          <w:szCs w:val="24"/>
        </w:rPr>
      </w:pPr>
      <w:r>
        <w:rPr>
          <w:rFonts w:hint="eastAsia" w:ascii="Times New Roman" w:eastAsia="仿宋"/>
          <w:b/>
          <w:sz w:val="28"/>
          <w:szCs w:val="28"/>
        </w:rPr>
        <w:t xml:space="preserve">PT PEMBANGKITAN LISTRIK PINTAR ENERGI </w:t>
      </w:r>
    </w:p>
    <w:p>
      <w:pPr>
        <w:spacing w:line="360" w:lineRule="auto"/>
        <w:rPr>
          <w:rFonts w:ascii="Times New Roman" w:eastAsia="仿宋"/>
          <w:b/>
          <w:sz w:val="24"/>
          <w:szCs w:val="24"/>
        </w:rPr>
      </w:pPr>
      <w:r>
        <w:rPr>
          <w:rFonts w:ascii="Times New Roman" w:eastAsia="仿宋"/>
          <w:b/>
          <w:sz w:val="24"/>
          <w:szCs w:val="24"/>
        </w:rPr>
        <w:t>一、资格条件Kualifikasi ：</w:t>
      </w:r>
    </w:p>
    <w:p>
      <w:pPr>
        <w:widowControl/>
        <w:spacing w:line="360" w:lineRule="auto"/>
        <w:ind w:left="779" w:leftChars="194" w:hanging="372" w:hangingChars="155"/>
        <w:jc w:val="both"/>
        <w:rPr>
          <w:rFonts w:ascii="Times New Roman" w:eastAsia="仿宋"/>
          <w:bCs/>
          <w:sz w:val="24"/>
          <w:szCs w:val="24"/>
        </w:rPr>
      </w:pPr>
      <w:r>
        <w:rPr>
          <w:rFonts w:ascii="Times New Roman" w:eastAsia="仿宋"/>
          <w:bCs/>
          <w:sz w:val="24"/>
          <w:szCs w:val="24"/>
        </w:rPr>
        <w:t>1、报价人是印度尼西亚注册公司, 具有独立的法人资格，持有有效营业执照，能够独立承担民事责任。</w:t>
      </w:r>
    </w:p>
    <w:p>
      <w:pPr>
        <w:pStyle w:val="6"/>
        <w:spacing w:line="360" w:lineRule="auto"/>
        <w:ind w:left="779" w:leftChars="194" w:hanging="372" w:hangingChars="155"/>
        <w:rPr>
          <w:rFonts w:ascii="Times New Roman"/>
          <w:sz w:val="24"/>
          <w:szCs w:val="24"/>
        </w:rPr>
      </w:pPr>
      <w:r>
        <w:rPr>
          <w:rFonts w:ascii="Times New Roman"/>
          <w:sz w:val="24"/>
          <w:szCs w:val="24"/>
        </w:rPr>
        <w:t xml:space="preserve">   Penawar adalah perusahaan yang terdaftar di Indonesia, berbadan hukum mandiri, memiliki izin usaha yang sah, dan dapat memikul tanggung jawab perdata secara mandiri.</w:t>
      </w:r>
    </w:p>
    <w:p>
      <w:pPr>
        <w:pStyle w:val="2"/>
        <w:numPr>
          <w:ilvl w:val="0"/>
          <w:numId w:val="1"/>
        </w:numPr>
        <w:spacing w:line="360" w:lineRule="auto"/>
        <w:ind w:left="798" w:leftChars="178" w:hanging="424" w:hangingChars="177"/>
        <w:rPr>
          <w:rFonts w:ascii="Times New Roman" w:hAnsi="Times New Roman"/>
          <w:sz w:val="24"/>
          <w:szCs w:val="24"/>
        </w:rPr>
      </w:pPr>
      <w:r>
        <w:rPr>
          <w:rFonts w:ascii="Times New Roman" w:hAnsi="Times New Roman" w:eastAsia="仿宋"/>
          <w:bCs/>
          <w:sz w:val="24"/>
          <w:szCs w:val="24"/>
        </w:rPr>
        <w:t>报价人</w:t>
      </w:r>
      <w:r>
        <w:rPr>
          <w:rFonts w:hint="default" w:ascii="Times New Roman" w:hAnsi="Times New Roman" w:eastAsia="仿宋"/>
          <w:bCs/>
          <w:sz w:val="24"/>
          <w:szCs w:val="24"/>
        </w:rPr>
        <w:t>自</w:t>
      </w:r>
      <w:r>
        <w:rPr>
          <w:rFonts w:ascii="Times New Roman" w:hAnsi="Times New Roman" w:eastAsia="仿宋"/>
          <w:bCs/>
          <w:sz w:val="24"/>
          <w:szCs w:val="24"/>
        </w:rPr>
        <w:t>20</w:t>
      </w:r>
      <w:r>
        <w:rPr>
          <w:rFonts w:hint="default" w:ascii="Times New Roman" w:hAnsi="Times New Roman" w:eastAsia="仿宋"/>
          <w:bCs/>
          <w:sz w:val="24"/>
          <w:szCs w:val="24"/>
        </w:rPr>
        <w:t>2</w:t>
      </w:r>
      <w:r>
        <w:rPr>
          <w:rFonts w:hint="eastAsia" w:ascii="Times New Roman" w:hAnsi="Times New Roman" w:eastAsia="仿宋"/>
          <w:bCs/>
          <w:sz w:val="24"/>
          <w:szCs w:val="24"/>
          <w:lang w:val="en-US" w:eastAsia="zh-CN"/>
        </w:rPr>
        <w:t>2</w:t>
      </w:r>
      <w:r>
        <w:rPr>
          <w:rFonts w:ascii="Times New Roman" w:hAnsi="Times New Roman" w:eastAsia="仿宋"/>
          <w:bCs/>
          <w:sz w:val="24"/>
          <w:szCs w:val="24"/>
        </w:rPr>
        <w:t>年1月1日至今须具有</w:t>
      </w:r>
      <w:r>
        <w:rPr>
          <w:rFonts w:hint="default" w:ascii="Times New Roman" w:hAnsi="Times New Roman" w:eastAsia="仿宋"/>
          <w:bCs/>
          <w:sz w:val="24"/>
          <w:szCs w:val="24"/>
        </w:rPr>
        <w:t>至少</w:t>
      </w:r>
      <w:r>
        <w:rPr>
          <w:rFonts w:ascii="Times New Roman" w:hAnsi="Times New Roman" w:eastAsia="仿宋"/>
          <w:bCs/>
          <w:sz w:val="24"/>
          <w:szCs w:val="24"/>
        </w:rPr>
        <w:t>1</w:t>
      </w:r>
      <w:r>
        <w:rPr>
          <w:rFonts w:hint="default" w:ascii="Times New Roman" w:hAnsi="Times New Roman" w:eastAsia="仿宋"/>
          <w:bCs/>
          <w:sz w:val="24"/>
          <w:szCs w:val="24"/>
        </w:rPr>
        <w:t>个及以上火电机组或钢铁、化工企业消防管理服务</w:t>
      </w:r>
      <w:r>
        <w:rPr>
          <w:rFonts w:ascii="Times New Roman" w:hAnsi="Times New Roman" w:eastAsia="仿宋"/>
          <w:bCs/>
          <w:sz w:val="24"/>
          <w:szCs w:val="24"/>
        </w:rPr>
        <w:t>业绩，并提供相关业绩证明材料</w:t>
      </w:r>
      <w:r>
        <w:rPr>
          <w:rFonts w:hint="default" w:ascii="Times New Roman" w:hAnsi="Times New Roman" w:eastAsia="仿宋"/>
          <w:bCs/>
          <w:sz w:val="24"/>
          <w:szCs w:val="24"/>
        </w:rPr>
        <w:t>。</w:t>
      </w:r>
    </w:p>
    <w:p>
      <w:pPr>
        <w:pStyle w:val="2"/>
        <w:spacing w:line="360" w:lineRule="auto"/>
        <w:ind w:left="798" w:leftChars="178" w:hanging="424" w:hangingChars="177"/>
        <w:rPr>
          <w:rFonts w:ascii="Times New Roman" w:hAnsi="Times New Roman"/>
          <w:sz w:val="24"/>
          <w:szCs w:val="24"/>
        </w:rPr>
      </w:pPr>
      <w:r>
        <w:rPr>
          <w:rFonts w:hint="default" w:ascii="Times New Roman" w:hAnsi="Times New Roman" w:eastAsia="仿宋"/>
          <w:bCs/>
          <w:sz w:val="24"/>
          <w:szCs w:val="24"/>
        </w:rPr>
        <w:t xml:space="preserve">    Peserta lelang harus memiliki kinerja layanan manajemen kebakaran untuk setidaknya satu unit pembangkit listrik termal atau perusahaan baja dan kimia sejak 1 Januari 202</w:t>
      </w:r>
      <w:r>
        <w:rPr>
          <w:rFonts w:hint="eastAsia" w:ascii="Times New Roman" w:hAnsi="Times New Roman" w:eastAsia="仿宋"/>
          <w:bCs/>
          <w:sz w:val="24"/>
          <w:szCs w:val="24"/>
          <w:lang w:val="en-US" w:eastAsia="zh-CN"/>
        </w:rPr>
        <w:t>2</w:t>
      </w:r>
      <w:r>
        <w:rPr>
          <w:rFonts w:hint="default" w:ascii="Times New Roman" w:hAnsi="Times New Roman" w:eastAsia="仿宋"/>
          <w:bCs/>
          <w:sz w:val="24"/>
          <w:szCs w:val="24"/>
        </w:rPr>
        <w:t>, dan menyediakan materi sertifikasi kinerja yang relevan.</w:t>
      </w:r>
    </w:p>
    <w:p>
      <w:pPr>
        <w:numPr>
          <w:ilvl w:val="0"/>
          <w:numId w:val="2"/>
        </w:numPr>
        <w:spacing w:line="360" w:lineRule="auto"/>
        <w:jc w:val="both"/>
        <w:rPr>
          <w:rFonts w:ascii="Times New Roman" w:eastAsia="仿宋"/>
          <w:b/>
          <w:sz w:val="24"/>
          <w:szCs w:val="24"/>
        </w:rPr>
      </w:pPr>
      <w:r>
        <w:rPr>
          <w:rFonts w:ascii="Times New Roman" w:eastAsia="仿宋"/>
          <w:b/>
          <w:sz w:val="24"/>
          <w:szCs w:val="24"/>
        </w:rPr>
        <w:t>技术服务要求Persyaratan Layanan Teknis ：</w:t>
      </w:r>
    </w:p>
    <w:p>
      <w:pPr>
        <w:pStyle w:val="2"/>
        <w:spacing w:line="360" w:lineRule="auto"/>
        <w:ind w:left="0" w:leftChars="0" w:firstLine="480"/>
        <w:rPr>
          <w:rFonts w:ascii="Times New Roman" w:hAnsi="Times New Roman" w:eastAsia="仿宋"/>
          <w:sz w:val="24"/>
          <w:szCs w:val="24"/>
        </w:rPr>
      </w:pPr>
      <w:r>
        <w:rPr>
          <w:rFonts w:ascii="Times New Roman" w:hAnsi="Times New Roman" w:eastAsia="仿宋"/>
          <w:sz w:val="24"/>
          <w:szCs w:val="24"/>
        </w:rPr>
        <w:t>详见技术规范书 Terlampir Pada Spesifikasi Teknis</w:t>
      </w:r>
    </w:p>
    <w:p>
      <w:pPr>
        <w:pStyle w:val="2"/>
        <w:spacing w:line="360" w:lineRule="auto"/>
        <w:ind w:left="0" w:leftChars="0" w:firstLine="0" w:firstLineChars="0"/>
        <w:rPr>
          <w:rFonts w:ascii="Times New Roman" w:hAnsi="Times New Roman" w:eastAsia="仿宋"/>
          <w:b/>
          <w:bCs/>
          <w:sz w:val="24"/>
          <w:szCs w:val="24"/>
        </w:rPr>
      </w:pPr>
      <w:r>
        <w:rPr>
          <w:rFonts w:ascii="Times New Roman" w:hAnsi="Times New Roman" w:eastAsia="仿宋"/>
          <w:b/>
          <w:bCs/>
          <w:sz w:val="24"/>
          <w:szCs w:val="24"/>
        </w:rPr>
        <w:t>三、报价要求 Syarat Penawaran：</w:t>
      </w:r>
    </w:p>
    <w:p>
      <w:pPr>
        <w:pStyle w:val="2"/>
        <w:spacing w:line="360" w:lineRule="auto"/>
        <w:ind w:left="0" w:leftChars="0" w:firstLine="480"/>
        <w:rPr>
          <w:rFonts w:ascii="Times New Roman" w:hAnsi="Times New Roman" w:eastAsia="仿宋"/>
          <w:sz w:val="24"/>
          <w:szCs w:val="24"/>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pStyle w:val="2"/>
        <w:spacing w:line="360" w:lineRule="auto"/>
        <w:ind w:left="0" w:leftChars="0" w:firstLine="480"/>
        <w:rPr>
          <w:rFonts w:hint="default" w:ascii="Times New Roman" w:hAnsi="Times New Roman" w:eastAsia="仿宋"/>
          <w:sz w:val="24"/>
          <w:szCs w:val="24"/>
          <w:lang w:val="en-US" w:eastAsia="zh-CN"/>
        </w:rPr>
      </w:pPr>
      <w:r>
        <w:rPr>
          <w:rFonts w:ascii="Times New Roman" w:hAnsi="Times New Roman" w:eastAsia="仿宋"/>
          <w:sz w:val="24"/>
          <w:szCs w:val="24"/>
        </w:rPr>
        <w:t>1、报价明细表</w:t>
      </w:r>
      <w:r>
        <w:rPr>
          <w:rFonts w:hint="eastAsia" w:eastAsia="仿宋"/>
          <w:sz w:val="24"/>
          <w:szCs w:val="24"/>
          <w:lang w:val="en-US" w:eastAsia="zh-CN"/>
        </w:rPr>
        <w:t xml:space="preserve"> Rincian</w:t>
      </w:r>
      <w:r>
        <w:rPr>
          <w:rFonts w:ascii="Times New Roman" w:hAnsi="Times New Roman" w:eastAsia="仿宋"/>
          <w:sz w:val="24"/>
          <w:szCs w:val="24"/>
        </w:rPr>
        <w:t xml:space="preserve"> Penawaran</w:t>
      </w:r>
      <w:r>
        <w:rPr>
          <w:rFonts w:hint="eastAsia" w:eastAsia="仿宋"/>
          <w:sz w:val="24"/>
          <w:szCs w:val="24"/>
          <w:lang w:val="en-US" w:eastAsia="zh-CN"/>
        </w:rPr>
        <w:t xml:space="preserve"> Harga</w:t>
      </w:r>
    </w:p>
    <w:tbl>
      <w:tblPr>
        <w:tblStyle w:val="17"/>
        <w:tblW w:w="13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1933"/>
        <w:gridCol w:w="2800"/>
        <w:gridCol w:w="2815"/>
        <w:gridCol w:w="2580"/>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3" w:hRule="atLeast"/>
        </w:trPr>
        <w:tc>
          <w:tcPr>
            <w:tcW w:w="1577"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序号 No</w:t>
            </w:r>
          </w:p>
        </w:tc>
        <w:tc>
          <w:tcPr>
            <w:tcW w:w="1933"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分项名称</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Nama Barang</w:t>
            </w:r>
          </w:p>
        </w:tc>
        <w:tc>
          <w:tcPr>
            <w:tcW w:w="2800"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单位</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Unit</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数量 Jumlah</w:t>
            </w:r>
          </w:p>
        </w:tc>
        <w:tc>
          <w:tcPr>
            <w:tcW w:w="2815"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单价金额</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Harga Satuan</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Rp（印尼盾）</w:t>
            </w:r>
          </w:p>
        </w:tc>
        <w:tc>
          <w:tcPr>
            <w:tcW w:w="2580"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总价金额</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Harga Total</w:t>
            </w:r>
          </w:p>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Rp（印尼盾）</w:t>
            </w:r>
          </w:p>
        </w:tc>
        <w:tc>
          <w:tcPr>
            <w:tcW w:w="2234" w:type="dxa"/>
            <w:vAlign w:val="center"/>
          </w:tcPr>
          <w:p>
            <w:pPr>
              <w:pStyle w:val="2"/>
              <w:spacing w:after="0" w:line="360" w:lineRule="auto"/>
              <w:ind w:left="0" w:leftChars="0" w:firstLine="0" w:firstLineChars="0"/>
              <w:jc w:val="center"/>
              <w:rPr>
                <w:rFonts w:ascii="Times New Roman" w:hAnsi="Times New Roman"/>
                <w:sz w:val="24"/>
                <w:szCs w:val="24"/>
              </w:rPr>
            </w:pPr>
            <w:r>
              <w:rPr>
                <w:rFonts w:ascii="Times New Roman" w:hAnsi="Times New Roman"/>
                <w:sz w:val="24"/>
                <w:szCs w:val="24"/>
              </w:rPr>
              <w:t>备注 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3" w:hRule="atLeast"/>
        </w:trPr>
        <w:tc>
          <w:tcPr>
            <w:tcW w:w="1577" w:type="dxa"/>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1</w:t>
            </w:r>
          </w:p>
        </w:tc>
        <w:tc>
          <w:tcPr>
            <w:tcW w:w="1933" w:type="dxa"/>
            <w:vAlign w:val="center"/>
          </w:tcPr>
          <w:p>
            <w:pPr>
              <w:pStyle w:val="2"/>
              <w:spacing w:line="360" w:lineRule="auto"/>
              <w:ind w:left="0" w:leftChars="0" w:firstLine="0" w:firstLineChars="0"/>
              <w:jc w:val="center"/>
              <w:rPr>
                <w:rFonts w:ascii="Times New Roman" w:hAnsi="Times New Roman" w:eastAsia="仿宋"/>
                <w:sz w:val="24"/>
                <w:szCs w:val="24"/>
              </w:rPr>
            </w:pPr>
            <w:r>
              <w:rPr>
                <w:rFonts w:ascii="Times New Roman" w:hAnsi="Times New Roman"/>
                <w:sz w:val="24"/>
                <w:szCs w:val="24"/>
              </w:rPr>
              <w:t>消防队长</w:t>
            </w:r>
          </w:p>
          <w:p>
            <w:pPr>
              <w:spacing w:line="360" w:lineRule="auto"/>
              <w:jc w:val="center"/>
              <w:rPr>
                <w:rFonts w:ascii="Times New Roman"/>
                <w:sz w:val="24"/>
                <w:szCs w:val="24"/>
              </w:rPr>
            </w:pPr>
            <w:r>
              <w:rPr>
                <w:rFonts w:ascii="Times New Roman" w:hAnsi="Times New Roman" w:cs="Times New Roman"/>
                <w:sz w:val="24"/>
                <w:szCs w:val="24"/>
              </w:rPr>
              <w:t>Team leader</w:t>
            </w:r>
          </w:p>
        </w:tc>
        <w:tc>
          <w:tcPr>
            <w:tcW w:w="2800" w:type="dxa"/>
            <w:vAlign w:val="center"/>
          </w:tcPr>
          <w:p>
            <w:pPr>
              <w:pStyle w:val="12"/>
              <w:keepNext w:val="0"/>
              <w:keepLines w:val="0"/>
              <w:widowControl/>
              <w:suppressLineNumbers w:val="0"/>
              <w:jc w:val="center"/>
              <w:rPr>
                <w:rFonts w:hint="default" w:ascii="Times New Roman" w:hAnsi="Times New Roman" w:cs="Times New Roman"/>
              </w:rPr>
            </w:pPr>
            <w:r>
              <w:rPr>
                <w:rFonts w:hint="default" w:ascii="Times New Roman" w:hAnsi="Times New Roman" w:cs="Times New Roman"/>
                <w:sz w:val="24"/>
                <w:szCs w:val="24"/>
              </w:rPr>
              <w:t>1人/12月</w:t>
            </w:r>
          </w:p>
          <w:p>
            <w:pPr>
              <w:pStyle w:val="12"/>
              <w:keepNext w:val="0"/>
              <w:keepLines w:val="0"/>
              <w:widowControl/>
              <w:suppressLineNumbers w:val="0"/>
              <w:jc w:val="center"/>
              <w:rPr>
                <w:rFonts w:ascii="Times New Roman" w:hAnsi="Times New Roman"/>
                <w:sz w:val="24"/>
                <w:szCs w:val="24"/>
              </w:rPr>
            </w:pPr>
            <w:r>
              <w:rPr>
                <w:rFonts w:hint="default" w:ascii="Times New Roman" w:hAnsi="Times New Roman" w:cs="Times New Roman"/>
              </w:rPr>
              <w:t>1 orang/Desember</w:t>
            </w:r>
          </w:p>
        </w:tc>
        <w:tc>
          <w:tcPr>
            <w:tcW w:w="2815" w:type="dxa"/>
            <w:vAlign w:val="center"/>
          </w:tcPr>
          <w:p>
            <w:pPr>
              <w:pStyle w:val="2"/>
              <w:spacing w:line="360" w:lineRule="auto"/>
              <w:ind w:left="0" w:leftChars="0" w:firstLine="0" w:firstLineChars="0"/>
              <w:jc w:val="center"/>
              <w:rPr>
                <w:rFonts w:ascii="Times New Roman" w:hAnsi="Times New Roman"/>
                <w:sz w:val="24"/>
                <w:szCs w:val="24"/>
              </w:rPr>
            </w:pPr>
          </w:p>
        </w:tc>
        <w:tc>
          <w:tcPr>
            <w:tcW w:w="2580" w:type="dxa"/>
            <w:vAlign w:val="center"/>
          </w:tcPr>
          <w:p>
            <w:pPr>
              <w:pStyle w:val="2"/>
              <w:spacing w:line="360" w:lineRule="auto"/>
              <w:ind w:left="0" w:leftChars="0" w:firstLine="0" w:firstLineChars="0"/>
              <w:jc w:val="center"/>
              <w:rPr>
                <w:rFonts w:ascii="Times New Roman" w:hAnsi="Times New Roman"/>
                <w:sz w:val="24"/>
                <w:szCs w:val="24"/>
              </w:rPr>
            </w:pPr>
          </w:p>
        </w:tc>
        <w:tc>
          <w:tcPr>
            <w:tcW w:w="2234" w:type="dxa"/>
            <w:vAlign w:val="center"/>
          </w:tcPr>
          <w:p>
            <w:pPr>
              <w:pStyle w:val="2"/>
              <w:spacing w:line="360" w:lineRule="auto"/>
              <w:ind w:left="0" w:leftChars="0"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3" w:hRule="atLeast"/>
        </w:trPr>
        <w:tc>
          <w:tcPr>
            <w:tcW w:w="1577" w:type="dxa"/>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2</w:t>
            </w:r>
          </w:p>
        </w:tc>
        <w:tc>
          <w:tcPr>
            <w:tcW w:w="1933" w:type="dxa"/>
            <w:vAlign w:val="center"/>
          </w:tcPr>
          <w:p>
            <w:pPr>
              <w:pStyle w:val="2"/>
              <w:spacing w:line="360" w:lineRule="auto"/>
              <w:ind w:left="0" w:leftChars="0" w:firstLine="0" w:firstLineChars="0"/>
              <w:jc w:val="center"/>
              <w:rPr>
                <w:rFonts w:ascii="Times New Roman" w:hAnsi="Times New Roman" w:eastAsia="仿宋"/>
                <w:sz w:val="24"/>
                <w:szCs w:val="24"/>
              </w:rPr>
            </w:pPr>
            <w:r>
              <w:rPr>
                <w:rFonts w:ascii="Times New Roman" w:hAnsi="Times New Roman"/>
                <w:sz w:val="24"/>
                <w:szCs w:val="24"/>
              </w:rPr>
              <w:t>副队长</w:t>
            </w:r>
          </w:p>
          <w:p>
            <w:pPr>
              <w:spacing w:line="360" w:lineRule="auto"/>
              <w:jc w:val="center"/>
              <w:rPr>
                <w:rFonts w:ascii="Times New Roman"/>
                <w:sz w:val="24"/>
                <w:szCs w:val="24"/>
              </w:rPr>
            </w:pPr>
            <w:r>
              <w:rPr>
                <w:rFonts w:ascii="Times New Roman" w:hAnsi="Times New Roman" w:cs="Times New Roman"/>
                <w:sz w:val="24"/>
                <w:szCs w:val="24"/>
              </w:rPr>
              <w:t>Vice leader</w:t>
            </w:r>
          </w:p>
        </w:tc>
        <w:tc>
          <w:tcPr>
            <w:tcW w:w="2800" w:type="dxa"/>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1人/12月</w:t>
            </w:r>
          </w:p>
          <w:p>
            <w:pPr>
              <w:pStyle w:val="2"/>
              <w:spacing w:line="360" w:lineRule="auto"/>
              <w:ind w:left="0" w:leftChars="0" w:firstLine="0" w:firstLineChars="0"/>
              <w:jc w:val="center"/>
              <w:rPr>
                <w:rFonts w:ascii="Times New Roman" w:hAnsi="Times New Roman"/>
                <w:sz w:val="24"/>
                <w:szCs w:val="24"/>
              </w:rPr>
            </w:pPr>
            <w:r>
              <w:rPr>
                <w:rFonts w:hint="default" w:ascii="Times New Roman" w:hAnsi="Times New Roman" w:cs="Times New Roman"/>
                <w:sz w:val="24"/>
                <w:szCs w:val="24"/>
              </w:rPr>
              <w:t>1 orang/Desember</w:t>
            </w:r>
          </w:p>
        </w:tc>
        <w:tc>
          <w:tcPr>
            <w:tcW w:w="2815" w:type="dxa"/>
            <w:vAlign w:val="center"/>
          </w:tcPr>
          <w:p>
            <w:pPr>
              <w:pStyle w:val="2"/>
              <w:spacing w:line="360" w:lineRule="auto"/>
              <w:ind w:left="0" w:leftChars="0" w:firstLine="0" w:firstLineChars="0"/>
              <w:jc w:val="center"/>
              <w:rPr>
                <w:rFonts w:ascii="Times New Roman" w:hAnsi="Times New Roman"/>
                <w:sz w:val="24"/>
                <w:szCs w:val="24"/>
              </w:rPr>
            </w:pPr>
          </w:p>
        </w:tc>
        <w:tc>
          <w:tcPr>
            <w:tcW w:w="2580" w:type="dxa"/>
            <w:vAlign w:val="center"/>
          </w:tcPr>
          <w:p>
            <w:pPr>
              <w:pStyle w:val="2"/>
              <w:spacing w:line="360" w:lineRule="auto"/>
              <w:ind w:left="0" w:leftChars="0" w:firstLine="0" w:firstLineChars="0"/>
              <w:jc w:val="center"/>
              <w:rPr>
                <w:rFonts w:ascii="Times New Roman" w:hAnsi="Times New Roman"/>
                <w:sz w:val="24"/>
                <w:szCs w:val="24"/>
              </w:rPr>
            </w:pPr>
          </w:p>
        </w:tc>
        <w:tc>
          <w:tcPr>
            <w:tcW w:w="2234" w:type="dxa"/>
            <w:vAlign w:val="center"/>
          </w:tcPr>
          <w:p>
            <w:pPr>
              <w:pStyle w:val="2"/>
              <w:spacing w:line="360" w:lineRule="auto"/>
              <w:ind w:left="0" w:leftChars="0"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1577" w:type="dxa"/>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3</w:t>
            </w:r>
          </w:p>
        </w:tc>
        <w:tc>
          <w:tcPr>
            <w:tcW w:w="1933" w:type="dxa"/>
            <w:vAlign w:val="center"/>
          </w:tcPr>
          <w:p>
            <w:pPr>
              <w:pStyle w:val="2"/>
              <w:spacing w:line="360" w:lineRule="auto"/>
              <w:ind w:left="0" w:leftChars="0" w:firstLine="0" w:firstLineChars="0"/>
              <w:jc w:val="center"/>
              <w:rPr>
                <w:rFonts w:ascii="Times New Roman" w:hAnsi="Times New Roman" w:eastAsia="仿宋"/>
                <w:sz w:val="24"/>
                <w:szCs w:val="24"/>
              </w:rPr>
            </w:pPr>
            <w:r>
              <w:rPr>
                <w:rFonts w:ascii="Times New Roman" w:hAnsi="Times New Roman"/>
                <w:sz w:val="24"/>
                <w:szCs w:val="24"/>
              </w:rPr>
              <w:t>消防队员执勤维护人员</w:t>
            </w:r>
          </w:p>
          <w:p>
            <w:pPr>
              <w:spacing w:line="360" w:lineRule="auto"/>
              <w:jc w:val="center"/>
              <w:rPr>
                <w:rFonts w:ascii="Times New Roman"/>
                <w:sz w:val="24"/>
                <w:szCs w:val="24"/>
              </w:rPr>
            </w:pPr>
            <w:r>
              <w:rPr>
                <w:rFonts w:hint="default" w:ascii="Times New Roman" w:hAnsi="Times New Roman" w:cs="Times New Roman"/>
                <w:sz w:val="24"/>
                <w:szCs w:val="24"/>
              </w:rPr>
              <w:t>Petugas Pemadam Kebakaran dan Personel Penjagaan serta Pemeliharaan</w:t>
            </w:r>
          </w:p>
        </w:tc>
        <w:tc>
          <w:tcPr>
            <w:tcW w:w="2800" w:type="dxa"/>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12人/12月</w:t>
            </w:r>
          </w:p>
          <w:p>
            <w:pPr>
              <w:pStyle w:val="2"/>
              <w:spacing w:line="360" w:lineRule="auto"/>
              <w:ind w:left="0" w:leftChars="0" w:firstLine="0" w:firstLineChars="0"/>
              <w:jc w:val="center"/>
              <w:rPr>
                <w:rFonts w:ascii="Times New Roman" w:hAnsi="Times New Roman"/>
                <w:sz w:val="24"/>
                <w:szCs w:val="24"/>
              </w:rPr>
            </w:pPr>
            <w:r>
              <w:rPr>
                <w:rFonts w:hint="default" w:ascii="Times New Roman" w:hAnsi="Times New Roman" w:cs="Times New Roman"/>
                <w:sz w:val="24"/>
                <w:szCs w:val="24"/>
              </w:rPr>
              <w:t>1</w:t>
            </w:r>
            <w:r>
              <w:rPr>
                <w:rFonts w:hint="eastAsia" w:eastAsia="宋体" w:cs="Times New Roman"/>
                <w:sz w:val="24"/>
                <w:szCs w:val="24"/>
                <w:lang w:val="en-US" w:eastAsia="zh-CN"/>
              </w:rPr>
              <w:t>2</w:t>
            </w:r>
            <w:r>
              <w:rPr>
                <w:rFonts w:hint="default" w:ascii="Times New Roman" w:hAnsi="Times New Roman" w:cs="Times New Roman"/>
                <w:sz w:val="24"/>
                <w:szCs w:val="24"/>
              </w:rPr>
              <w:t xml:space="preserve"> orang/Desember</w:t>
            </w:r>
          </w:p>
        </w:tc>
        <w:tc>
          <w:tcPr>
            <w:tcW w:w="2815" w:type="dxa"/>
            <w:vAlign w:val="center"/>
          </w:tcPr>
          <w:p>
            <w:pPr>
              <w:pStyle w:val="2"/>
              <w:spacing w:line="360" w:lineRule="auto"/>
              <w:ind w:left="0" w:leftChars="0" w:firstLine="0" w:firstLineChars="0"/>
              <w:jc w:val="center"/>
              <w:rPr>
                <w:rFonts w:ascii="Times New Roman" w:hAnsi="Times New Roman"/>
                <w:sz w:val="24"/>
                <w:szCs w:val="24"/>
              </w:rPr>
            </w:pPr>
          </w:p>
        </w:tc>
        <w:tc>
          <w:tcPr>
            <w:tcW w:w="2580" w:type="dxa"/>
            <w:vAlign w:val="center"/>
          </w:tcPr>
          <w:p>
            <w:pPr>
              <w:pStyle w:val="2"/>
              <w:spacing w:line="360" w:lineRule="auto"/>
              <w:ind w:left="0" w:leftChars="0" w:firstLine="0" w:firstLineChars="0"/>
              <w:jc w:val="center"/>
              <w:rPr>
                <w:rFonts w:ascii="Times New Roman" w:hAnsi="Times New Roman"/>
                <w:sz w:val="24"/>
                <w:szCs w:val="24"/>
              </w:rPr>
            </w:pPr>
          </w:p>
        </w:tc>
        <w:tc>
          <w:tcPr>
            <w:tcW w:w="2234" w:type="dxa"/>
            <w:vAlign w:val="center"/>
          </w:tcPr>
          <w:p>
            <w:pPr>
              <w:pStyle w:val="2"/>
              <w:spacing w:line="360" w:lineRule="auto"/>
              <w:ind w:left="0" w:leftChars="0"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9125" w:type="dxa"/>
            <w:gridSpan w:val="4"/>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增值税 PPN</w:t>
            </w:r>
          </w:p>
        </w:tc>
        <w:tc>
          <w:tcPr>
            <w:tcW w:w="2580" w:type="dxa"/>
            <w:vAlign w:val="center"/>
          </w:tcPr>
          <w:p>
            <w:pPr>
              <w:pStyle w:val="2"/>
              <w:spacing w:line="360" w:lineRule="auto"/>
              <w:ind w:left="0" w:leftChars="0" w:firstLine="0" w:firstLineChars="0"/>
              <w:jc w:val="center"/>
              <w:rPr>
                <w:rFonts w:ascii="Times New Roman" w:hAnsi="Times New Roman"/>
                <w:sz w:val="24"/>
                <w:szCs w:val="24"/>
              </w:rPr>
            </w:pPr>
          </w:p>
        </w:tc>
        <w:tc>
          <w:tcPr>
            <w:tcW w:w="2234" w:type="dxa"/>
            <w:vAlign w:val="center"/>
          </w:tcPr>
          <w:p>
            <w:pPr>
              <w:pStyle w:val="2"/>
              <w:spacing w:line="360" w:lineRule="auto"/>
              <w:ind w:left="0" w:leftChars="0"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9125" w:type="dxa"/>
            <w:gridSpan w:val="4"/>
            <w:vAlign w:val="center"/>
          </w:tcPr>
          <w:p>
            <w:pPr>
              <w:pStyle w:val="2"/>
              <w:spacing w:line="360" w:lineRule="auto"/>
              <w:ind w:left="0" w:leftChars="0" w:firstLine="0" w:firstLineChars="0"/>
              <w:jc w:val="center"/>
              <w:rPr>
                <w:rFonts w:ascii="Times New Roman" w:hAnsi="Times New Roman"/>
                <w:sz w:val="24"/>
                <w:szCs w:val="24"/>
              </w:rPr>
            </w:pPr>
            <w:r>
              <w:rPr>
                <w:rFonts w:ascii="Times New Roman" w:hAnsi="Times New Roman"/>
                <w:sz w:val="24"/>
                <w:szCs w:val="24"/>
              </w:rPr>
              <w:t>报价总计Total Penawaran</w:t>
            </w:r>
          </w:p>
        </w:tc>
        <w:tc>
          <w:tcPr>
            <w:tcW w:w="2580" w:type="dxa"/>
            <w:vAlign w:val="center"/>
          </w:tcPr>
          <w:p>
            <w:pPr>
              <w:pStyle w:val="2"/>
              <w:spacing w:line="360" w:lineRule="auto"/>
              <w:ind w:left="0" w:leftChars="0" w:firstLine="0" w:firstLineChars="0"/>
              <w:jc w:val="center"/>
              <w:rPr>
                <w:rFonts w:ascii="Times New Roman" w:hAnsi="Times New Roman"/>
                <w:sz w:val="24"/>
                <w:szCs w:val="24"/>
              </w:rPr>
            </w:pPr>
          </w:p>
        </w:tc>
        <w:tc>
          <w:tcPr>
            <w:tcW w:w="2234" w:type="dxa"/>
            <w:vAlign w:val="center"/>
          </w:tcPr>
          <w:p>
            <w:pPr>
              <w:pStyle w:val="2"/>
              <w:spacing w:line="360" w:lineRule="auto"/>
              <w:ind w:left="0" w:leftChars="0" w:firstLine="0" w:firstLineChars="0"/>
              <w:jc w:val="center"/>
              <w:rPr>
                <w:rFonts w:ascii="Times New Roman" w:hAnsi="Times New Roman"/>
                <w:sz w:val="24"/>
                <w:szCs w:val="24"/>
              </w:rPr>
            </w:pPr>
          </w:p>
        </w:tc>
      </w:tr>
    </w:tbl>
    <w:p>
      <w:pPr>
        <w:pStyle w:val="2"/>
        <w:spacing w:line="360" w:lineRule="auto"/>
        <w:ind w:left="0" w:leftChars="0" w:firstLine="0" w:firstLineChars="0"/>
        <w:rPr>
          <w:rFonts w:ascii="Times New Roman" w:hAnsi="Times New Roman" w:eastAsia="仿宋"/>
          <w:sz w:val="24"/>
          <w:szCs w:val="24"/>
        </w:rPr>
      </w:pPr>
      <w:r>
        <w:rPr>
          <w:rFonts w:ascii="Times New Roman" w:hAnsi="Times New Roman" w:eastAsia="仿宋"/>
          <w:sz w:val="24"/>
          <w:szCs w:val="24"/>
        </w:rPr>
        <w:t>注：报价人应根据</w:t>
      </w:r>
      <w:r>
        <w:rPr>
          <w:rFonts w:hint="default" w:ascii="Times New Roman" w:hAnsi="Times New Roman" w:eastAsia="仿宋"/>
          <w:sz w:val="24"/>
          <w:szCs w:val="24"/>
        </w:rPr>
        <w:t>技术规范书</w:t>
      </w:r>
      <w:r>
        <w:rPr>
          <w:rFonts w:ascii="Times New Roman" w:hAnsi="Times New Roman" w:eastAsia="仿宋"/>
          <w:sz w:val="24"/>
          <w:szCs w:val="24"/>
        </w:rPr>
        <w:t>确定的工作范围</w:t>
      </w:r>
      <w:r>
        <w:rPr>
          <w:rFonts w:hint="default" w:ascii="Times New Roman" w:hAnsi="Times New Roman" w:eastAsia="仿宋"/>
          <w:sz w:val="24"/>
          <w:szCs w:val="24"/>
        </w:rPr>
        <w:t>和</w:t>
      </w:r>
      <w:r>
        <w:rPr>
          <w:rFonts w:ascii="Times New Roman" w:hAnsi="Times New Roman" w:eastAsia="仿宋"/>
          <w:sz w:val="24"/>
          <w:szCs w:val="24"/>
        </w:rPr>
        <w:t>要求逐项、逐条填写，不得遗漏。凡应当填写但报价人没有填写报价的项目，将被认为此项费用已经包括在报价明细表中的其它项目报价中。合计金额在合同执行过程中不予调整。</w:t>
      </w:r>
    </w:p>
    <w:p>
      <w:pPr>
        <w:pStyle w:val="2"/>
        <w:spacing w:line="360" w:lineRule="auto"/>
        <w:ind w:left="0" w:leftChars="0" w:firstLine="0" w:firstLineChars="0"/>
        <w:rPr>
          <w:rFonts w:ascii="Times New Roman" w:hAnsi="Times New Roman" w:eastAsia="仿宋"/>
          <w:sz w:val="24"/>
          <w:szCs w:val="24"/>
        </w:rPr>
        <w:sectPr>
          <w:pgSz w:w="16838" w:h="11906" w:orient="landscape"/>
          <w:pgMar w:top="1803" w:right="1440" w:bottom="1803" w:left="1440" w:header="851" w:footer="992" w:gutter="0"/>
          <w:cols w:space="720" w:num="1"/>
          <w:docGrid w:type="lines" w:linePitch="436" w:charSpace="0"/>
        </w:sectPr>
      </w:pPr>
      <w:r>
        <w:rPr>
          <w:rFonts w:ascii="Times New Roman" w:hAnsi="Times New Roman" w:eastAsia="仿宋"/>
          <w:sz w:val="24"/>
          <w:szCs w:val="24"/>
        </w:rPr>
        <w:t>Catatan：</w:t>
      </w:r>
      <w:r>
        <w:rPr>
          <w:rFonts w:hint="eastAsia" w:ascii="Times New Roman" w:hAnsi="Times New Roman" w:eastAsia="仿宋"/>
          <w:sz w:val="24"/>
          <w:szCs w:val="24"/>
        </w:rPr>
        <w:t>Peserta Pengadaan harus mengisi urutan dokumen pengadaan item demi item sesuai dengan persyaratan ruang lingkup pekerjaan yang ditentukan dalam dokumen pengadaan, tanpa ada yang terlewatkan. Untuk hal-hal yang seharusnya diisi tetapi Penawar tidak mengisi penawaran, maka biaya tersebut dianggap sudah termasuk dalam penawaran barang-barang lain dalam daftar penawaran. Jumlah total tidak dapat disesuaikan selama pelaksanaan kontrak.</w:t>
      </w:r>
    </w:p>
    <w:p>
      <w:pPr>
        <w:spacing w:line="360" w:lineRule="auto"/>
        <w:ind w:firstLine="480" w:firstLineChars="200"/>
        <w:rPr>
          <w:rFonts w:hint="eastAsia" w:ascii="Times New Roman" w:eastAsia="仿宋"/>
          <w:bCs/>
          <w:sz w:val="24"/>
          <w:szCs w:val="24"/>
        </w:rPr>
      </w:pPr>
      <w:r>
        <w:rPr>
          <w:rFonts w:ascii="Times New Roman" w:eastAsia="仿宋"/>
          <w:sz w:val="24"/>
          <w:szCs w:val="24"/>
        </w:rPr>
        <w:t>2、</w:t>
      </w:r>
      <w:r>
        <w:rPr>
          <w:rFonts w:hint="eastAsia" w:ascii="Times New Roman" w:eastAsia="仿宋"/>
          <w:bCs/>
          <w:sz w:val="24"/>
          <w:szCs w:val="24"/>
        </w:rPr>
        <w:t>报价截止时间2025年5月</w:t>
      </w:r>
      <w:r>
        <w:rPr>
          <w:rFonts w:hint="eastAsia" w:ascii="Times New Roman" w:eastAsia="仿宋"/>
          <w:bCs/>
          <w:sz w:val="24"/>
          <w:szCs w:val="24"/>
          <w:lang w:val="en-US" w:eastAsia="zh-CN"/>
        </w:rPr>
        <w:t>23</w:t>
      </w:r>
      <w:r>
        <w:rPr>
          <w:rFonts w:hint="eastAsia" w:ascii="Times New Roman" w:eastAsia="仿宋"/>
          <w:bCs/>
          <w:sz w:val="24"/>
          <w:szCs w:val="24"/>
        </w:rPr>
        <w:t>日雅加达时间1</w:t>
      </w:r>
      <w:r>
        <w:rPr>
          <w:rFonts w:hint="eastAsia" w:ascii="Times New Roman" w:eastAsia="仿宋"/>
          <w:bCs/>
          <w:sz w:val="24"/>
          <w:szCs w:val="24"/>
          <w:lang w:val="en-US" w:eastAsia="zh-CN"/>
        </w:rPr>
        <w:t>6</w:t>
      </w:r>
      <w:r>
        <w:rPr>
          <w:rFonts w:hint="eastAsia" w:ascii="Times New Roman" w:eastAsia="仿宋"/>
          <w:bCs/>
          <w:sz w:val="24"/>
          <w:szCs w:val="24"/>
        </w:rPr>
        <w:t>:00前。</w:t>
      </w:r>
    </w:p>
    <w:p>
      <w:pPr>
        <w:spacing w:line="360" w:lineRule="auto"/>
        <w:ind w:left="315" w:leftChars="150" w:firstLine="0" w:firstLineChars="0"/>
        <w:rPr>
          <w:rFonts w:hint="eastAsia" w:ascii="Times New Roman" w:eastAsia="仿宋"/>
          <w:bCs/>
          <w:sz w:val="24"/>
          <w:szCs w:val="24"/>
        </w:rPr>
      </w:pPr>
      <w:r>
        <w:rPr>
          <w:rFonts w:hint="eastAsia" w:ascii="Times New Roman" w:eastAsia="仿宋"/>
          <w:bCs/>
          <w:sz w:val="24"/>
          <w:szCs w:val="24"/>
          <w:lang w:val="en-US" w:eastAsia="zh-CN"/>
        </w:rPr>
        <w:t>2、</w:t>
      </w:r>
      <w:r>
        <w:rPr>
          <w:rFonts w:hint="eastAsia" w:ascii="Times New Roman" w:eastAsia="仿宋"/>
          <w:bCs/>
          <w:sz w:val="24"/>
          <w:szCs w:val="24"/>
        </w:rPr>
        <w:t xml:space="preserve">Penawaran jatuh tempo pada tanggal </w:t>
      </w:r>
      <w:r>
        <w:rPr>
          <w:rFonts w:hint="eastAsia" w:ascii="Times New Roman" w:eastAsia="仿宋"/>
          <w:bCs/>
          <w:sz w:val="24"/>
          <w:szCs w:val="24"/>
          <w:lang w:val="en-US" w:eastAsia="zh-CN"/>
        </w:rPr>
        <w:t>23</w:t>
      </w:r>
      <w:r>
        <w:rPr>
          <w:rFonts w:hint="eastAsia" w:ascii="Times New Roman" w:eastAsia="仿宋"/>
          <w:bCs/>
          <w:sz w:val="24"/>
          <w:szCs w:val="24"/>
        </w:rPr>
        <w:t xml:space="preserve"> M</w:t>
      </w:r>
      <w:r>
        <w:rPr>
          <w:rFonts w:hint="eastAsia" w:ascii="Times New Roman" w:eastAsia="仿宋"/>
          <w:bCs/>
          <w:sz w:val="24"/>
          <w:szCs w:val="24"/>
          <w:lang w:val="en-US" w:eastAsia="zh-CN"/>
        </w:rPr>
        <w:t>ei</w:t>
      </w:r>
      <w:r>
        <w:rPr>
          <w:rFonts w:hint="eastAsia" w:ascii="Times New Roman" w:eastAsia="仿宋"/>
          <w:bCs/>
          <w:sz w:val="24"/>
          <w:szCs w:val="24"/>
        </w:rPr>
        <w:t xml:space="preserve"> 2025 pukul 1</w:t>
      </w:r>
      <w:r>
        <w:rPr>
          <w:rFonts w:hint="eastAsia" w:ascii="Times New Roman" w:eastAsia="仿宋"/>
          <w:bCs/>
          <w:sz w:val="24"/>
          <w:szCs w:val="24"/>
          <w:lang w:val="en-US" w:eastAsia="zh-CN"/>
        </w:rPr>
        <w:t>6</w:t>
      </w:r>
      <w:r>
        <w:rPr>
          <w:rFonts w:hint="eastAsia" w:ascii="Times New Roman" w:eastAsia="仿宋"/>
          <w:bCs/>
          <w:sz w:val="24"/>
          <w:szCs w:val="24"/>
        </w:rPr>
        <w:t>:00 waktu Jakarta.</w:t>
      </w:r>
    </w:p>
    <w:p>
      <w:pPr>
        <w:spacing w:line="360" w:lineRule="auto"/>
        <w:ind w:firstLine="480" w:firstLineChars="200"/>
        <w:rPr>
          <w:rFonts w:hint="eastAsia" w:ascii="Times New Roman" w:eastAsia="仿宋"/>
          <w:sz w:val="24"/>
          <w:szCs w:val="24"/>
          <w:lang w:val="en-US" w:eastAsia="zh-CN"/>
        </w:rPr>
      </w:pPr>
      <w:r>
        <w:rPr>
          <w:rFonts w:hint="eastAsia" w:ascii="Times New Roman" w:eastAsia="仿宋"/>
          <w:sz w:val="24"/>
          <w:szCs w:val="24"/>
          <w:lang w:val="en-US" w:eastAsia="zh-CN"/>
        </w:rPr>
        <w:t>3.投标文件递交方式：纸版密封或发送到指定邮箱 731465071@qq.com。</w:t>
      </w:r>
    </w:p>
    <w:p>
      <w:pPr>
        <w:spacing w:line="360" w:lineRule="auto"/>
        <w:ind w:left="315" w:leftChars="150" w:firstLine="0" w:firstLineChars="0"/>
        <w:rPr>
          <w:rFonts w:hint="eastAsia" w:ascii="Times New Roman" w:eastAsia="仿宋"/>
          <w:sz w:val="24"/>
          <w:szCs w:val="24"/>
          <w:lang w:val="en-US" w:eastAsia="zh-CN"/>
        </w:rPr>
      </w:pPr>
      <w:r>
        <w:rPr>
          <w:rFonts w:hint="eastAsia" w:ascii="Times New Roman" w:eastAsia="仿宋"/>
          <w:sz w:val="24"/>
          <w:szCs w:val="24"/>
          <w:lang w:val="en-US" w:eastAsia="zh-CN"/>
        </w:rPr>
        <w:t>3、Cara penyerahan dokumen penawaran: Versi kertas harus disegel atau dikirim ke alamat email yang ditunjuk 731465071@qq.com.</w:t>
      </w:r>
    </w:p>
    <w:p>
      <w:pPr>
        <w:spacing w:line="360" w:lineRule="auto"/>
        <w:ind w:firstLine="480" w:firstLineChars="200"/>
        <w:rPr>
          <w:rFonts w:hint="eastAsia" w:ascii="Times New Roman" w:eastAsia="仿宋"/>
          <w:sz w:val="24"/>
          <w:szCs w:val="24"/>
          <w:lang w:val="en-US" w:eastAsia="zh-CN"/>
        </w:rPr>
      </w:pPr>
      <w:r>
        <w:rPr>
          <w:rFonts w:hint="eastAsia" w:ascii="Times New Roman" w:eastAsia="仿宋"/>
          <w:sz w:val="24"/>
          <w:szCs w:val="24"/>
          <w:lang w:val="en-US" w:eastAsia="zh-CN"/>
        </w:rPr>
        <w:t xml:space="preserve">4投标文件递交地点：玻雅（印尼）发电公司行政办公楼二楼物资部 </w:t>
      </w:r>
    </w:p>
    <w:p>
      <w:pPr>
        <w:spacing w:line="360" w:lineRule="auto"/>
        <w:ind w:left="315" w:leftChars="150" w:firstLine="0" w:firstLineChars="0"/>
        <w:rPr>
          <w:rFonts w:hint="eastAsia" w:eastAsia="仿宋"/>
          <w:lang w:val="en-US" w:eastAsia="zh-CN"/>
        </w:rPr>
      </w:pPr>
      <w:r>
        <w:rPr>
          <w:rFonts w:hint="eastAsia" w:ascii="Times New Roman" w:eastAsia="仿宋"/>
          <w:sz w:val="24"/>
          <w:szCs w:val="24"/>
          <w:lang w:val="en-US" w:eastAsia="zh-CN"/>
        </w:rPr>
        <w:t>4、Lokasi penyerahan dokumen penawaran: Bagian Material di lantai dua gedung kantor administrasi Perusahaan Pembangkit Listrik Sumsel-8 (Indonesia)</w:t>
      </w:r>
    </w:p>
    <w:p>
      <w:pPr>
        <w:pStyle w:val="6"/>
        <w:spacing w:line="360" w:lineRule="auto"/>
        <w:ind w:firstLine="480"/>
        <w:rPr>
          <w:rFonts w:hint="eastAsia" w:ascii="Times New Roman" w:hAnsi="Times New Roman" w:eastAsia="仿宋"/>
          <w:sz w:val="24"/>
          <w:szCs w:val="24"/>
          <w:lang w:val="en-US" w:eastAsia="zh-CN"/>
        </w:rPr>
      </w:pPr>
      <w:r>
        <w:rPr>
          <w:rFonts w:hint="eastAsia" w:ascii="Times New Roman" w:hAnsi="Times New Roman" w:eastAsia="仿宋"/>
          <w:sz w:val="24"/>
          <w:szCs w:val="24"/>
          <w:lang w:val="en-US" w:eastAsia="zh-CN"/>
        </w:rPr>
        <w:t>四、服务期限</w:t>
      </w:r>
      <w:r>
        <w:rPr>
          <w:rFonts w:hint="eastAsia" w:ascii="Times New Roman" w:hAnsi="Times New Roman" w:eastAsia="仿宋"/>
          <w:sz w:val="24"/>
        </w:rPr>
        <w:t>Masa layanan</w:t>
      </w:r>
    </w:p>
    <w:p>
      <w:pPr>
        <w:spacing w:line="360" w:lineRule="auto"/>
        <w:ind w:firstLine="480" w:firstLineChars="200"/>
        <w:rPr>
          <w:rFonts w:hint="eastAsia" w:ascii="Times New Roman" w:eastAsia="仿宋"/>
          <w:sz w:val="24"/>
          <w:szCs w:val="24"/>
        </w:rPr>
      </w:pPr>
      <w:r>
        <w:rPr>
          <w:rFonts w:hint="eastAsia" w:ascii="Times New Roman" w:eastAsia="仿宋"/>
          <w:sz w:val="24"/>
          <w:szCs w:val="24"/>
        </w:rPr>
        <w:t>自2025年6月1日始，至2026年5月31日止(服务期为1年)。</w:t>
      </w:r>
    </w:p>
    <w:p>
      <w:pPr>
        <w:spacing w:line="360" w:lineRule="auto"/>
        <w:ind w:left="479" w:leftChars="228" w:firstLine="0" w:firstLineChars="0"/>
        <w:rPr>
          <w:rFonts w:hint="eastAsia" w:ascii="Times New Roman" w:eastAsia="仿宋"/>
          <w:sz w:val="24"/>
          <w:szCs w:val="24"/>
          <w:lang w:val="en-US" w:eastAsia="zh-CN"/>
        </w:rPr>
      </w:pPr>
      <w:r>
        <w:rPr>
          <w:rFonts w:hint="eastAsia" w:ascii="Times New Roman" w:eastAsia="仿宋"/>
          <w:sz w:val="24"/>
          <w:szCs w:val="24"/>
        </w:rPr>
        <w:t>Dimulai pada tanggal 1 Juni 2025 sampai dengan 31 Mei 2026 (masa jabatan 1 tahun).</w:t>
      </w:r>
    </w:p>
    <w:p>
      <w:pPr>
        <w:pStyle w:val="6"/>
        <w:spacing w:line="360" w:lineRule="auto"/>
        <w:ind w:firstLine="480"/>
        <w:rPr>
          <w:rFonts w:hint="eastAsia" w:ascii="Times New Roman" w:hAnsi="Times New Roman" w:eastAsia="仿宋"/>
          <w:sz w:val="24"/>
          <w:szCs w:val="24"/>
        </w:rPr>
      </w:pPr>
      <w:r>
        <w:rPr>
          <w:rFonts w:hint="eastAsia" w:ascii="Times New Roman" w:hAnsi="Times New Roman" w:eastAsia="仿宋"/>
          <w:sz w:val="24"/>
          <w:szCs w:val="24"/>
          <w:lang w:val="en-US" w:eastAsia="zh-CN"/>
        </w:rPr>
        <w:t>五</w:t>
      </w:r>
      <w:r>
        <w:rPr>
          <w:rFonts w:hint="eastAsia" w:ascii="Times New Roman" w:hAnsi="Times New Roman" w:eastAsia="仿宋"/>
          <w:sz w:val="24"/>
          <w:szCs w:val="24"/>
        </w:rPr>
        <w:t>、</w:t>
      </w:r>
      <w:r>
        <w:rPr>
          <w:rFonts w:hint="eastAsia" w:ascii="Times New Roman" w:hAnsi="Times New Roman" w:eastAsia="仿宋"/>
          <w:sz w:val="24"/>
          <w:szCs w:val="24"/>
          <w:lang w:val="en-US" w:eastAsia="zh-CN"/>
        </w:rPr>
        <w:t>服务</w:t>
      </w:r>
      <w:r>
        <w:rPr>
          <w:rFonts w:hint="eastAsia" w:ascii="Times New Roman" w:hAnsi="Times New Roman" w:eastAsia="仿宋"/>
          <w:sz w:val="24"/>
          <w:szCs w:val="24"/>
        </w:rPr>
        <w:t>地点</w:t>
      </w:r>
      <w:r>
        <w:rPr>
          <w:rFonts w:hint="eastAsia" w:ascii="Times New Roman" w:eastAsia="仿宋"/>
          <w:bCs/>
          <w:sz w:val="24"/>
          <w:szCs w:val="24"/>
        </w:rPr>
        <w:t>Service Location</w:t>
      </w:r>
      <w:r>
        <w:rPr>
          <w:rFonts w:hint="eastAsia" w:ascii="Times New Roman" w:hAnsi="Times New Roman" w:eastAsia="仿宋"/>
          <w:sz w:val="24"/>
          <w:szCs w:val="24"/>
        </w:rPr>
        <w:t xml:space="preserve"> ：</w:t>
      </w:r>
    </w:p>
    <w:p>
      <w:pPr>
        <w:pStyle w:val="6"/>
        <w:spacing w:line="360" w:lineRule="auto"/>
        <w:ind w:firstLine="480"/>
        <w:rPr>
          <w:rFonts w:hint="eastAsia" w:ascii="Times New Roman" w:hAnsi="Times New Roman" w:eastAsia="仿宋"/>
          <w:sz w:val="24"/>
          <w:szCs w:val="24"/>
        </w:rPr>
      </w:pPr>
      <w:r>
        <w:rPr>
          <w:rFonts w:hint="eastAsia" w:ascii="Times New Roman" w:hAnsi="Times New Roman" w:eastAsia="仿宋"/>
          <w:sz w:val="24"/>
          <w:szCs w:val="24"/>
        </w:rPr>
        <w:t>印度尼西亚MUARA Enim县以南Darmo镇东南约3.5km</w:t>
      </w:r>
    </w:p>
    <w:p>
      <w:pPr>
        <w:pStyle w:val="6"/>
        <w:spacing w:line="360" w:lineRule="auto"/>
        <w:ind w:left="315" w:leftChars="150" w:firstLine="0" w:firstLineChars="0"/>
        <w:rPr>
          <w:rFonts w:hint="eastAsia" w:ascii="Times New Roman" w:hAnsi="Times New Roman" w:eastAsia="仿宋"/>
          <w:sz w:val="24"/>
          <w:szCs w:val="24"/>
        </w:rPr>
      </w:pPr>
      <w:r>
        <w:rPr>
          <w:rFonts w:hint="eastAsia" w:ascii="Times New Roman" w:hAnsi="Times New Roman" w:eastAsia="仿宋"/>
          <w:sz w:val="24"/>
          <w:szCs w:val="24"/>
        </w:rPr>
        <w:t xml:space="preserve">Tempat pengiriman: Sekitar 3,5 km sebelah tenggara kota Darmo, sebelah selatan Kabupaten Muara Enim, Indonesia, di tempat yang ditentukan oleh pembeli untuk bongkar muatan truk. </w:t>
      </w:r>
    </w:p>
    <w:p>
      <w:pPr>
        <w:pStyle w:val="6"/>
        <w:spacing w:line="360" w:lineRule="auto"/>
        <w:ind w:firstLine="480"/>
        <w:rPr>
          <w:rFonts w:hint="eastAsia" w:ascii="Times New Roman" w:hAnsi="Times New Roman" w:eastAsia="仿宋"/>
          <w:sz w:val="24"/>
          <w:szCs w:val="24"/>
        </w:rPr>
      </w:pPr>
      <w:r>
        <w:rPr>
          <w:rFonts w:hint="eastAsia" w:ascii="Times New Roman" w:hAnsi="Times New Roman" w:eastAsia="仿宋"/>
          <w:sz w:val="24"/>
          <w:szCs w:val="24"/>
          <w:lang w:val="en-US" w:eastAsia="zh-CN"/>
        </w:rPr>
        <w:t>六</w:t>
      </w:r>
      <w:r>
        <w:rPr>
          <w:rFonts w:hint="eastAsia" w:ascii="Times New Roman" w:hAnsi="Times New Roman" w:eastAsia="仿宋"/>
          <w:sz w:val="24"/>
          <w:szCs w:val="24"/>
        </w:rPr>
        <w:t>、联系人 Narahubung ： Wu Chao Lei 、 Benita</w:t>
      </w:r>
    </w:p>
    <w:p>
      <w:pPr>
        <w:pStyle w:val="6"/>
        <w:spacing w:line="360" w:lineRule="auto"/>
        <w:ind w:firstLine="480"/>
        <w:rPr>
          <w:rFonts w:ascii="Times New Roman"/>
          <w:bCs/>
          <w:sz w:val="24"/>
          <w:szCs w:val="24"/>
        </w:rPr>
      </w:pPr>
      <w:r>
        <w:rPr>
          <w:rFonts w:hint="eastAsia" w:ascii="Times New Roman" w:hAnsi="Times New Roman" w:eastAsia="仿宋"/>
          <w:sz w:val="24"/>
          <w:szCs w:val="24"/>
          <w:lang w:val="en-US" w:eastAsia="zh-CN"/>
        </w:rPr>
        <w:t>七</w:t>
      </w:r>
      <w:r>
        <w:rPr>
          <w:rFonts w:hint="eastAsia" w:ascii="Times New Roman" w:hAnsi="Times New Roman" w:eastAsia="仿宋"/>
          <w:sz w:val="24"/>
          <w:szCs w:val="24"/>
        </w:rPr>
        <w:t>、联系电话 Nomor Telepon： 082162566855  、085607179214</w:t>
      </w:r>
    </w:p>
    <w:p>
      <w:pPr>
        <w:pStyle w:val="7"/>
        <w:snapToGrid w:val="0"/>
        <w:spacing w:after="0" w:line="240" w:lineRule="auto"/>
        <w:jc w:val="center"/>
        <w:rPr>
          <w:rFonts w:hint="eastAsia" w:asciiTheme="minorEastAsia" w:hAnsiTheme="minorEastAsia" w:eastAsiaTheme="minorEastAsia" w:cstheme="minorEastAsia"/>
          <w:b/>
          <w:color w:val="auto"/>
          <w:spacing w:val="40"/>
          <w:sz w:val="36"/>
          <w:szCs w:val="36"/>
          <w:highlight w:val="none"/>
          <w:lang w:val="en-US" w:eastAsia="zh-CN"/>
        </w:rPr>
        <w:sectPr>
          <w:pgSz w:w="11906" w:h="16838"/>
          <w:pgMar w:top="1440" w:right="1800" w:bottom="1440" w:left="1800" w:header="851" w:footer="992" w:gutter="0"/>
          <w:cols w:space="425" w:num="1"/>
          <w:docGrid w:type="lines" w:linePitch="312" w:charSpace="0"/>
        </w:sectPr>
      </w:pPr>
    </w:p>
    <w:p>
      <w:pPr>
        <w:pStyle w:val="7"/>
        <w:snapToGrid w:val="0"/>
        <w:spacing w:after="0" w:line="240" w:lineRule="auto"/>
        <w:jc w:val="center"/>
        <w:rPr>
          <w:rFonts w:hint="eastAsia" w:asciiTheme="minorEastAsia" w:hAnsiTheme="minorEastAsia" w:eastAsiaTheme="minorEastAsia" w:cstheme="minorEastAsia"/>
          <w:b/>
          <w:color w:val="auto"/>
          <w:spacing w:val="40"/>
          <w:sz w:val="36"/>
          <w:szCs w:val="36"/>
          <w:highlight w:val="none"/>
          <w:lang w:val="en-US" w:eastAsia="zh-CN"/>
        </w:rPr>
      </w:pPr>
    </w:p>
    <w:p>
      <w:pPr>
        <w:pStyle w:val="7"/>
        <w:snapToGrid w:val="0"/>
        <w:spacing w:after="0" w:line="240" w:lineRule="auto"/>
        <w:jc w:val="center"/>
        <w:rPr>
          <w:rFonts w:hint="eastAsia" w:asciiTheme="minorEastAsia" w:hAnsiTheme="minorEastAsia" w:eastAsiaTheme="minorEastAsia" w:cstheme="minorEastAsia"/>
          <w:b/>
          <w:color w:val="auto"/>
          <w:spacing w:val="40"/>
          <w:sz w:val="36"/>
          <w:szCs w:val="36"/>
          <w:highlight w:val="none"/>
          <w:lang w:val="en-US" w:eastAsia="zh-CN"/>
        </w:rPr>
      </w:pPr>
    </w:p>
    <w:p>
      <w:pPr>
        <w:snapToGrid w:val="0"/>
        <w:jc w:val="center"/>
        <w:rPr>
          <w:rFonts w:hint="eastAsia" w:ascii="宋体" w:hAnsi="宋体" w:eastAsia="宋体" w:cs="宋体"/>
          <w:b/>
          <w:bCs w:val="0"/>
          <w:spacing w:val="40"/>
          <w:sz w:val="40"/>
          <w:szCs w:val="40"/>
          <w:highlight w:val="none"/>
        </w:rPr>
      </w:pPr>
      <w:r>
        <w:rPr>
          <w:rFonts w:hint="eastAsia" w:ascii="宋体" w:hAnsi="宋体" w:eastAsia="宋体" w:cs="宋体"/>
          <w:b/>
          <w:bCs w:val="0"/>
          <w:spacing w:val="40"/>
          <w:sz w:val="40"/>
          <w:szCs w:val="40"/>
          <w:highlight w:val="none"/>
        </w:rPr>
        <w:t>印尼华瑞电力有限公司</w:t>
      </w:r>
    </w:p>
    <w:p>
      <w:pPr>
        <w:pStyle w:val="7"/>
        <w:snapToGrid w:val="0"/>
        <w:spacing w:after="0" w:line="240" w:lineRule="auto"/>
        <w:jc w:val="center"/>
        <w:rPr>
          <w:rFonts w:hint="default" w:eastAsia="宋体"/>
          <w:b/>
          <w:color w:val="auto"/>
          <w:spacing w:val="40"/>
          <w:sz w:val="28"/>
          <w:szCs w:val="22"/>
          <w:highlight w:val="none"/>
          <w:lang w:val="en-US" w:eastAsia="zh-CN"/>
        </w:rPr>
      </w:pPr>
      <w:r>
        <w:rPr>
          <w:rFonts w:hint="eastAsia"/>
          <w:b/>
          <w:sz w:val="28"/>
          <w:szCs w:val="28"/>
          <w:highlight w:val="none"/>
          <w:lang w:val="en-US" w:eastAsia="zh-CN"/>
        </w:rPr>
        <w:t>PT Pembangkitan Listrik Pintar Energi</w:t>
      </w:r>
    </w:p>
    <w:p>
      <w:pPr>
        <w:spacing w:after="0" w:line="240" w:lineRule="auto"/>
        <w:ind w:firstLine="16"/>
        <w:jc w:val="center"/>
        <w:rPr>
          <w:rFonts w:hint="eastAsia" w:ascii="黑体" w:hAnsi="黑体" w:eastAsia="黑体" w:cs="黑体"/>
          <w:b/>
          <w:color w:val="auto"/>
          <w:sz w:val="44"/>
          <w:szCs w:val="44"/>
          <w:highlight w:val="none"/>
          <w:lang w:val="en-US" w:eastAsia="zh-CN"/>
        </w:rPr>
      </w:pPr>
    </w:p>
    <w:p>
      <w:pPr>
        <w:pStyle w:val="2"/>
        <w:rPr>
          <w:rFonts w:hint="eastAsia" w:ascii="黑体" w:hAnsi="黑体" w:eastAsia="黑体" w:cs="黑体"/>
          <w:b/>
          <w:color w:val="auto"/>
          <w:sz w:val="44"/>
          <w:szCs w:val="44"/>
          <w:highlight w:val="none"/>
          <w:lang w:val="en-US" w:eastAsia="zh-CN"/>
        </w:rPr>
      </w:pPr>
    </w:p>
    <w:p>
      <w:pPr>
        <w:spacing w:after="0" w:line="240" w:lineRule="auto"/>
        <w:ind w:firstLine="16"/>
        <w:jc w:val="center"/>
        <w:rPr>
          <w:rFonts w:hint="eastAsia" w:ascii="宋体" w:hAnsi="宋体" w:eastAsia="宋体" w:cs="宋体"/>
          <w:b/>
          <w:bCs w:val="0"/>
          <w:color w:val="auto"/>
          <w:spacing w:val="20"/>
          <w:sz w:val="44"/>
          <w:szCs w:val="44"/>
          <w:highlight w:val="none"/>
          <w:lang w:val="en-US"/>
        </w:rPr>
      </w:pPr>
      <w:r>
        <w:rPr>
          <w:rFonts w:hint="eastAsia" w:ascii="宋体" w:hAnsi="宋体" w:eastAsia="宋体" w:cs="宋体"/>
          <w:b/>
          <w:bCs w:val="0"/>
          <w:color w:val="auto"/>
          <w:spacing w:val="20"/>
          <w:sz w:val="44"/>
          <w:szCs w:val="44"/>
          <w:highlight w:val="none"/>
          <w:lang w:val="en-US"/>
        </w:rPr>
        <w:t>2025年消防服务技术规范书</w:t>
      </w:r>
    </w:p>
    <w:p>
      <w:pPr>
        <w:pStyle w:val="12"/>
        <w:widowControl/>
        <w:kinsoku/>
        <w:autoSpaceDE/>
        <w:autoSpaceDN/>
        <w:adjustRightInd/>
        <w:snapToGrid/>
        <w:spacing w:after="0" w:line="240" w:lineRule="auto"/>
        <w:ind w:firstLine="16"/>
        <w:jc w:val="center"/>
        <w:textAlignment w:val="auto"/>
        <w:rPr>
          <w:rFonts w:hint="eastAsia" w:ascii="Times New Roman" w:hAnsi="Times New Roman" w:eastAsia="宋体" w:cs="Times New Roman"/>
          <w:b/>
          <w:bCs/>
          <w:snapToGrid/>
          <w:sz w:val="28"/>
          <w:szCs w:val="28"/>
        </w:rPr>
      </w:pPr>
      <w:r>
        <w:rPr>
          <w:rFonts w:hint="eastAsia" w:ascii="Times New Roman" w:hAnsi="Times New Roman" w:eastAsia="宋体" w:cs="Times New Roman"/>
          <w:b/>
          <w:bCs/>
          <w:snapToGrid/>
          <w:sz w:val="28"/>
          <w:szCs w:val="28"/>
        </w:rPr>
        <w:t xml:space="preserve">Spesifikasi Teknis </w:t>
      </w:r>
      <w:r>
        <w:rPr>
          <w:rFonts w:hint="eastAsia" w:ascii="Times New Roman" w:hAnsi="Times New Roman" w:eastAsia="宋体" w:cs="Times New Roman"/>
          <w:b/>
          <w:bCs/>
          <w:snapToGrid/>
          <w:sz w:val="28"/>
          <w:szCs w:val="28"/>
          <w:lang w:val="en-US" w:eastAsia="zh-CN"/>
        </w:rPr>
        <w:t xml:space="preserve">Layanan </w:t>
      </w:r>
      <w:r>
        <w:rPr>
          <w:rFonts w:hint="eastAsia" w:ascii="Times New Roman" w:hAnsi="Times New Roman" w:eastAsia="宋体" w:cs="Times New Roman"/>
          <w:b/>
          <w:bCs/>
          <w:snapToGrid/>
          <w:sz w:val="28"/>
          <w:szCs w:val="28"/>
        </w:rPr>
        <w:t xml:space="preserve">Pemadam Kebakaran </w:t>
      </w:r>
      <w:r>
        <w:rPr>
          <w:rFonts w:hint="eastAsia" w:ascii="Times New Roman" w:hAnsi="Times New Roman" w:eastAsia="宋体" w:cs="Times New Roman"/>
          <w:b/>
          <w:bCs/>
          <w:snapToGrid/>
          <w:sz w:val="28"/>
          <w:szCs w:val="28"/>
          <w:lang w:val="en-US" w:eastAsia="zh-CN"/>
        </w:rPr>
        <w:t xml:space="preserve">Tahun </w:t>
      </w:r>
      <w:r>
        <w:rPr>
          <w:rFonts w:hint="eastAsia" w:ascii="Times New Roman" w:hAnsi="Times New Roman" w:eastAsia="宋体" w:cs="Times New Roman"/>
          <w:b/>
          <w:bCs/>
          <w:snapToGrid/>
          <w:sz w:val="28"/>
          <w:szCs w:val="28"/>
        </w:rPr>
        <w:t>2025</w:t>
      </w:r>
    </w:p>
    <w:p>
      <w:pPr>
        <w:pStyle w:val="12"/>
        <w:widowControl/>
        <w:kinsoku/>
        <w:autoSpaceDE/>
        <w:autoSpaceDN/>
        <w:adjustRightInd/>
        <w:snapToGrid/>
        <w:spacing w:after="0" w:line="240" w:lineRule="auto"/>
        <w:ind w:firstLine="16"/>
        <w:jc w:val="center"/>
        <w:textAlignment w:val="auto"/>
        <w:rPr>
          <w:rFonts w:hint="eastAsia" w:ascii="Times New Roman" w:hAnsi="Times New Roman" w:eastAsia="宋体" w:cs="Times New Roman"/>
          <w:b/>
          <w:bCs/>
          <w:snapToGrid/>
          <w:sz w:val="28"/>
          <w:szCs w:val="28"/>
        </w:rPr>
      </w:pPr>
    </w:p>
    <w:p>
      <w:pPr>
        <w:spacing w:after="0" w:line="240" w:lineRule="auto"/>
        <w:ind w:firstLine="16"/>
        <w:jc w:val="center"/>
        <w:rPr>
          <w:rFonts w:hint="default" w:cs="Times New Roman"/>
          <w:b w:val="0"/>
          <w:bCs/>
          <w:color w:val="auto"/>
          <w:spacing w:val="20"/>
          <w:sz w:val="52"/>
          <w:szCs w:val="52"/>
          <w:highlight w:val="none"/>
        </w:rPr>
      </w:pPr>
    </w:p>
    <w:p>
      <w:pPr>
        <w:spacing w:after="0" w:line="240" w:lineRule="auto"/>
        <w:rPr>
          <w:rFonts w:hint="default"/>
          <w:color w:val="auto"/>
          <w:sz w:val="28"/>
          <w:szCs w:val="28"/>
          <w:highlight w:val="none"/>
        </w:rPr>
      </w:pPr>
      <w:r>
        <w:rPr>
          <w:rFonts w:hint="default"/>
          <w:color w:val="auto"/>
          <w:sz w:val="28"/>
          <w:szCs w:val="28"/>
          <w:highlight w:val="none"/>
        </w:rPr>
        <w:t xml:space="preserve">              </w:t>
      </w:r>
    </w:p>
    <w:p>
      <w:pPr>
        <w:pStyle w:val="5"/>
        <w:outlineLvl w:val="9"/>
        <w:rPr>
          <w:rFonts w:hint="eastAsia"/>
          <w:color w:val="auto"/>
          <w:lang w:val="en-US" w:eastAsia="zh-CN"/>
        </w:rPr>
      </w:pPr>
      <w:r>
        <w:rPr>
          <w:rFonts w:hint="eastAsia"/>
          <w:color w:val="auto"/>
          <w:lang w:val="en-US" w:eastAsia="zh-CN"/>
        </w:rPr>
        <w:t xml:space="preserve">            批准</w:t>
      </w:r>
      <w:r>
        <w:rPr>
          <w:rFonts w:hint="default" w:ascii="Times New Roman" w:hAnsi="Times New Roman"/>
          <w:color w:val="auto"/>
          <w:sz w:val="24"/>
          <w:szCs w:val="21"/>
          <w:lang w:val="en-US" w:eastAsia="zh-CN"/>
        </w:rPr>
        <w:t>Disetujui</w:t>
      </w:r>
      <w:r>
        <w:rPr>
          <w:rFonts w:hint="eastAsia"/>
          <w:color w:val="auto"/>
          <w:lang w:val="en-US" w:eastAsia="zh-CN"/>
        </w:rPr>
        <w:t>：</w:t>
      </w:r>
    </w:p>
    <w:p>
      <w:pPr>
        <w:pStyle w:val="6"/>
        <w:rPr>
          <w:rFonts w:hint="eastAsia"/>
          <w:color w:val="auto"/>
          <w:lang w:val="en-US" w:eastAsia="zh-CN"/>
        </w:rPr>
      </w:pPr>
    </w:p>
    <w:p>
      <w:pPr>
        <w:pStyle w:val="6"/>
        <w:rPr>
          <w:rFonts w:hint="eastAsia" w:ascii="黑体" w:hAnsi="宋体" w:eastAsia="黑体"/>
          <w:b/>
          <w:color w:val="auto"/>
          <w:sz w:val="32"/>
          <w:szCs w:val="24"/>
          <w:lang w:val="en-US" w:eastAsia="zh-CN"/>
        </w:rPr>
      </w:pPr>
      <w:r>
        <w:rPr>
          <w:rFonts w:hint="eastAsia"/>
          <w:color w:val="auto"/>
          <w:lang w:val="en-US" w:eastAsia="zh-CN"/>
        </w:rPr>
        <w:t xml:space="preserve">              </w:t>
      </w:r>
      <w:r>
        <w:rPr>
          <w:rFonts w:hint="eastAsia" w:ascii="黑体" w:hAnsi="宋体" w:eastAsia="黑体"/>
          <w:b/>
          <w:color w:val="auto"/>
          <w:sz w:val="32"/>
          <w:szCs w:val="24"/>
          <w:lang w:val="en-US" w:eastAsia="zh-CN"/>
        </w:rPr>
        <w:t>审核</w:t>
      </w:r>
      <w:r>
        <w:rPr>
          <w:rFonts w:hint="default" w:ascii="Times New Roman" w:hAnsi="Times New Roman" w:eastAsia="黑体"/>
          <w:b/>
          <w:color w:val="auto"/>
          <w:sz w:val="24"/>
          <w:szCs w:val="21"/>
          <w:lang w:val="en-US" w:eastAsia="zh-CN"/>
        </w:rPr>
        <w:t>Ditinjau</w:t>
      </w:r>
      <w:r>
        <w:rPr>
          <w:rFonts w:hint="eastAsia" w:ascii="黑体" w:hAnsi="宋体" w:eastAsia="黑体"/>
          <w:b/>
          <w:color w:val="auto"/>
          <w:sz w:val="32"/>
          <w:szCs w:val="24"/>
          <w:lang w:val="en-US" w:eastAsia="zh-CN"/>
        </w:rPr>
        <w:t>：</w:t>
      </w:r>
    </w:p>
    <w:p>
      <w:pPr>
        <w:pStyle w:val="6"/>
        <w:rPr>
          <w:rFonts w:hint="eastAsia" w:ascii="黑体" w:hAnsi="宋体" w:eastAsia="黑体"/>
          <w:b/>
          <w:color w:val="auto"/>
          <w:sz w:val="32"/>
          <w:szCs w:val="24"/>
          <w:lang w:val="en-US" w:eastAsia="zh-CN"/>
        </w:rPr>
      </w:pPr>
    </w:p>
    <w:p>
      <w:pPr>
        <w:pStyle w:val="6"/>
        <w:rPr>
          <w:rFonts w:hint="eastAsia" w:ascii="黑体" w:hAnsi="宋体" w:eastAsia="黑体"/>
          <w:b/>
          <w:color w:val="auto"/>
          <w:sz w:val="32"/>
          <w:szCs w:val="24"/>
          <w:lang w:val="en-US" w:eastAsia="zh-CN"/>
        </w:rPr>
      </w:pPr>
    </w:p>
    <w:p>
      <w:pPr>
        <w:pStyle w:val="6"/>
        <w:rPr>
          <w:rFonts w:hint="eastAsia" w:ascii="黑体" w:hAnsi="宋体" w:eastAsia="黑体"/>
          <w:b/>
          <w:color w:val="auto"/>
          <w:sz w:val="32"/>
          <w:szCs w:val="24"/>
          <w:lang w:val="en-US" w:eastAsia="zh-CN"/>
        </w:rPr>
      </w:pPr>
      <w:r>
        <w:rPr>
          <w:rFonts w:hint="eastAsia" w:ascii="黑体" w:hAnsi="宋体" w:eastAsia="黑体"/>
          <w:b/>
          <w:color w:val="auto"/>
          <w:sz w:val="32"/>
          <w:szCs w:val="24"/>
          <w:lang w:val="en-US" w:eastAsia="zh-CN"/>
        </w:rPr>
        <w:t xml:space="preserve">        编写</w:t>
      </w:r>
      <w:r>
        <w:rPr>
          <w:rFonts w:hint="default" w:ascii="Times New Roman" w:hAnsi="Times New Roman" w:eastAsia="黑体"/>
          <w:b/>
          <w:color w:val="auto"/>
          <w:sz w:val="24"/>
          <w:szCs w:val="21"/>
          <w:lang w:val="en-US" w:eastAsia="zh-CN"/>
        </w:rPr>
        <w:t>Disusun</w:t>
      </w:r>
      <w:r>
        <w:rPr>
          <w:rFonts w:hint="eastAsia" w:ascii="黑体" w:hAnsi="宋体" w:eastAsia="黑体"/>
          <w:b/>
          <w:color w:val="auto"/>
          <w:sz w:val="32"/>
          <w:szCs w:val="24"/>
          <w:lang w:val="en-US" w:eastAsia="zh-CN"/>
        </w:rPr>
        <w:t>：</w:t>
      </w:r>
    </w:p>
    <w:p>
      <w:pPr>
        <w:spacing w:line="360" w:lineRule="auto"/>
        <w:rPr>
          <w:rFonts w:ascii="Times New Roman" w:hAnsi="Times New Roman" w:cs="Times New Roman"/>
          <w:color w:val="000000" w:themeColor="text1"/>
          <w:sz w:val="24"/>
          <w:szCs w:val="24"/>
          <w:highlight w:val="none"/>
          <w14:textFill>
            <w14:solidFill>
              <w14:schemeClr w14:val="tx1"/>
            </w14:solidFill>
          </w14:textFill>
        </w:rPr>
      </w:pPr>
    </w:p>
    <w:p>
      <w:pPr>
        <w:spacing w:line="360" w:lineRule="auto"/>
        <w:rPr>
          <w:rFonts w:ascii="Times New Roman" w:hAnsi="Times New Roman" w:cs="Times New Roman"/>
          <w:color w:val="000000" w:themeColor="text1"/>
          <w:sz w:val="24"/>
          <w:szCs w:val="24"/>
          <w:highlight w:val="none"/>
          <w14:textFill>
            <w14:solidFill>
              <w14:schemeClr w14:val="tx1"/>
            </w14:solidFill>
          </w14:textFill>
        </w:rPr>
      </w:pPr>
    </w:p>
    <w:p>
      <w:pPr>
        <w:spacing w:line="360" w:lineRule="auto"/>
        <w:rPr>
          <w:rFonts w:ascii="Times New Roman" w:hAnsi="Times New Roman" w:cs="Times New Roman"/>
          <w:color w:val="000000" w:themeColor="text1"/>
          <w:sz w:val="24"/>
          <w:szCs w:val="24"/>
          <w:highlight w:val="none"/>
          <w14:textFill>
            <w14:solidFill>
              <w14:schemeClr w14:val="tx1"/>
            </w14:solidFill>
          </w14:textFill>
        </w:rPr>
      </w:pPr>
    </w:p>
    <w:p>
      <w:pPr>
        <w:rPr>
          <w:rFonts w:ascii="Times New Roman" w:hAnsi="Times New Roman" w:cs="Times New Roman"/>
          <w:color w:val="000000" w:themeColor="text1"/>
          <w:sz w:val="24"/>
          <w:szCs w:val="24"/>
          <w:highlight w:val="none"/>
          <w14:textFill>
            <w14:solidFill>
              <w14:schemeClr w14:val="tx1"/>
            </w14:solidFill>
          </w14:textFill>
        </w:rPr>
      </w:pPr>
    </w:p>
    <w:p>
      <w:pPr>
        <w:pStyle w:val="2"/>
      </w:pPr>
    </w:p>
    <w:p>
      <w:pPr>
        <w:pStyle w:val="2"/>
        <w:rPr>
          <w:rFonts w:ascii="Times New Roman" w:hAnsi="Times New Roman" w:cs="Times New Roman"/>
          <w:color w:val="000000" w:themeColor="text1"/>
          <w:sz w:val="24"/>
          <w:szCs w:val="24"/>
          <w:highlight w:val="none"/>
          <w14:textFill>
            <w14:solidFill>
              <w14:schemeClr w14:val="tx1"/>
            </w14:solidFill>
          </w14:textFill>
        </w:rPr>
      </w:pPr>
    </w:p>
    <w:p>
      <w:pPr>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FangSong_GB2312" w:cs="Times New Roman"/>
          <w:b/>
          <w:color w:val="auto"/>
          <w:sz w:val="32"/>
          <w:szCs w:val="32"/>
          <w:highlight w:val="none"/>
        </w:rPr>
        <w:t>202</w:t>
      </w:r>
      <w:r>
        <w:rPr>
          <w:rFonts w:hint="default" w:ascii="Times New Roman" w:hAnsi="Times New Roman" w:eastAsia="FangSong_GB2312" w:cs="Times New Roman"/>
          <w:b/>
          <w:color w:val="auto"/>
          <w:sz w:val="32"/>
          <w:szCs w:val="32"/>
          <w:highlight w:val="none"/>
          <w:lang w:val="en-US" w:eastAsia="zh-CN"/>
        </w:rPr>
        <w:t>5-05</w:t>
      </w:r>
    </w:p>
    <w:p>
      <w:pPr>
        <w:pStyle w:val="2"/>
        <w:rPr>
          <w:rFonts w:ascii="Times New Roman" w:hAnsi="Times New Roman" w:cs="Times New Roman"/>
          <w:color w:val="000000" w:themeColor="text1"/>
          <w:sz w:val="24"/>
          <w:szCs w:val="24"/>
          <w:highlight w:val="none"/>
          <w14:textFill>
            <w14:solidFill>
              <w14:schemeClr w14:val="tx1"/>
            </w14:solidFill>
          </w14:textFill>
        </w:rPr>
      </w:pPr>
    </w:p>
    <w:p>
      <w:pP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br w:type="page"/>
      </w:r>
    </w:p>
    <w:sdt>
      <w:sdtPr>
        <w:rPr>
          <w:rFonts w:hint="default" w:ascii="Times New Roman" w:hAnsi="Times New Roman" w:eastAsia="宋体" w:cs="Times New Roman"/>
          <w:snapToGrid w:val="0"/>
          <w:color w:val="000000"/>
          <w:sz w:val="24"/>
          <w:szCs w:val="24"/>
          <w:lang w:val="en-US" w:eastAsia="zh-CN" w:bidi="ar-SA"/>
        </w:rPr>
        <w:id w:val="147466254"/>
        <w15:color w:val="DBDBDB"/>
      </w:sdtPr>
      <w:sdtEndPr>
        <w:rPr>
          <w:rFonts w:hint="default" w:ascii="Times New Roman" w:hAnsi="Times New Roman" w:eastAsia="Arial" w:cs="Arial"/>
          <w:snapToGrid w:val="0"/>
          <w:color w:val="auto"/>
          <w:kern w:val="0"/>
          <w:sz w:val="21"/>
          <w:szCs w:val="21"/>
          <w:lang w:val="en-US" w:eastAsia="zh-CN" w:bidi="ar-SA"/>
        </w:rPr>
      </w:sdtEndPr>
      <w:sdtContent>
        <w:p>
          <w:pPr>
            <w:keepNext w:val="0"/>
            <w:keepLines w:val="0"/>
            <w:pageBreakBefore w:val="0"/>
            <w:widowControl/>
            <w:kinsoku w:val="0"/>
            <w:wordWrap/>
            <w:overflowPunct/>
            <w:topLinePunct w:val="0"/>
            <w:autoSpaceDE w:val="0"/>
            <w:autoSpaceDN w:val="0"/>
            <w:bidi w:val="0"/>
            <w:spacing w:before="0" w:beforeLines="0" w:after="0" w:afterLines="0" w:line="36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目</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录</w:t>
          </w:r>
        </w:p>
        <w:p>
          <w:pPr>
            <w:pStyle w:val="2"/>
            <w:keepNext w:val="0"/>
            <w:keepLines w:val="0"/>
            <w:pageBreakBefore w:val="0"/>
            <w:widowControl/>
            <w:kinsoku w:val="0"/>
            <w:wordWrap/>
            <w:overflowPunct/>
            <w:topLinePunct w:val="0"/>
            <w:autoSpaceDE w:val="0"/>
            <w:autoSpaceDN w:val="0"/>
            <w:bidi w:val="0"/>
            <w:spacing w:line="360" w:lineRule="auto"/>
            <w:ind w:left="0" w:lef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b/>
              <w:bCs/>
              <w:color w:val="auto"/>
              <w:sz w:val="24"/>
              <w:szCs w:val="24"/>
              <w:highlight w:val="none"/>
              <w:lang w:val="en-US" w:eastAsia="zh-CN"/>
            </w:rPr>
            <w:t>Daftar Isi</w:t>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"1-1" \h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_Toc20545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1. </w:t>
          </w:r>
          <w:r>
            <w:rPr>
              <w:rFonts w:hint="default" w:ascii="Times New Roman" w:hAnsi="Times New Roman" w:eastAsia="黑体" w:cs="Times New Roman"/>
              <w:bCs/>
              <w:sz w:val="24"/>
              <w:szCs w:val="24"/>
              <w:highlight w:val="none"/>
            </w:rPr>
            <w:t>Persyaratan Layanan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_Toc20545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_Toc29443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服务要求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_Toc29443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_Toc857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2. </w:t>
          </w:r>
          <w:r>
            <w:rPr>
              <w:rFonts w:hint="default" w:ascii="Times New Roman" w:hAnsi="Times New Roman" w:eastAsia="黑体" w:cs="Times New Roman"/>
              <w:bCs/>
              <w:sz w:val="24"/>
              <w:szCs w:val="24"/>
              <w:highlight w:val="none"/>
            </w:rPr>
            <w:t>Standar normatif yang berlaku</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_Toc857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_Toc28663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适用规范标准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_Toc28663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_Toc31473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3. </w:t>
          </w:r>
          <w:r>
            <w:rPr>
              <w:rFonts w:hint="default" w:ascii="Times New Roman" w:hAnsi="Times New Roman" w:eastAsia="黑体" w:cs="Times New Roman"/>
              <w:bCs/>
              <w:sz w:val="24"/>
              <w:szCs w:val="24"/>
              <w:highlight w:val="none"/>
            </w:rPr>
            <w:t>Daftar Properti Pembeli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_Toc31473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_Toc10869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采购人财产清单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_Toc10869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_Toc8636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4. </w:t>
          </w:r>
          <w:r>
            <w:rPr>
              <w:rFonts w:hint="default" w:ascii="Times New Roman" w:hAnsi="Times New Roman" w:eastAsia="黑体" w:cs="Times New Roman"/>
              <w:bCs/>
              <w:sz w:val="24"/>
              <w:szCs w:val="24"/>
              <w:highlight w:val="none"/>
            </w:rPr>
            <w:t>Fasilitas yang disediakan oleh pembeli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_Toc8636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_Toc1244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采购人提供的便利条件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_Toc1244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_Toc12624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5. </w:t>
          </w:r>
          <w:r>
            <w:rPr>
              <w:rFonts w:hint="default" w:ascii="Times New Roman" w:hAnsi="Times New Roman" w:eastAsia="黑体" w:cs="Times New Roman"/>
              <w:bCs/>
              <w:sz w:val="24"/>
              <w:szCs w:val="24"/>
              <w:highlight w:val="none"/>
            </w:rPr>
            <w:t>Kondisi kerja yang harus disediakan oleh pemberi penawaran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_Toc12624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_Toc22635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报价人需要自备的工作条件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_Toc5091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rPr>
            <w:t xml:space="preserve">6. </w:t>
          </w:r>
          <w:r>
            <w:rPr>
              <w:rFonts w:hint="default" w:ascii="Times New Roman" w:hAnsi="Times New Roman" w:eastAsia="黑体" w:cs="Times New Roman"/>
              <w:bCs/>
              <w:sz w:val="24"/>
              <w:szCs w:val="24"/>
              <w:highlight w:val="none"/>
            </w:rPr>
            <w:t>Persyaratan lain dari pembeli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_Toc5091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1"/>
            <w:keepNext w:val="0"/>
            <w:keepLines w:val="0"/>
            <w:pageBreakBefore w:val="0"/>
            <w:widowControl/>
            <w:tabs>
              <w:tab w:val="right" w:leader="dot" w:pos="9029"/>
            </w:tabs>
            <w:kinsoku w:val="0"/>
            <w:wordWrap/>
            <w:overflowPunct/>
            <w:topLinePunct w:val="0"/>
            <w:autoSpaceDE w:val="0"/>
            <w:autoSpaceDN w:val="0"/>
            <w:bidi w:val="0"/>
            <w:spacing w:line="360" w:lineRule="auto"/>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_Toc27794 </w:instrText>
          </w:r>
          <w:r>
            <w:rPr>
              <w:rFonts w:hint="default" w:ascii="Times New Roman" w:hAnsi="Times New Roman" w:cs="Times New Roman"/>
              <w:sz w:val="24"/>
              <w:szCs w:val="24"/>
            </w:rPr>
            <w:fldChar w:fldCharType="separate"/>
          </w:r>
          <w:r>
            <w:rPr>
              <w:rFonts w:hint="default" w:ascii="Times New Roman" w:hAnsi="Times New Roman" w:eastAsia="黑体" w:cs="Times New Roman"/>
              <w:bCs/>
              <w:sz w:val="24"/>
              <w:szCs w:val="24"/>
              <w:highlight w:val="none"/>
            </w:rPr>
            <w:t>采购人的其他要求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_Toc27794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2"/>
            <w:keepNext w:val="0"/>
            <w:keepLines w:val="0"/>
            <w:pageBreakBefore w:val="0"/>
            <w:widowControl/>
            <w:kinsoku w:val="0"/>
            <w:wordWrap/>
            <w:overflowPunct/>
            <w:topLinePunct w:val="0"/>
            <w:autoSpaceDE w:val="0"/>
            <w:autoSpaceDN w:val="0"/>
            <w:bidi w:val="0"/>
            <w:spacing w:after="120" w:line="360" w:lineRule="auto"/>
            <w:textAlignment w:val="baseline"/>
            <w:rPr>
              <w:rFonts w:ascii="Times New Roman" w:hAnsi="Times New Roman" w:eastAsia="Arial" w:cs="Arial"/>
              <w:snapToGrid w:val="0"/>
              <w:color w:val="auto"/>
              <w:kern w:val="0"/>
              <w:sz w:val="21"/>
              <w:szCs w:val="21"/>
              <w:lang w:val="en-US" w:eastAsia="zh-CN" w:bidi="ar-SA"/>
            </w:rPr>
          </w:pPr>
          <w:r>
            <w:rPr>
              <w:rFonts w:hint="default" w:ascii="Times New Roman" w:hAnsi="Times New Roman" w:cs="Times New Roman"/>
              <w:sz w:val="24"/>
              <w:szCs w:val="24"/>
            </w:rPr>
            <w:fldChar w:fldCharType="end"/>
          </w:r>
        </w:p>
      </w:sdtContent>
    </w:sdt>
    <w:p/>
    <w:p/>
    <w:p>
      <w:pPr>
        <w:pStyle w:val="2"/>
      </w:pPr>
    </w:p>
    <w:p/>
    <w:p>
      <w:pPr>
        <w:pStyle w:val="2"/>
      </w:pPr>
    </w:p>
    <w:p>
      <w:r>
        <w:br w:type="page"/>
      </w:r>
    </w:p>
    <w:p>
      <w:pPr>
        <w:pStyle w:val="2"/>
      </w:pPr>
    </w:p>
    <w:p>
      <w:pPr>
        <w:pStyle w:val="2"/>
        <w:rPr>
          <w:rFonts w:ascii="Times New Roman" w:hAnsi="Times New Roman" w:cs="Times New Roman"/>
          <w:color w:val="000000" w:themeColor="text1"/>
          <w:sz w:val="24"/>
          <w:szCs w:val="24"/>
          <w:highlight w:val="none"/>
          <w14:textFill>
            <w14:solidFill>
              <w14:schemeClr w14:val="tx1"/>
            </w14:solidFill>
          </w14:textFill>
        </w:rPr>
      </w:pPr>
    </w:p>
    <w:p>
      <w:pPr>
        <w:pStyle w:val="19"/>
        <w:keepNext w:val="0"/>
        <w:keepLines w:val="0"/>
        <w:pageBreakBefore w:val="0"/>
        <w:widowControl/>
        <w:numPr>
          <w:ilvl w:val="0"/>
          <w:numId w:val="3"/>
        </w:numPr>
        <w:kinsoku w:val="0"/>
        <w:wordWrap/>
        <w:overflowPunct/>
        <w:topLinePunct w:val="0"/>
        <w:autoSpaceDE w:val="0"/>
        <w:autoSpaceDN w:val="0"/>
        <w:bidi w:val="0"/>
        <w:adjustRightInd w:val="0"/>
        <w:snapToGrid w:val="0"/>
        <w:spacing w:line="440" w:lineRule="exact"/>
        <w:ind w:left="284" w:leftChars="0" w:hanging="284" w:firstLineChars="0"/>
        <w:textAlignment w:val="baseline"/>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3" w:name="_bookmark131"/>
      <w:bookmarkEnd w:id="3"/>
      <w:bookmarkStart w:id="4" w:name="_Toc20545"/>
      <w:r>
        <w:rPr>
          <w:rFonts w:ascii="Times New Roman" w:hAnsi="Times New Roman" w:eastAsia="黑体" w:cs="Times New Roman"/>
          <w:b/>
          <w:bCs/>
          <w:color w:val="000000" w:themeColor="text1"/>
          <w:sz w:val="24"/>
          <w:szCs w:val="24"/>
          <w:highlight w:val="none"/>
          <w14:textFill>
            <w14:solidFill>
              <w14:schemeClr w14:val="tx1"/>
            </w14:solidFill>
          </w14:textFill>
        </w:rPr>
        <w:t>Persyaratan Layanan</w:t>
      </w:r>
      <w:bookmarkEnd w:id="4"/>
    </w:p>
    <w:p>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284"/>
        <w:textAlignment w:val="baseline"/>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5" w:name="_Toc29443"/>
      <w:r>
        <w:rPr>
          <w:rFonts w:ascii="Times New Roman" w:hAnsi="Times New Roman" w:eastAsia="黑体" w:cs="Times New Roman"/>
          <w:b/>
          <w:bCs/>
          <w:color w:val="000000" w:themeColor="text1"/>
          <w:sz w:val="24"/>
          <w:szCs w:val="24"/>
          <w:highlight w:val="none"/>
          <w14:textFill>
            <w14:solidFill>
              <w14:schemeClr w14:val="tx1"/>
            </w14:solidFill>
          </w14:textFill>
        </w:rPr>
        <w:t>服务要求</w:t>
      </w:r>
      <w:bookmarkEnd w:id="5"/>
      <w:bookmarkStart w:id="6" w:name="_bookmark132"/>
      <w:bookmarkEnd w:id="6"/>
    </w:p>
    <w:p>
      <w:pPr>
        <w:pStyle w:val="19"/>
        <w:keepNext w:val="0"/>
        <w:keepLines w:val="0"/>
        <w:pageBreakBefore w:val="0"/>
        <w:widowControl/>
        <w:numPr>
          <w:ilvl w:val="0"/>
          <w:numId w:val="4"/>
        </w:numPr>
        <w:tabs>
          <w:tab w:val="left" w:pos="709"/>
        </w:tabs>
        <w:kinsoku w:val="0"/>
        <w:wordWrap/>
        <w:overflowPunct/>
        <w:topLinePunct w:val="0"/>
        <w:autoSpaceDE w:val="0"/>
        <w:autoSpaceDN w:val="0"/>
        <w:bidi w:val="0"/>
        <w:adjustRightInd w:val="0"/>
        <w:snapToGrid w:val="0"/>
        <w:spacing w:line="440" w:lineRule="exact"/>
        <w:ind w:left="851" w:leftChars="0" w:hanging="567" w:firstLineChars="0"/>
        <w:textAlignment w:val="baseline"/>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Ikhtisar Proyek Penawaran</w:t>
      </w:r>
    </w:p>
    <w:p>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720" w:leftChars="0"/>
        <w:textAlignment w:val="baseline"/>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招标项目概况</w:t>
      </w:r>
    </w:p>
    <w:p>
      <w:pPr>
        <w:pStyle w:val="7"/>
        <w:keepNext w:val="0"/>
        <w:keepLines w:val="0"/>
        <w:pageBreakBefore w:val="0"/>
        <w:widowControl/>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 xml:space="preserve">Pembangkit listrik PLTU SUMSEL 8 (Indonesia) 2*660MW yang mendukung proyek proteksi kebakaran yang dirancang oleh Shandong Electric Power Design Institute dan dibangun oleh Indonesia Zhejiang Energy Construction Co., Ltd. Pembangkit listrik ini terletak di Kabupaten Muara Enim, Provinsi Sumatera Selatan, Indonesia, sekitar 220 kilometer dari ibukota provinsi, dengan kapasitas terpasang 2*660MW unit pembangkit listrik tenaga batu bara superkritis. Suhu rata-rata adalah 25-27 derajat Celcius dan sering terjadi gempa bumi. </w:t>
      </w:r>
      <w:r>
        <w:rPr>
          <w:rFonts w:hint="eastAsia" w:hAnsi="Times New Roman" w:eastAsia="宋体" w:cs="Times New Roman"/>
          <w:color w:val="000000" w:themeColor="text1"/>
          <w:highlight w:val="none"/>
          <w:lang w:val="en-US" w:eastAsia="zh-CN"/>
          <w14:textFill>
            <w14:solidFill>
              <w14:schemeClr w14:val="tx1"/>
            </w14:solidFill>
          </w14:textFill>
        </w:rPr>
        <w:t>Kedua unit telah</w:t>
      </w:r>
      <w:r>
        <w:rPr>
          <w:rFonts w:hint="default" w:hAnsi="Times New Roman" w:eastAsia="宋体" w:cs="Times New Roman"/>
          <w:color w:val="000000" w:themeColor="text1"/>
          <w:highlight w:val="none"/>
          <w14:textFill>
            <w14:solidFill>
              <w14:schemeClr w14:val="tx1"/>
            </w14:solidFill>
          </w14:textFill>
        </w:rPr>
        <w:t xml:space="preserve"> dioperasikan pada bulan </w:t>
      </w:r>
      <w:r>
        <w:rPr>
          <w:rFonts w:hint="eastAsia" w:hAnsi="Times New Roman" w:eastAsia="宋体" w:cs="Times New Roman"/>
          <w:color w:val="000000" w:themeColor="text1"/>
          <w:highlight w:val="none"/>
          <w:lang w:val="en-US" w:eastAsia="zh-CN"/>
          <w14:textFill>
            <w14:solidFill>
              <w14:schemeClr w14:val="tx1"/>
            </w14:solidFill>
          </w14:textFill>
        </w:rPr>
        <w:t>Okto</w:t>
      </w:r>
      <w:r>
        <w:rPr>
          <w:rFonts w:hint="default" w:hAnsi="Times New Roman" w:eastAsia="宋体" w:cs="Times New Roman"/>
          <w:color w:val="000000" w:themeColor="text1"/>
          <w:highlight w:val="none"/>
          <w14:textFill>
            <w14:solidFill>
              <w14:schemeClr w14:val="tx1"/>
            </w14:solidFill>
          </w14:textFill>
        </w:rPr>
        <w:t>ber 2023. Proyek pemadaman kebakaran akan dirancang, dibangun, dan mulai berproduksi serta digunakan pada saat yang sama dengan proyek utama sesuai dengan persyaratan "tiga simultan".</w:t>
      </w:r>
    </w:p>
    <w:p>
      <w:pPr>
        <w:keepNext w:val="0"/>
        <w:keepLines w:val="0"/>
        <w:pageBreakBefore w:val="0"/>
        <w:widowControl/>
        <w:tabs>
          <w:tab w:val="left" w:pos="709"/>
        </w:tabs>
        <w:kinsoku w:val="0"/>
        <w:wordWrap/>
        <w:overflowPunct/>
        <w:topLinePunct w:val="0"/>
        <w:autoSpaceDE w:val="0"/>
        <w:autoSpaceDN w:val="0"/>
        <w:bidi w:val="0"/>
        <w:adjustRightInd w:val="0"/>
        <w:snapToGrid w:val="0"/>
        <w:spacing w:line="440" w:lineRule="exact"/>
        <w:ind w:left="708" w:leftChars="337" w:firstLine="1"/>
        <w:jc w:val="both"/>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华电（印尼）玻雅2*660MW坑口电站配套消防工程由山东电力设计院设计，印尼浙江能源建设有限公司建设，电站工程位于印尼南苏门答腊省毛拉埃宁（Muara Enim）县，距省会巨港约220公里，建设装机容量2*660MW超临界燃煤发电机组、当地属海岛热带雨林气候，平均气温为25-27摄氏度，地震频繁。2023年10月两台机组投产发电，消防工程按照“三同时”要求和主体工程同时施设计、同时施工、同时投入生产和使用。</w:t>
      </w:r>
    </w:p>
    <w:p>
      <w:pPr>
        <w:pStyle w:val="7"/>
        <w:keepNext w:val="0"/>
        <w:keepLines w:val="0"/>
        <w:pageBreakBefore w:val="0"/>
        <w:widowControl/>
        <w:kinsoku w:val="0"/>
        <w:wordWrap/>
        <w:overflowPunct/>
        <w:topLinePunct w:val="0"/>
        <w:autoSpaceDE w:val="0"/>
        <w:autoSpaceDN w:val="0"/>
        <w:bidi w:val="0"/>
        <w:adjustRightInd w:val="0"/>
        <w:snapToGrid w:val="0"/>
        <w:spacing w:after="0" w:line="440" w:lineRule="exact"/>
        <w:textAlignment w:val="baseline"/>
        <w:rPr>
          <w:rFonts w:hint="default" w:hAnsi="Times New Roman" w:eastAsia="宋体" w:cs="Times New Roman"/>
          <w:color w:val="000000" w:themeColor="text1"/>
          <w:highlight w:val="none"/>
          <w14:textFill>
            <w14:solidFill>
              <w14:schemeClr w14:val="tx1"/>
            </w14:solidFill>
          </w14:textFill>
        </w:rPr>
      </w:pPr>
    </w:p>
    <w:p>
      <w:pPr>
        <w:pStyle w:val="19"/>
        <w:keepNext w:val="0"/>
        <w:keepLines w:val="0"/>
        <w:pageBreakBefore w:val="0"/>
        <w:widowControl/>
        <w:numPr>
          <w:ilvl w:val="0"/>
          <w:numId w:val="4"/>
        </w:numPr>
        <w:tabs>
          <w:tab w:val="left" w:pos="709"/>
        </w:tabs>
        <w:kinsoku w:val="0"/>
        <w:wordWrap/>
        <w:overflowPunct/>
        <w:topLinePunct w:val="0"/>
        <w:autoSpaceDE w:val="0"/>
        <w:autoSpaceDN w:val="0"/>
        <w:bidi w:val="0"/>
        <w:adjustRightInd w:val="0"/>
        <w:snapToGrid w:val="0"/>
        <w:spacing w:line="440" w:lineRule="exact"/>
        <w:ind w:left="851" w:leftChars="0" w:hanging="567" w:firstLineChars="0"/>
        <w:textAlignment w:val="baseline"/>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7" w:name="_bookmark133"/>
      <w:bookmarkEnd w:id="7"/>
      <w:r>
        <w:rPr>
          <w:rFonts w:ascii="Times New Roman" w:hAnsi="Times New Roman" w:eastAsia="宋体" w:cs="Times New Roman"/>
          <w:b/>
          <w:bCs/>
          <w:color w:val="000000" w:themeColor="text1"/>
          <w:sz w:val="24"/>
          <w:szCs w:val="24"/>
          <w:highlight w:val="none"/>
          <w14:textFill>
            <w14:solidFill>
              <w14:schemeClr w14:val="tx1"/>
            </w14:solidFill>
          </w14:textFill>
        </w:rPr>
        <w:t>Tujuan proyek</w:t>
      </w:r>
    </w:p>
    <w:p>
      <w:pPr>
        <w:pStyle w:val="19"/>
        <w:keepNext w:val="0"/>
        <w:keepLines w:val="0"/>
        <w:pageBreakBefore w:val="0"/>
        <w:widowControl/>
        <w:kinsoku w:val="0"/>
        <w:wordWrap/>
        <w:overflowPunct/>
        <w:topLinePunct w:val="0"/>
        <w:autoSpaceDE w:val="0"/>
        <w:autoSpaceDN w:val="0"/>
        <w:bidi w:val="0"/>
        <w:adjustRightInd w:val="0"/>
        <w:snapToGrid w:val="0"/>
        <w:spacing w:line="440" w:lineRule="exact"/>
        <w:ind w:left="720" w:leftChars="0"/>
        <w:textAlignment w:val="baseline"/>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项目目标</w:t>
      </w:r>
    </w:p>
    <w:p>
      <w:pPr>
        <w:pStyle w:val="7"/>
        <w:keepNext w:val="0"/>
        <w:keepLines w:val="0"/>
        <w:pageBreakBefore w:val="0"/>
        <w:widowControl/>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黑体" w:cs="Times New Roman"/>
          <w:color w:val="000000" w:themeColor="text1"/>
          <w:highlight w:val="none"/>
          <w14:textFill>
            <w14:solidFill>
              <w14:schemeClr w14:val="tx1"/>
            </w14:solidFill>
          </w14:textFill>
        </w:rPr>
      </w:pPr>
      <w:r>
        <w:rPr>
          <w:rFonts w:hint="default" w:hAnsi="Times New Roman" w:eastAsia="黑体" w:cs="Times New Roman"/>
          <w:color w:val="000000" w:themeColor="text1"/>
          <w:highlight w:val="none"/>
          <w14:textFill>
            <w14:solidFill>
              <w14:schemeClr w14:val="tx1"/>
            </w14:solidFill>
          </w14:textFill>
        </w:rPr>
        <w:t>Membentuk tim pemadam kebakaran penuh waktu, menyediakan layanan manajemen pemadam kebakaran harian untuk sistem pemadam kebakaran pembangkit listrik, penyelamatan darurat pemadam kebakaran, dan pekerjaan darurat yang memerlukan penggunaan peralatan dan fasilitas pemadam kebakaran untuk penyelamatan.</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709"/>
        <w:jc w:val="both"/>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组建专职消防队伍、对电站消防系统进行日常消防管理服务、消防应急救援和需要启用消防设备设施进行救援的应急工作。</w:t>
      </w:r>
    </w:p>
    <w:p>
      <w:pPr>
        <w:pStyle w:val="7"/>
        <w:keepNext w:val="0"/>
        <w:keepLines w:val="0"/>
        <w:pageBreakBefore w:val="0"/>
        <w:widowControl/>
        <w:kinsoku w:val="0"/>
        <w:wordWrap/>
        <w:overflowPunct/>
        <w:topLinePunct w:val="0"/>
        <w:autoSpaceDE w:val="0"/>
        <w:autoSpaceDN w:val="0"/>
        <w:bidi w:val="0"/>
        <w:adjustRightInd w:val="0"/>
        <w:snapToGrid w:val="0"/>
        <w:spacing w:after="0" w:line="440" w:lineRule="exact"/>
        <w:textAlignment w:val="baseline"/>
        <w:rPr>
          <w:rFonts w:hint="default" w:hAnsi="Times New Roman" w:eastAsia="宋体" w:cs="Times New Roman"/>
          <w:color w:val="000000" w:themeColor="text1"/>
          <w:highlight w:val="none"/>
          <w14:textFill>
            <w14:solidFill>
              <w14:schemeClr w14:val="tx1"/>
            </w14:solidFill>
          </w14:textFill>
        </w:rPr>
      </w:pPr>
    </w:p>
    <w:p>
      <w:pPr>
        <w:pStyle w:val="19"/>
        <w:keepNext w:val="0"/>
        <w:keepLines w:val="0"/>
        <w:pageBreakBefore w:val="0"/>
        <w:widowControl/>
        <w:numPr>
          <w:ilvl w:val="0"/>
          <w:numId w:val="4"/>
        </w:numPr>
        <w:tabs>
          <w:tab w:val="left" w:pos="709"/>
        </w:tabs>
        <w:kinsoku w:val="0"/>
        <w:wordWrap/>
        <w:overflowPunct/>
        <w:topLinePunct w:val="0"/>
        <w:autoSpaceDE w:val="0"/>
        <w:autoSpaceDN w:val="0"/>
        <w:bidi w:val="0"/>
        <w:adjustRightInd w:val="0"/>
        <w:snapToGrid w:val="0"/>
        <w:spacing w:line="440" w:lineRule="exact"/>
        <w:ind w:left="851" w:leftChars="0" w:hanging="567" w:firstLineChars="0"/>
        <w:textAlignment w:val="baseline"/>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8" w:name="_bookmark134"/>
      <w:bookmarkEnd w:id="8"/>
      <w:r>
        <w:rPr>
          <w:rFonts w:ascii="Times New Roman" w:hAnsi="Times New Roman" w:eastAsia="宋体" w:cs="Times New Roman"/>
          <w:b/>
          <w:bCs/>
          <w:color w:val="000000" w:themeColor="text1"/>
          <w:sz w:val="24"/>
          <w:szCs w:val="24"/>
          <w:highlight w:val="none"/>
          <w14:textFill>
            <w14:solidFill>
              <w14:schemeClr w14:val="tx1"/>
            </w14:solidFill>
          </w14:textFill>
        </w:rPr>
        <w:t>Cakupan penawaran</w:t>
      </w:r>
    </w:p>
    <w:p>
      <w:pPr>
        <w:pStyle w:val="19"/>
        <w:keepNext w:val="0"/>
        <w:keepLines w:val="0"/>
        <w:pageBreakBefore w:val="0"/>
        <w:widowControl/>
        <w:tabs>
          <w:tab w:val="left" w:pos="709"/>
        </w:tabs>
        <w:kinsoku w:val="0"/>
        <w:wordWrap/>
        <w:overflowPunct/>
        <w:topLinePunct w:val="0"/>
        <w:autoSpaceDE w:val="0"/>
        <w:autoSpaceDN w:val="0"/>
        <w:bidi w:val="0"/>
        <w:adjustRightInd w:val="0"/>
        <w:snapToGrid w:val="0"/>
        <w:spacing w:line="440" w:lineRule="exact"/>
        <w:ind w:left="709" w:leftChars="0"/>
        <w:textAlignment w:val="baseline"/>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hint="eastAsia" w:ascii="Times New Roman" w:hAnsi="Times New Roman" w:eastAsia="黑体" w:cs="Times New Roman"/>
          <w:b/>
          <w:bCs/>
          <w:color w:val="000000" w:themeColor="text1"/>
          <w:sz w:val="24"/>
          <w:szCs w:val="24"/>
          <w:highlight w:val="none"/>
          <w14:textFill>
            <w14:solidFill>
              <w14:schemeClr w14:val="tx1"/>
            </w14:solidFill>
          </w14:textFill>
        </w:rPr>
        <w:t>招标范围</w:t>
      </w:r>
    </w:p>
    <w:p>
      <w:pPr>
        <w:pStyle w:val="7"/>
        <w:keepNext w:val="0"/>
        <w:keepLines w:val="0"/>
        <w:pageBreakBefore w:val="0"/>
        <w:widowControl/>
        <w:tabs>
          <w:tab w:val="left" w:pos="709"/>
        </w:tabs>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黑体" w:cs="Times New Roman"/>
          <w:color w:val="000000" w:themeColor="text1"/>
          <w:highlight w:val="none"/>
          <w14:textFill>
            <w14:solidFill>
              <w14:schemeClr w14:val="tx1"/>
            </w14:solidFill>
          </w14:textFill>
        </w:rPr>
      </w:pPr>
      <w:r>
        <w:rPr>
          <w:rFonts w:hAnsi="Times New Roman" w:eastAsia="黑体" w:cs="Times New Roman"/>
          <w:color w:val="000000" w:themeColor="text1"/>
          <w:highlight w:val="none"/>
          <w14:textFill>
            <w14:solidFill>
              <w14:schemeClr w14:val="tx1"/>
            </w14:solidFill>
          </w14:textFill>
        </w:rPr>
        <w:t xml:space="preserve">Bertanggung jawab atas inspeksi dan perbaikan bahaya kebakaran di area produksi dan area tambahan, ruang </w:t>
      </w:r>
      <w:r>
        <w:rPr>
          <w:rFonts w:hint="default" w:hAnsi="Times New Roman" w:eastAsia="黑体" w:cs="Times New Roman"/>
          <w:i/>
          <w:iCs/>
          <w:color w:val="000000" w:themeColor="text1"/>
          <w:highlight w:val="none"/>
          <w14:textFill>
            <w14:solidFill>
              <w14:schemeClr w14:val="tx1"/>
            </w14:solidFill>
          </w14:textFill>
        </w:rPr>
        <w:t>water intake</w:t>
      </w:r>
      <w:r>
        <w:rPr>
          <w:rFonts w:hint="default" w:hAnsi="Times New Roman" w:eastAsia="黑体" w:cs="Times New Roman"/>
          <w:color w:val="000000" w:themeColor="text1"/>
          <w:highlight w:val="none"/>
          <w14:textFill>
            <w14:solidFill>
              <w14:schemeClr w14:val="tx1"/>
            </w14:solidFill>
          </w14:textFill>
        </w:rPr>
        <w:t xml:space="preserve">, dan area </w:t>
      </w:r>
      <w:r>
        <w:rPr>
          <w:rFonts w:hint="default" w:hAnsi="Times New Roman" w:eastAsia="黑体" w:cs="Times New Roman"/>
          <w:i/>
          <w:iCs/>
          <w:color w:val="000000" w:themeColor="text1"/>
          <w:highlight w:val="none"/>
          <w14:textFill>
            <w14:solidFill>
              <w14:schemeClr w14:val="tx1"/>
            </w14:solidFill>
          </w14:textFill>
        </w:rPr>
        <w:t>ash yard</w:t>
      </w:r>
      <w:r>
        <w:rPr>
          <w:rFonts w:hAnsi="Times New Roman" w:eastAsia="黑体" w:cs="Times New Roman"/>
          <w:color w:val="000000" w:themeColor="text1"/>
          <w:highlight w:val="none"/>
          <w14:textFill>
            <w14:solidFill>
              <w14:schemeClr w14:val="tx1"/>
            </w14:solidFill>
          </w14:textFill>
        </w:rPr>
        <w:t>, inspeksi, pemeliharaan dan perbaikan fasilitas dan peralatan pemadam kebakaran, patroli kebakaran dan pencegahan kebakaran, penyelamatan kebakaran darurat, pekerjaan darurat yang membutuhkan penggunaan peralatan dan fasilitas pemadam kebakaran, pengawasan kebakaran, pengawasan area pemadam kebakaran utama dan pekerjaan pemadaman kebakaran, membantu inspeksi dan penanganan keadaan darurat, serta bekerja sama dengan pemerintah daerah dan perusahaan terkait.</w:t>
      </w:r>
    </w:p>
    <w:p>
      <w:pPr>
        <w:keepNext w:val="0"/>
        <w:keepLines w:val="0"/>
        <w:pageBreakBefore w:val="0"/>
        <w:widowControl/>
        <w:tabs>
          <w:tab w:val="left" w:pos="709"/>
        </w:tabs>
        <w:kinsoku w:val="0"/>
        <w:wordWrap/>
        <w:overflowPunct/>
        <w:topLinePunct w:val="0"/>
        <w:autoSpaceDE w:val="0"/>
        <w:autoSpaceDN w:val="0"/>
        <w:bidi w:val="0"/>
        <w:adjustRightInd w:val="0"/>
        <w:snapToGrid w:val="0"/>
        <w:spacing w:line="440" w:lineRule="exact"/>
        <w:ind w:left="709"/>
        <w:jc w:val="both"/>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组建电站专职消防队伍，对电厂生产作业区及辅建区、取水泵房、灰场区域的火灾隐患排查、整改，消防设施、器材的检查、维护、保养，消防巡逻及火灾预防，火灾紧急救援，需要启用消防设备设施进行救援的应急工作，消防值班值守、重点消防部位及动火工作监护，协助各类迎检工作及突发应急事件处理，与地方政府、相关企业消防联动等工作。</w:t>
      </w:r>
    </w:p>
    <w:p>
      <w:pPr>
        <w:pStyle w:val="7"/>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eastAsia="宋体"/>
          <w:color w:val="000000" w:themeColor="text1"/>
          <w:highlight w:val="none"/>
          <w14:textFill>
            <w14:solidFill>
              <w14:schemeClr w14:val="tx1"/>
            </w14:solidFill>
          </w14:textFill>
        </w:rPr>
      </w:pPr>
    </w:p>
    <w:p>
      <w:pPr>
        <w:pStyle w:val="7"/>
        <w:keepNext w:val="0"/>
        <w:keepLines w:val="0"/>
        <w:pageBreakBefore w:val="0"/>
        <w:widowControl/>
        <w:tabs>
          <w:tab w:val="left" w:pos="709"/>
        </w:tabs>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Semua jenis rambu proteksi kebakaran dipasang, publisitas proteksi kebakaran dipasang di dinding, nomor alarm kebakaran diumumkan, dan pelatihan pengetahuan proteksi kebakaran dilakukan.</w:t>
      </w:r>
    </w:p>
    <w:p>
      <w:pPr>
        <w:pStyle w:val="7"/>
        <w:keepNext w:val="0"/>
        <w:keepLines w:val="0"/>
        <w:pageBreakBefore w:val="0"/>
        <w:widowControl/>
        <w:tabs>
          <w:tab w:val="left" w:pos="709"/>
        </w:tabs>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宋体" w:cs="Times New Roman"/>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Pengajuan rencana material untuk peralatan pemadam kebakaran</w:t>
      </w:r>
      <w:r>
        <w:rPr>
          <w:rFonts w:hint="default" w:hAnsi="Times New Roman" w:eastAsia="宋体" w:cs="Times New Roman"/>
          <w:color w:val="000000" w:themeColor="text1"/>
          <w:highlight w:val="none"/>
          <w14:textFill>
            <w14:solidFill>
              <w14:schemeClr w14:val="tx1"/>
            </w14:solidFill>
          </w14:textFill>
        </w:rPr>
        <w:t>, bahan pemadam kebakaran, bahan habis pakai, bahan bakar kendaraan dan rencana bahan lainnya, dan memenuhi persyaratan pemadam kebakaran harian</w:t>
      </w:r>
      <w:r>
        <w:rPr>
          <w:color w:val="000000" w:themeColor="text1"/>
          <w:highlight w:val="none"/>
          <w14:textFill>
            <w14:solidFill>
              <w14:schemeClr w14:val="tx1"/>
            </w14:solidFill>
          </w14:textFill>
        </w:rPr>
        <w:t xml:space="preserve"> </w:t>
      </w:r>
      <w:r>
        <w:rPr>
          <w:rFonts w:hAnsi="Times New Roman" w:eastAsia="宋体" w:cs="Times New Roman"/>
          <w:color w:val="000000" w:themeColor="text1"/>
          <w:highlight w:val="none"/>
          <w14:textFill>
            <w14:solidFill>
              <w14:schemeClr w14:val="tx1"/>
            </w14:solidFill>
          </w14:textFill>
        </w:rPr>
        <w:t>Pekerjaan membutuhkan penerimaan dan pengisian ulang persediaan pemadam kebakaran ke lokasi.</w:t>
      </w:r>
    </w:p>
    <w:p>
      <w:pPr>
        <w:keepNext w:val="0"/>
        <w:keepLines w:val="0"/>
        <w:pageBreakBefore w:val="0"/>
        <w:widowControl/>
        <w:tabs>
          <w:tab w:val="left" w:pos="709"/>
        </w:tabs>
        <w:kinsoku w:val="0"/>
        <w:wordWrap/>
        <w:overflowPunct/>
        <w:topLinePunct w:val="0"/>
        <w:autoSpaceDE w:val="0"/>
        <w:autoSpaceDN w:val="0"/>
        <w:bidi w:val="0"/>
        <w:adjustRightInd w:val="0"/>
        <w:snapToGrid w:val="0"/>
        <w:spacing w:line="440" w:lineRule="exact"/>
        <w:ind w:left="709"/>
        <w:jc w:val="both"/>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各类消防标识张贴，消防宣传上墙，公布消防火警电话，进行消防知识培训。</w:t>
      </w:r>
    </w:p>
    <w:p>
      <w:pPr>
        <w:keepNext w:val="0"/>
        <w:keepLines w:val="0"/>
        <w:pageBreakBefore w:val="0"/>
        <w:widowControl/>
        <w:tabs>
          <w:tab w:val="left" w:pos="709"/>
        </w:tabs>
        <w:kinsoku w:val="0"/>
        <w:wordWrap/>
        <w:overflowPunct/>
        <w:topLinePunct w:val="0"/>
        <w:autoSpaceDE w:val="0"/>
        <w:autoSpaceDN w:val="0"/>
        <w:bidi w:val="0"/>
        <w:adjustRightInd w:val="0"/>
        <w:snapToGrid w:val="0"/>
        <w:spacing w:line="440" w:lineRule="exact"/>
        <w:ind w:left="709"/>
        <w:jc w:val="both"/>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提交消防用具、消防物资、消耗材料、车辆油料等物资计划，按照满足日常消防工作需要领用并补充消防物资到现场。</w:t>
      </w:r>
    </w:p>
    <w:p>
      <w:pPr>
        <w:pStyle w:val="7"/>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eastAsia="宋体"/>
          <w:color w:val="000000" w:themeColor="text1"/>
          <w:highlight w:val="none"/>
          <w14:textFill>
            <w14:solidFill>
              <w14:schemeClr w14:val="tx1"/>
            </w14:solidFill>
          </w14:textFill>
        </w:rPr>
      </w:pPr>
    </w:p>
    <w:p>
      <w:pPr>
        <w:pStyle w:val="7"/>
        <w:keepNext w:val="0"/>
        <w:keepLines w:val="0"/>
        <w:pageBreakBefore w:val="0"/>
        <w:widowControl/>
        <w:tabs>
          <w:tab w:val="left" w:pos="709"/>
        </w:tabs>
        <w:kinsoku w:val="0"/>
        <w:wordWrap/>
        <w:overflowPunct/>
        <w:topLinePunct w:val="0"/>
        <w:autoSpaceDE w:val="0"/>
        <w:autoSpaceDN w:val="0"/>
        <w:bidi w:val="0"/>
        <w:adjustRightInd w:val="0"/>
        <w:snapToGrid w:val="0"/>
        <w:spacing w:after="0" w:line="440" w:lineRule="exact"/>
        <w:ind w:left="709"/>
        <w:jc w:val="both"/>
        <w:textAlignment w:val="baseline"/>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Melakukan pemeliharaan rutin dan pemecahan masalah umum sesuai dengan persyaratan pemeliharaan kendaraan pemadam kebakaran, menyerahkan pemeriksaan keluar dan pemeliharaan rutin, serta rencana inspeksi, dan mengimplementasikan pekerjaan perbaikan, pemeliharaan, dan inspeksi keluar setelah persetujuan.</w:t>
      </w:r>
    </w:p>
    <w:p>
      <w:pPr>
        <w:pStyle w:val="7"/>
        <w:tabs>
          <w:tab w:val="left" w:pos="709"/>
        </w:tabs>
        <w:spacing w:after="0" w:line="360" w:lineRule="auto"/>
        <w:ind w:left="709"/>
        <w:jc w:val="both"/>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Diperlukan pengiriman sementara kendaraan pemadam kebakaran untuk pembersihan jalan, pembersihan dinding luar gedung, suplai air darurat, drainase darurat, dll.</w:t>
      </w:r>
    </w:p>
    <w:p>
      <w:pPr>
        <w:pStyle w:val="7"/>
        <w:tabs>
          <w:tab w:val="left" w:pos="709"/>
        </w:tabs>
        <w:spacing w:after="0" w:line="360" w:lineRule="auto"/>
        <w:ind w:left="709"/>
        <w:jc w:val="both"/>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Lakukan pekerjaan dengan baik di semua jenis catatan, buku besar, laporan, ringkasan, dan materi yang terkait dengan proteksi kebakaran.</w:t>
      </w:r>
    </w:p>
    <w:p>
      <w:pPr>
        <w:tabs>
          <w:tab w:val="left" w:pos="709"/>
        </w:tabs>
        <w:spacing w:line="360" w:lineRule="auto"/>
        <w:ind w:left="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按消防车辆维护保养要求定期进行维护保养及一般故障处理，提交外送检修和定期保养、检验计划，经审批后实施外送检修、保养、检验工作。</w:t>
      </w:r>
    </w:p>
    <w:p>
      <w:pPr>
        <w:tabs>
          <w:tab w:val="left" w:pos="709"/>
        </w:tabs>
        <w:spacing w:line="360" w:lineRule="auto"/>
        <w:ind w:left="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需临时调度消防车辆进行道路冲洗、建筑外墙清洗、紧急供水、紧急排水等工作。</w:t>
      </w:r>
    </w:p>
    <w:p>
      <w:pPr>
        <w:tabs>
          <w:tab w:val="left" w:pos="709"/>
        </w:tabs>
        <w:spacing w:line="360" w:lineRule="auto"/>
        <w:ind w:left="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cs="Times New Roman" w:eastAsiaTheme="minorEastAsia"/>
          <w:color w:val="000000" w:themeColor="text1"/>
          <w:sz w:val="24"/>
          <w:szCs w:val="24"/>
          <w:highlight w:val="none"/>
          <w14:textFill>
            <w14:solidFill>
              <w14:schemeClr w14:val="tx1"/>
            </w14:solidFill>
          </w14:textFill>
        </w:rPr>
        <w:t>做好与消防相关的各类记录、台账、报告、总结和物资保管保洁。</w:t>
      </w:r>
    </w:p>
    <w:p>
      <w:pPr>
        <w:pStyle w:val="7"/>
        <w:spacing w:after="0" w:line="360" w:lineRule="auto"/>
        <w:ind w:firstLine="480" w:firstLineChars="200"/>
        <w:rPr>
          <w:rFonts w:hint="default" w:hAnsi="Times New Roman" w:cs="Times New Roman" w:eastAsiaTheme="minorEastAsia"/>
          <w:color w:val="000000" w:themeColor="text1"/>
          <w:highlight w:val="none"/>
          <w14:textFill>
            <w14:solidFill>
              <w14:schemeClr w14:val="tx1"/>
            </w14:solidFill>
          </w14:textFill>
        </w:rPr>
      </w:pPr>
    </w:p>
    <w:p>
      <w:pPr>
        <w:pStyle w:val="7"/>
        <w:spacing w:after="0" w:line="360" w:lineRule="auto"/>
        <w:ind w:firstLine="480" w:firstLineChars="200"/>
        <w:rPr>
          <w:rFonts w:hint="default" w:hAnsi="Times New Roman" w:cs="Times New Roman" w:eastAsiaTheme="minorEastAsia"/>
          <w:color w:val="000000" w:themeColor="text1"/>
          <w:highlight w:val="none"/>
          <w14:textFill>
            <w14:solidFill>
              <w14:schemeClr w14:val="tx1"/>
            </w14:solidFill>
          </w14:textFill>
        </w:rPr>
      </w:pPr>
    </w:p>
    <w:p>
      <w:pPr>
        <w:pStyle w:val="19"/>
        <w:numPr>
          <w:ilvl w:val="0"/>
          <w:numId w:val="4"/>
        </w:numPr>
        <w:tabs>
          <w:tab w:val="left" w:pos="709"/>
        </w:tabs>
        <w:spacing w:line="360" w:lineRule="auto"/>
        <w:ind w:left="851" w:leftChars="0" w:hanging="567" w:firstLine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9" w:name="_bookmark135"/>
      <w:bookmarkEnd w:id="9"/>
      <w:r>
        <w:rPr>
          <w:rFonts w:ascii="Times New Roman" w:hAnsi="Times New Roman" w:eastAsia="宋体" w:cs="Times New Roman"/>
          <w:b/>
          <w:bCs/>
          <w:color w:val="000000" w:themeColor="text1"/>
          <w:sz w:val="24"/>
          <w:szCs w:val="24"/>
          <w:highlight w:val="none"/>
          <w14:textFill>
            <w14:solidFill>
              <w14:schemeClr w14:val="tx1"/>
            </w14:solidFill>
          </w14:textFill>
        </w:rPr>
        <w:t>Konfigurasi peralatan pemadam kebakaran</w:t>
      </w:r>
    </w:p>
    <w:p>
      <w:pPr>
        <w:pStyle w:val="19"/>
        <w:tabs>
          <w:tab w:val="left" w:pos="709"/>
        </w:tabs>
        <w:spacing w:line="360" w:lineRule="auto"/>
        <w:ind w:left="709" w:left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消防装备的配置</w:t>
      </w:r>
    </w:p>
    <w:p>
      <w:pPr>
        <w:tabs>
          <w:tab w:val="left" w:pos="709"/>
        </w:tabs>
        <w:spacing w:line="360" w:lineRule="auto"/>
        <w:ind w:left="709" w:leftChars="0"/>
        <w:outlineLvl w:val="9"/>
        <w:rPr>
          <w:rFonts w:ascii="Times New Roman" w:hAnsi="Times New Roman" w:eastAsia="黑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Pembangkit listrik dilengkapi dengan truk pemadam kebakaran gabungan </w:t>
      </w:r>
      <w:r>
        <w:rPr>
          <w:rStyle w:val="16"/>
          <w:rFonts w:ascii="Times New Roman" w:hAnsi="Times New Roman" w:cs="Times New Roman"/>
          <w:color w:val="000000" w:themeColor="text1"/>
          <w:sz w:val="24"/>
          <w:szCs w:val="24"/>
          <w:highlight w:val="none"/>
          <w:shd w:val="clear" w:color="auto" w:fill="FFFFFF"/>
          <w14:textFill>
            <w14:solidFill>
              <w14:schemeClr w14:val="tx1"/>
            </w14:solidFill>
          </w14:textFill>
        </w:rPr>
        <w:t>Dry Chemical Powder</w:t>
      </w:r>
      <w:r>
        <w:rPr>
          <w:rStyle w:val="16"/>
          <w:rFonts w:ascii="Times New Roman" w:hAnsi="Times New Roman" w:cs="Times New Roman"/>
          <w:i w:val="0"/>
          <w:iCs w:val="0"/>
          <w:color w:val="000000" w:themeColor="text1"/>
          <w:sz w:val="24"/>
          <w:szCs w:val="24"/>
          <w:highlight w:val="none"/>
          <w:shd w:val="clear" w:color="auto" w:fill="FFFFFF"/>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dan truk pemadam kebakaran tangki air, dan truk tersebut dilengkapi dengan peralatan proteksi kebakaran dan penyelamatan.</w:t>
      </w:r>
    </w:p>
    <w:p>
      <w:pPr>
        <w:spacing w:line="360" w:lineRule="auto"/>
        <w:ind w:left="709"/>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电站配置干粉-泡沫联用消防车、水罐消防车各一辆，随车配置有灭火防护及破拆救援用具。</w:t>
      </w:r>
    </w:p>
    <w:p>
      <w:pPr>
        <w:pStyle w:val="7"/>
        <w:rPr>
          <w:rFonts w:hint="default" w:eastAsia="宋体"/>
          <w:b/>
          <w:bCs/>
          <w:color w:val="000000" w:themeColor="text1"/>
          <w:highlight w:val="none"/>
          <w14:textFill>
            <w14:solidFill>
              <w14:schemeClr w14:val="tx1"/>
            </w14:solidFill>
          </w14:textFill>
        </w:rPr>
      </w:pPr>
    </w:p>
    <w:p>
      <w:pPr>
        <w:pStyle w:val="19"/>
        <w:numPr>
          <w:ilvl w:val="0"/>
          <w:numId w:val="4"/>
        </w:numPr>
        <w:tabs>
          <w:tab w:val="left" w:pos="709"/>
        </w:tabs>
        <w:spacing w:line="360" w:lineRule="auto"/>
        <w:ind w:left="851" w:leftChars="0" w:hanging="567" w:firstLine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Rencana alokasi dan pengaturan sumber daya manusia</w:t>
      </w:r>
    </w:p>
    <w:p>
      <w:pPr>
        <w:pStyle w:val="19"/>
        <w:tabs>
          <w:tab w:val="left" w:pos="709"/>
        </w:tabs>
        <w:spacing w:line="360" w:lineRule="auto"/>
        <w:ind w:left="709" w:left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人力资源配置及安排计划</w:t>
      </w:r>
    </w:p>
    <w:p>
      <w:pPr>
        <w:pStyle w:val="19"/>
        <w:numPr>
          <w:ilvl w:val="0"/>
          <w:numId w:val="5"/>
        </w:numPr>
        <w:tabs>
          <w:tab w:val="left" w:pos="1134"/>
          <w:tab w:val="left" w:pos="1560"/>
        </w:tabs>
        <w:spacing w:line="360" w:lineRule="auto"/>
        <w:ind w:left="1134" w:leftChars="0" w:hanging="141" w:firstLine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Persyaratan untuk kualitas personel:</w:t>
      </w:r>
    </w:p>
    <w:p>
      <w:pPr>
        <w:pStyle w:val="19"/>
        <w:tabs>
          <w:tab w:val="left" w:pos="1560"/>
        </w:tabs>
        <w:spacing w:line="360" w:lineRule="auto"/>
        <w:ind w:left="1560" w:left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人员素质的要求：</w:t>
      </w:r>
    </w:p>
    <w:p>
      <w:pPr>
        <w:pStyle w:val="19"/>
        <w:numPr>
          <w:ilvl w:val="0"/>
          <w:numId w:val="6"/>
        </w:numPr>
        <w:tabs>
          <w:tab w:val="left" w:pos="1560"/>
        </w:tabs>
        <w:spacing w:line="360" w:lineRule="auto"/>
        <w:ind w:left="2280" w:leftChars="0" w:hanging="360" w:firstLineChars="0"/>
        <w:jc w:val="both"/>
        <w:outlineLvl w:val="9"/>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Jumlah, kualitas, jenis pekerjaan, kualifikasi, pemeriksaan fisik, dll staf penawar harus memenuhi standar industri yang relevan dan persyaratan pembeli Staf penawar harus memiliki sertifikat valid yang relevan sebelum mereka dapat bekerja, dan mereka harus berpakaian seragam sesuai dengan peraturan. Pakaian harus memenuhi persyaratan untuk operasi pemadam kebakaran dan Pembeli harus mengawasi serta mengelola kualifikasi peserta lelang.</w:t>
      </w:r>
    </w:p>
    <w:p>
      <w:pPr>
        <w:pStyle w:val="19"/>
        <w:tabs>
          <w:tab w:val="left" w:pos="1560"/>
        </w:tabs>
        <w:spacing w:line="360" w:lineRule="auto"/>
        <w:ind w:left="2280" w:leftChars="0"/>
        <w:jc w:val="both"/>
        <w:outlineLvl w:val="9"/>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员工的数量、素质、工种、资质、体检等方面必须达到相关行业标准及采购人要求，报价人工作人员必须持相关有效证件方能上岗，按规定统一着装，着装应符合从事消防作业的要求，采购人对报价人人员资质进行监督管理。</w:t>
      </w:r>
    </w:p>
    <w:p>
      <w:pPr>
        <w:pStyle w:val="19"/>
        <w:numPr>
          <w:ilvl w:val="0"/>
          <w:numId w:val="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Regu p</w:t>
      </w:r>
      <w:r>
        <w:rPr>
          <w:rFonts w:ascii="Times New Roman" w:hAnsi="Times New Roman" w:eastAsia="宋体" w:cs="Times New Roman"/>
          <w:color w:val="000000" w:themeColor="text1"/>
          <w:sz w:val="24"/>
          <w:szCs w:val="24"/>
          <w:highlight w:val="none"/>
          <w14:textFill>
            <w14:solidFill>
              <w14:schemeClr w14:val="tx1"/>
            </w14:solidFill>
          </w14:textFill>
        </w:rPr>
        <w:t>etugas pemadam kebakaran harus dalam keadaan sehat, berusia di bawah usia 18-45 tahun, tanpa cacat fisik, penyakit menular, tekanan darah tinggi, epilepsi, penyakit jantung, dll. Penawar harus memberikan laporan pemeriksaan kesehatan semua anggota staf dalam waktu 6 bulan, dan memberikan Surat Keterangan Catatan Kepolisian. Setidaknya satu orang dapat berkomunikasi dalam bahasa Mandarin bertugas 24 jam sehari.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报价人消防人员在18-45岁，必须身体健康，无身体缺陷，无传染病、高血压、癫痫、心脏病等。报价人提供所有工作人员6个月内的体检报告，提供无犯罪证明。每天24小时至少有一名会中文交流的人员在班。</w:t>
      </w:r>
    </w:p>
    <w:p>
      <w:pPr>
        <w:pStyle w:val="19"/>
        <w:numPr>
          <w:ilvl w:val="0"/>
          <w:numId w:val="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Penawar harus menyediakan seseorang dengan pendidikan serendah-rendahnya Sekolah Menengah Pertama atau yang lebih tinggi, yang pernah terlibat dalam pekerjaan pemadam kebakaran penuh waktu selama lebih dari tiga tahun dan memiliki pengalaman kerja pemadam kebakaran yang sebenarnya sebagai kepala pemadam kebakaran, dan harus memastikan bahwa ia relatif stabil ( ditempatkan terus menerus selama lebih dari 6 bulan).Sehingga tanpa izin dari pembeli, tidak ada Perubahan personil.</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报价人应派遣具有初中或以上学历，从事专职消防工作三年以上的有实际消防工作经验的人员担任消防队长（副队长），并保证相对稳定(连续驻勤6个月以上)，未经采购人许可不应更换人员。</w:t>
      </w:r>
    </w:p>
    <w:p>
      <w:pPr>
        <w:pStyle w:val="19"/>
        <w:numPr>
          <w:ilvl w:val="0"/>
          <w:numId w:val="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Petugas pemadam kebakaran memiliki </w:t>
      </w:r>
      <w:r>
        <w:rPr>
          <w:rFonts w:hint="eastAsia" w:ascii="Times New Roman" w:hAnsi="Times New Roman" w:eastAsia="宋体" w:cs="Times New Roman"/>
          <w:color w:val="000000" w:themeColor="text1"/>
          <w:sz w:val="24"/>
          <w:szCs w:val="24"/>
          <w:highlight w:val="none"/>
          <w14:textFill>
            <w14:solidFill>
              <w14:schemeClr w14:val="tx1"/>
            </w14:solidFill>
          </w14:textFill>
        </w:rPr>
        <w:t>Penanggung jawab</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dan wakilnya</w:t>
      </w:r>
      <w:r>
        <w:rPr>
          <w:rFonts w:ascii="Times New Roman" w:hAnsi="Times New Roman" w:eastAsia="宋体" w:cs="Times New Roman"/>
          <w:color w:val="000000" w:themeColor="text1"/>
          <w:sz w:val="24"/>
          <w:szCs w:val="24"/>
          <w:highlight w:val="none"/>
          <w14:textFill>
            <w14:solidFill>
              <w14:schemeClr w14:val="tx1"/>
            </w14:solidFill>
          </w14:textFill>
        </w:rPr>
        <w:t xml:space="preserve"> yang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minimal </w:t>
      </w:r>
      <w:r>
        <w:rPr>
          <w:rFonts w:ascii="Times New Roman" w:hAnsi="Times New Roman" w:eastAsia="宋体" w:cs="Times New Roman"/>
          <w:color w:val="000000" w:themeColor="text1"/>
          <w:sz w:val="24"/>
          <w:szCs w:val="24"/>
          <w:highlight w:val="none"/>
          <w14:textFill>
            <w14:solidFill>
              <w14:schemeClr w14:val="tx1"/>
            </w14:solidFill>
          </w14:textFill>
        </w:rPr>
        <w:t xml:space="preserve">memiliki sertifikat </w:t>
      </w: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level </w:t>
      </w:r>
      <w:r>
        <w:rPr>
          <w:rFonts w:ascii="Times New Roman" w:hAnsi="Times New Roman" w:eastAsia="宋体" w:cs="Times New Roman"/>
          <w:color w:val="000000" w:themeColor="text1"/>
          <w:sz w:val="24"/>
          <w:szCs w:val="24"/>
          <w:highlight w:val="none"/>
          <w14:textFill>
            <w14:solidFill>
              <w14:schemeClr w14:val="tx1"/>
            </w14:solidFill>
          </w14:textFill>
        </w:rPr>
        <w:t xml:space="preserve">B untuk pemadam kebakaran Indonesia. Personil lainnya harus memiliki sertifikat </w:t>
      </w: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level </w:t>
      </w:r>
      <w:r>
        <w:rPr>
          <w:rFonts w:ascii="Times New Roman" w:hAnsi="Times New Roman" w:eastAsia="宋体" w:cs="Times New Roman"/>
          <w:color w:val="000000" w:themeColor="text1"/>
          <w:sz w:val="24"/>
          <w:szCs w:val="24"/>
          <w:highlight w:val="none"/>
          <w14:textFill>
            <w14:solidFill>
              <w14:schemeClr w14:val="tx1"/>
            </w14:solidFill>
          </w14:textFill>
        </w:rPr>
        <w:t>C untuk pemadam kebakaran Indonesia. Salah satunya adalah pengemudi yang harus memiliki SIM kendaraan besar dan memenuhi syarat untuk mengendarai mobil pemadam kebakaran. Memeriksa dan menjaga kesehatan serta kemampuan.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消防队设置队长、副队长各一名并持有印尼消防B级证书，其他人员应持有印尼消防C级证书，其中</w:t>
      </w:r>
      <w:r>
        <w:rPr>
          <w:rFonts w:hint="eastAsia" w:ascii="Times New Roman" w:hAnsi="Times New Roman" w:eastAsia="宋体" w:cs="Times New Roman"/>
          <w:color w:val="000000" w:themeColor="text1"/>
          <w:sz w:val="24"/>
          <w:szCs w:val="24"/>
          <w:highlight w:val="none"/>
          <w14:textFill>
            <w14:solidFill>
              <w14:schemeClr w14:val="tx1"/>
            </w14:solidFill>
          </w14:textFill>
        </w:rPr>
        <w:t>至少</w:t>
      </w:r>
      <w:r>
        <w:rPr>
          <w:rFonts w:ascii="Times New Roman" w:hAnsi="Times New Roman" w:eastAsia="宋体" w:cs="Times New Roman"/>
          <w:color w:val="000000" w:themeColor="text1"/>
          <w:sz w:val="24"/>
          <w:szCs w:val="24"/>
          <w:highlight w:val="none"/>
          <w14:textFill>
            <w14:solidFill>
              <w14:schemeClr w14:val="tx1"/>
            </w14:solidFill>
          </w14:textFill>
        </w:rPr>
        <w:t>四名驾驶员应持有大型车辆驾驶证，具备驾驶消防车资格，具有消防车日常检查和维护常识、能力。</w:t>
      </w:r>
    </w:p>
    <w:p>
      <w:pPr>
        <w:pStyle w:val="19"/>
        <w:numPr>
          <w:ilvl w:val="0"/>
          <w:numId w:val="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perlu mengetahui konsep dan sistem manajemen pembeli, dan secara ketat mematuhinya; penawar harus menetapkan sistem manajemen yang sesuai untuk menilai personel unit secara teratur, dan memberi tahu pembeli tentang hasil penilaian, jika tidak, pembeli akan melakukan penilaian dari penawar. Pembeli memiliki hak untuk memerintahkan pengembalian atau penggantian mereka yang tidak kompeten untuk pekerjaan, tidak patuh  terhadap manajemen pembeli, atau secara serius melanggar aturan dan peraturan pembeli.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需清楚采购人的管理理念、制度，并严格遵守；报价人应建立相应的管理制度定期考核本单位人员，并将考核结果通报采购人，否则发采购人对报价人进行考核。不胜任采购人工作、不服从采购人管理、严重违反采购人各项规章制度的人员，采购人有权勒令退换。</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5"/>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Persyaratan jumlah personel:</w:t>
      </w:r>
    </w:p>
    <w:p>
      <w:pPr>
        <w:pStyle w:val="19"/>
        <w:spacing w:line="360" w:lineRule="auto"/>
        <w:ind w:left="156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人员数量的要求：</w:t>
      </w:r>
    </w:p>
    <w:p>
      <w:pPr>
        <w:pStyle w:val="19"/>
        <w:numPr>
          <w:ilvl w:val="0"/>
          <w:numId w:val="7"/>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Berdasarkan kebutuhan manajemen, diperlukan satu kepala pemadam kebakaran</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dam satu wakil</w:t>
      </w:r>
      <w:r>
        <w:rPr>
          <w:rFonts w:ascii="Times New Roman" w:hAnsi="Times New Roman" w:eastAsia="宋体" w:cs="Times New Roman"/>
          <w:color w:val="000000" w:themeColor="text1"/>
          <w:sz w:val="24"/>
          <w:szCs w:val="24"/>
          <w:highlight w:val="none"/>
          <w14:textFill>
            <w14:solidFill>
              <w14:schemeClr w14:val="tx1"/>
            </w14:solidFill>
          </w14:textFill>
        </w:rPr>
        <w:t xml:space="preserve"> yang bertanggung jawab atas manajemen harian tim, pelatihan dan komando penyelamatan kebakaran.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根据管理需要，消防队长、副队长各1人，负责队伍日常管理、训练及消防救援的指挥。</w:t>
      </w:r>
    </w:p>
    <w:p>
      <w:pPr>
        <w:pStyle w:val="19"/>
        <w:numPr>
          <w:ilvl w:val="0"/>
          <w:numId w:val="7"/>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Mengenai tugas harian, pemeliharaan, darurat kebakaran, dan personel pengemudi berjumlah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ascii="Times New Roman" w:hAnsi="Times New Roman" w:eastAsia="宋体" w:cs="Times New Roman"/>
          <w:color w:val="000000" w:themeColor="text1"/>
          <w:sz w:val="24"/>
          <w:szCs w:val="24"/>
          <w:highlight w:val="none"/>
          <w14:textFill>
            <w14:solidFill>
              <w14:schemeClr w14:val="tx1"/>
            </w14:solidFill>
          </w14:textFill>
        </w:rPr>
        <w:t xml:space="preserve"> orang yang bertanggung jawab atas inspeksi harian, berbagai inspeksi, pemantauan kebakaran, inspeksi dan pemeliharaan kendaraan pemadam kebakaran, tugas kebakaran, penyelamatan kebakaran, dan pekerjaan terkait lainnya.</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日常执勤、维护、消防应急及驾驶人员12人：负责日常巡检、各种检查、动火监护、消防车辆检查保养和消防执勤、消防救援等相关工作。</w:t>
      </w:r>
    </w:p>
    <w:p>
      <w:pPr>
        <w:pStyle w:val="7"/>
        <w:numPr>
          <w:ilvl w:val="0"/>
          <w:numId w:val="7"/>
        </w:numPr>
        <w:spacing w:after="0" w:line="360" w:lineRule="auto"/>
        <w:jc w:val="both"/>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Penawar harus memastikan bahwa jumlah tim pemadam kebakaran memenuhi persyaratan pembeli Jika pembeli menemukan bahwa jumlah personel tidak mencukupi selama inspeksi seacar acak, maka akan ditangani sesuai dengan peraturan penilaian yang ditetapkan dalam kontrak. Penawar juga harus memberikan salinan kartu identitas dari semua personel untuk dicatat oleh pembeli.</w:t>
      </w:r>
    </w:p>
    <w:p>
      <w:pPr>
        <w:pStyle w:val="7"/>
        <w:spacing w:after="0" w:line="360" w:lineRule="auto"/>
        <w:ind w:left="2280"/>
        <w:jc w:val="both"/>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报价人应保证消防服务队伍人数符合采购人要求,如采购人抽检到人数配备不足，则按合同约定的考核规定处理。报价人应提供所有人员身份证复印件供采购人备案。</w:t>
      </w:r>
    </w:p>
    <w:p>
      <w:pPr>
        <w:pStyle w:val="7"/>
        <w:spacing w:after="0" w:line="360" w:lineRule="auto"/>
        <w:rPr>
          <w:rFonts w:hint="default" w:hAnsi="Times New Roman" w:eastAsia="宋体" w:cs="Times New Roman"/>
          <w:color w:val="000000" w:themeColor="text1"/>
          <w:highlight w:val="none"/>
          <w14:textFill>
            <w14:solidFill>
              <w14:schemeClr w14:val="tx1"/>
            </w14:solidFill>
          </w14:textFill>
        </w:rPr>
      </w:pPr>
    </w:p>
    <w:p>
      <w:pPr>
        <w:pStyle w:val="7"/>
        <w:spacing w:after="0" w:line="360" w:lineRule="auto"/>
        <w:rPr>
          <w:rFonts w:hint="default" w:hAnsi="Times New Roman" w:eastAsia="宋体" w:cs="Times New Roman"/>
          <w:color w:val="000000" w:themeColor="text1"/>
          <w:highlight w:val="none"/>
          <w14:textFill>
            <w14:solidFill>
              <w14:schemeClr w14:val="tx1"/>
            </w14:solidFill>
          </w14:textFill>
        </w:rPr>
      </w:pPr>
    </w:p>
    <w:p>
      <w:pPr>
        <w:pStyle w:val="19"/>
        <w:numPr>
          <w:ilvl w:val="0"/>
          <w:numId w:val="4"/>
        </w:numPr>
        <w:spacing w:line="360" w:lineRule="auto"/>
        <w:ind w:left="720" w:leftChars="0" w:hanging="360" w:firstLine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bookmarkStart w:id="10" w:name="_bookmark137"/>
      <w:bookmarkEnd w:id="10"/>
      <w:r>
        <w:rPr>
          <w:rFonts w:ascii="Times New Roman" w:hAnsi="Times New Roman" w:eastAsia="宋体" w:cs="Times New Roman"/>
          <w:b/>
          <w:bCs/>
          <w:color w:val="000000" w:themeColor="text1"/>
          <w:sz w:val="24"/>
          <w:szCs w:val="24"/>
          <w:highlight w:val="none"/>
          <w14:textFill>
            <w14:solidFill>
              <w14:schemeClr w14:val="tx1"/>
            </w14:solidFill>
          </w14:textFill>
        </w:rPr>
        <w:t>Persyaratan untuk pekerjaan terkait dari penawar</w:t>
      </w:r>
    </w:p>
    <w:p>
      <w:pPr>
        <w:pStyle w:val="19"/>
        <w:spacing w:line="360" w:lineRule="auto"/>
        <w:ind w:left="720" w:left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对报价人相关工作的要求</w:t>
      </w:r>
    </w:p>
    <w:p>
      <w:pPr>
        <w:pStyle w:val="19"/>
        <w:numPr>
          <w:ilvl w:val="0"/>
          <w:numId w:val="8"/>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Pekerjaan persiapan awal:</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前期准备工作：</w:t>
      </w:r>
    </w:p>
    <w:p>
      <w:pPr>
        <w:pStyle w:val="19"/>
        <w:numPr>
          <w:ilvl w:val="0"/>
          <w:numId w:val="9"/>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Pembentukan regu pemadam kebakaran penuh waktu harus memenuhi persyaratan hukum dan peraturan yang relevan dari pemerintah pusat dan Indonesia, dan memenuhi persyaratan untuk manajemen kebakaran di pembangkit listrik tenaga </w:t>
      </w:r>
      <w:r>
        <w:rPr>
          <w:rFonts w:hint="eastAsia" w:ascii="Times New Roman" w:hAnsi="Times New Roman" w:eastAsia="宋体" w:cs="Times New Roman"/>
          <w:color w:val="000000" w:themeColor="text1"/>
          <w:sz w:val="24"/>
          <w:szCs w:val="24"/>
          <w:highlight w:val="none"/>
          <w14:textFill>
            <w14:solidFill>
              <w14:schemeClr w14:val="tx1"/>
            </w14:solidFill>
          </w14:textFill>
        </w:rPr>
        <w:t>uap</w:t>
      </w:r>
      <w:r>
        <w:rPr>
          <w:rFonts w:ascii="Times New Roman" w:hAnsi="Times New Roman" w:eastAsia="宋体" w:cs="Times New Roman"/>
          <w:color w:val="000000" w:themeColor="text1"/>
          <w:sz w:val="24"/>
          <w:szCs w:val="24"/>
          <w:highlight w:val="none"/>
          <w14:textFill>
            <w14:solidFill>
              <w14:schemeClr w14:val="tx1"/>
            </w14:solidFill>
          </w14:textFill>
        </w:rPr>
        <w:t>.</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专职消防队的组建应符合印尼国家及当地地方政府有关法律法规的要求，符合从事火电厂消防管理条件。</w:t>
      </w:r>
    </w:p>
    <w:p>
      <w:pPr>
        <w:pStyle w:val="19"/>
        <w:numPr>
          <w:ilvl w:val="0"/>
          <w:numId w:val="10"/>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Peserta lelang harus menyerahkan dokumen kualifikasi asli dan fotokopi yang relevan terkait dengan praktik kepada pembeli untuk ditinjau, dan menyimpan salinan untuk arsip.</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报价人应将与从业有关的相关资质文件原件及复印件交给采购人进行审查，并留复印件备案。</w:t>
      </w:r>
    </w:p>
    <w:p>
      <w:pPr>
        <w:pStyle w:val="19"/>
        <w:numPr>
          <w:ilvl w:val="0"/>
          <w:numId w:val="1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bertanggung jawab untuk mendirikan regu pemadam kebakaran, merekrut petugas pemadam kebakaran dengan pengalaman proteksi kebakaran, dan menandatangani kontrak kerja dengan semua petugas pemadam kebakaran sesuai dengan peraturan untuk menentukan hubungan kerja yang sah. Bertanggung jawab atas pembelian semua asuransi dan pemeriksaan kesehatan untuk semua petugas pemadam kebakaran yang ditetapkan oleh hukum Indonesia; penawar tidak boleh mempekerjakan orang yang tidak memenuhi syarat, jika ditemukan maka penawar harus diberhentikan.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负责组建消防队，负责招收有消防经验的消防服务人员，并按规定同所有的消防服务人员签订劳动合同，确定合法的劳动关系。负责对印度尼西亚法律规定的所有消防队员的所有保险的购买和健康体检；报价人不得录用不合格人员，一经发现将要求报价人辞退。</w:t>
      </w:r>
    </w:p>
    <w:p>
      <w:pPr>
        <w:pStyle w:val="19"/>
        <w:numPr>
          <w:ilvl w:val="0"/>
          <w:numId w:val="1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mengatur pelatihan personel segera setelah kontrak berlaku, untuk memastikan bahwa semua personel yang ditunjuk di lokasi telah menjalani pelatihan yang baik dan memiliki kemampuan pemadam kebakaran yang memenuhi syarat, maka personel akan dikirimkan untuk mempersiapkan pemadaman kebakaran di lokasi sebelum memulai pekerjaan.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报价人在合同生效后应立即组织人员进行培训，确保现场指定的所有人员都经过良好的培训，具有合格的消防能力，并在开始工作之前派驻人员进行现场消防准备工作。</w:t>
      </w:r>
    </w:p>
    <w:p>
      <w:pPr>
        <w:pStyle w:val="19"/>
        <w:numPr>
          <w:ilvl w:val="0"/>
          <w:numId w:val="1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Regu pemadam kebakaran penuh waktu yang dibentuk oleh penawar harus ditempatkan di lokasi yang ditentukan sesuai dengan kebutuhan pembeli, dan menyediakan layanan pemadam kebakaran 24 jam.</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报价人组建的专职消防队必须根据采购人要求在指定位置驻勤，提供24小时全天候的消防服务。</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8"/>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Saat bekerja:</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作业期间：</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Regu pemadam kebakaran penuh waktu yang dibentuk oleh penawar harus membentuk sistem kedinasan formal dimana akan menerapkan s</w:t>
      </w:r>
      <w:r>
        <w:rPr>
          <w:rFonts w:hint="eastAsia" w:ascii="Times New Roman" w:hAnsi="Times New Roman" w:eastAsia="宋体" w:cs="Times New Roman"/>
          <w:color w:val="000000" w:themeColor="text1"/>
          <w:sz w:val="24"/>
          <w:szCs w:val="24"/>
          <w:highlight w:val="none"/>
          <w14:textFill>
            <w14:solidFill>
              <w14:schemeClr w14:val="tx1"/>
            </w14:solidFill>
          </w14:textFill>
        </w:rPr>
        <w:t>i</w:t>
      </w:r>
      <w:r>
        <w:rPr>
          <w:rFonts w:ascii="Times New Roman" w:hAnsi="Times New Roman" w:eastAsia="宋体" w:cs="Times New Roman"/>
          <w:color w:val="000000" w:themeColor="text1"/>
          <w:sz w:val="24"/>
          <w:szCs w:val="24"/>
          <w:highlight w:val="none"/>
          <w14:textFill>
            <w14:solidFill>
              <w14:schemeClr w14:val="tx1"/>
            </w14:solidFill>
          </w14:textFill>
        </w:rPr>
        <w:t>stem siaga 24 jam. Personil yang sedang bertugas harus tetap pada posisinya, menjalankan tugasnya, dan tidak boleh meninggalkan posnya tanpa izin; personel yang sedang bertugas harus siap untuk memadamkan kebakaran setiap saat, mengatur pemadaman kebakaran segera jika terjadi kebakaran, petugas penyelamat dan material tepat waktu, dan bertanggung jawab atas pemeliharaan, pemeliharaan, transformasi, dan proyek peralatan pembangkit listrik lainnya. Pekerjaan pemantauan keselamatan perlindungan kebakaran ditetapkan dalam tiket pekerjaan kebakaran, dan laporan tertulis ke departemen manajemen dan pengawasan kebakaran pembeli tepat waktu tata krama.</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组建的专职消防队应建立正规的值班值勤制度，实行24小时值班和24小时值勤待命。值班人员必须坚守岗位，履行职责，不得擅离岗位；值勤人员必须随时做好灭火战斗准备,发生火灾立即组织扑救，及时抢救人员和物资，以及负责电站设备维修、维护、改造等项目工作的动火工作票规定的防火安全监护工作，并及时向采购人消防管理监督部门书面报告。</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Semua petugas pemadam kebakaran harus mengetahui jalur truk pemadam kebakaran, sumber air pemadam kebakaran, konfigurasi alat pemadam kebakaran otomatis, distribusi alat pemadam kebakaran bergerak, dan kondisi dasar bagian kunci pemadam kebakaran di area pabrik. Merumuskan rencana pemadaman kebakaran untuk bagian-bagian penting dari pencegahan kebakaran, dan mengatur pemadam kebakaran untuk melakukan latihan pemadam kebakaran anti-kecelakaan sesuai dengan pengaturan pembeli.</w:t>
      </w:r>
    </w:p>
    <w:p>
      <w:pPr>
        <w:pStyle w:val="19"/>
        <w:spacing w:line="360" w:lineRule="auto"/>
        <w:ind w:left="228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全体消防人员必须熟悉厂区消防车通道、消防水源、自动消防装置的配置、移动式灭火器材的分布情况、防火重点部位的基本情况。制定防火重点部位灭火作战预案，根据采购人的安排，组织消防队开展反事故灭火实战演练。</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Regu pemadam kebakaran penuh waktu yang dibentuk oleh penawar harus mengatur kegiatan anggota regu sepertip pelatihan fisik harian dan pelatihan keterampilan pemadam kebakaran dasar untuk meningkatkan kemampuan pemadaman kebakaran; sesuai dengan persyaratan pelatihan dan penilaian dari departemen pengawasan kebakaran setempat, mengatur kursus pendidikan keselamatan setiap bulan untuk meningkatkan kesadaran keselamatan personel dan kepatuhan terhadap undang-undang dan peraturan Kesadaran; melakukan pelatihan teknis profesional untuk petugas pemadam kebakaran setiap bulan, termasuk pelatihan teknis yang diperlukan untuk penyelamatan darurat seperti kebocoran gas dan penyelamatan personel; berpartisipasi dalam pelatihan, penilaian, dan pekerjaan hubungan api yang diselenggarakan oleh departemen pengawasan kebakaran; pemadam kebakaran penuh waktu yang dibentuk oleh penawar harus Membeli persyaratan Melakukan pekerjaan dengan baik dalam publisitas perlindungan kebakaran dan pelatihan untuk petugas pemadam kebakaran sukarela.</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组建的专职消防队必须组织消防队员坚持日常体能训练、消防业务基本功训练，提高灭火作战能力；根据当地消防监督部门训练考核要求，每月组织安全教育课程，提高人员安全意识和遵守法律法规意识；每月开展消防人员的专业技术培训，包括气体泄漏抢险、人员抢救等抢险所需的技术培训；参加消防监督部门组织的训练、考核和消防联动工作；报价人组建的专职消防队应根据采购人的要求做好消防宣传工作和义务消防员的培训工作。</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Regu pemadam kebakaran penuh waktu yang dibentuk oleh penawar harus merumuskan sistem perawatan untuk truk pemadam kebakaran, secara teratur membersihkan, memelihara, mengisi baterai, uji coba, dan menguji pompa untuk truk pemadam kebakaran; memeriksa oli, air, </w:t>
      </w:r>
      <w:r>
        <w:rPr>
          <w:rFonts w:ascii="Times New Roman" w:hAnsi="Times New Roman" w:eastAsia="宋体" w:cs="Times New Roman"/>
          <w:i/>
          <w:iCs/>
          <w:color w:val="000000" w:themeColor="text1"/>
          <w:sz w:val="24"/>
          <w:szCs w:val="24"/>
          <w:highlight w:val="none"/>
          <w14:textFill>
            <w14:solidFill>
              <w14:schemeClr w14:val="tx1"/>
            </w14:solidFill>
          </w14:textFill>
        </w:rPr>
        <w:t>Dry Chemical Powder</w:t>
      </w:r>
      <w:r>
        <w:rPr>
          <w:rFonts w:ascii="Times New Roman" w:hAnsi="Times New Roman" w:eastAsia="宋体" w:cs="Times New Roman"/>
          <w:color w:val="000000" w:themeColor="text1"/>
          <w:sz w:val="24"/>
          <w:szCs w:val="24"/>
          <w:highlight w:val="none"/>
          <w14:textFill>
            <w14:solidFill>
              <w14:schemeClr w14:val="tx1"/>
            </w14:solidFill>
          </w14:textFill>
        </w:rPr>
        <w:t>, dan busa yang cukup untuk memastikan bahwa truk pemadam kebakaran berada dalam status kesiapan pengoperasian yang baik setiap saat; melakukan pemeliharaan rutin dan melakukan pemeriksaan peralatan untuk memastikan bahwa peralatan tersebut memenuhi persyaratan kesiapan tempur.</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组建的专职消防队必须制定消防车维护保养制度，定期对消防车进行清洁、保养、蓄电池充电、试车、试泵；检查油料、水、干粉-泡沫充足，确保消防车随时处于良好的战备状态；定期进行装备保养、检查，确保装备符合战备值勤要求。</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Penawar harus secara teratur memeriksa alat pemadam api portabel dan jenis gerobak, hidran kebakaran (kotak), konektor pompa air, selang kebakaran, nosel api, dan </w:t>
      </w:r>
      <w:r>
        <w:rPr>
          <w:rFonts w:ascii="Times New Roman" w:hAnsi="Times New Roman" w:eastAsia="宋体" w:cs="Times New Roman"/>
          <w:i/>
          <w:iCs/>
          <w:color w:val="000000" w:themeColor="text1"/>
          <w:sz w:val="24"/>
          <w:szCs w:val="24"/>
          <w:highlight w:val="none"/>
          <w14:textFill>
            <w14:solidFill>
              <w14:schemeClr w14:val="tx1"/>
            </w14:solidFill>
          </w14:textFill>
        </w:rPr>
        <w:t>fire-fighting sandbox</w:t>
      </w:r>
      <w:r>
        <w:rPr>
          <w:rFonts w:ascii="Times New Roman" w:hAnsi="Times New Roman" w:eastAsia="宋体" w:cs="Times New Roman"/>
          <w:color w:val="000000" w:themeColor="text1"/>
          <w:sz w:val="24"/>
          <w:szCs w:val="24"/>
          <w:highlight w:val="none"/>
          <w14:textFill>
            <w14:solidFill>
              <w14:schemeClr w14:val="tx1"/>
            </w14:solidFill>
          </w14:textFill>
        </w:rPr>
        <w:t xml:space="preserve"> yang dipasang di area pabrik, dan membuat catatan inspeksi untuk memastikan bahwa semua Periksa semua fasilitas pemadam kebakaran, dan melaporkan kepada pembeli secara tertulis tepat waktu jika ada masalah yang ditemukan.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定期对厂区内配备的手提式和推车式灭火器、消火栓（箱）、水泵接合器、消防水带、消防水枪、防火沙箱进行日常检查，做好检查记录，确保每月对所有消防设施全部检查一遍，发现问题及时向采购人提出书面汇报。</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Regu pemadam kebakaran penuh waktu yang dibentuk oleh penawar harus melakukan kegiatan inspeksi kebakaran sebulan sekali, berpartisipasi dalam kegiatan inspeksi kebakaran yang diselenggarakan oleh pembeli, dan mengajukan saran perbaikan sesuai dengan persyaratan "Peraturan Perlindungan Kebakaran Khusus untuk Peralatan Listrik" dan rencana pemadaman kebakaran untuk bagian pencegahan kebakaran utama.</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报价人组建的专职消防队应每月进行一次消防检查活动，参加采购人组织的消防大检查活动，根据《电力设备典型消防规程》和防火重点部位灭火作战预案的要求提出整改意见。</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Bertanggung jawab untuk menyusun "Tanggung jawab setiap posisi regu pemadam kebakaran penuh waktu", "Sistem dinas dan dinas pemadam kebakaran purna waktu", "sistem serah terima regu pemadam kebakaran purna waktu", "bisnis sistem pembelajaran dan pelatihan regu pemadam kebakaran penuh waktu", "pekerjaan pemadam kebakaran penuh waktu" yang ditetapkan oleh Sistem Ringkasan penawar", "Sistem Manajemen Kendaraan Pemadam Kebakaran", "Sistem Manajemen Pemadam Kebakaran Penuh Waktu", "Penuh -waktu Sistem Manajemen Urusan Internal Pemadam Kebakaran" dan aturan dan peraturan lainnya harus dilaksanakan setelah disetujui oleh pembeli.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负责编制报价人组建的《专职消防队各岗位职责》、《专职消防队值勤、值班制度》、《专职消防队交接班制度》、《专职消防队业务学习、训练制度》、《专职消防队工作总结制度》、《消防车辆管理制度》、《专职消防队管理制度》、《专职消防队内务管理制度》等规章制度报采购人批准后执行。</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bertanggung jawab atas pengelolaan, pemeliharaan, dan pemeliharaan peralatan dan perlengkapan pemadam kebakaran penuh waktu yang dibentuk sesuai dengan peraturan nasional terkait tentang peralatan dan perlengkapan kebakaran, sehingga selalu lengkap dan mudah digunakan, siap untuk pertempuran setiap saat, dan disesuaikan dengan kebutuhan pemadam kebakaran. Dan setiap enam bulan, penawar harus melakukan inventarisasi semua peralatan dan peralatan, jika peralatan ditemukan hilang atau rusak selama inventarisasi, harus segera didaftarkan, alasannya harus ditemukan, dan pemrosesan tepat waktu harus dilakukan.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按国家消防器材装备有关管理规定，负责组建的专职消防队器材装备的管理、维护和保养工作，使其经常保持完整好用，随时处于战备状态，适应扑救火灾的需要。且每半年报价人应对全部器材装备进行一次清查，清查中发现器材装备丢失或损坏，应立即登记造册、查明原因，及时处理。</w:t>
      </w:r>
    </w:p>
    <w:p>
      <w:pPr>
        <w:pStyle w:val="19"/>
        <w:numPr>
          <w:ilvl w:val="0"/>
          <w:numId w:val="12"/>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membuat file perlindungan kebakaran dan menyerahkan salinan untuk catatan pembeli File perlindungan kebakaran harus sesuai dengan ketentuan undang-undang nasional dan peraturan perlindungan kebakaran setempat.</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报价人应建立消防档案，并提交一份供采购人备案，此消防档案应符合国家法律、地方消防法规的规定。</w:t>
      </w:r>
    </w:p>
    <w:p>
      <w:pPr>
        <w:pStyle w:val="19"/>
        <w:numPr>
          <w:ilvl w:val="0"/>
          <w:numId w:val="12"/>
        </w:numPr>
        <w:spacing w:line="360" w:lineRule="auto"/>
        <w:jc w:val="both"/>
        <w:rPr>
          <w:rFonts w:hint="eastAsia" w:eastAsiaTheme="minorEastAsia"/>
          <w:color w:val="auto"/>
          <w:lang w:val="en-US" w:eastAsia="zh-CN"/>
        </w:rPr>
      </w:pPr>
      <w:r>
        <w:rPr>
          <w:rFonts w:ascii="Times New Roman" w:hAnsi="Times New Roman" w:cs="Times New Roman" w:eastAsiaTheme="minorEastAsia"/>
          <w:color w:val="auto"/>
          <w:sz w:val="24"/>
          <w:szCs w:val="24"/>
          <w:lang w:val="id-ID"/>
        </w:rPr>
        <w:t>Daftar isi pekerjaan rutin dan daftar periksa standar</w:t>
      </w:r>
    </w:p>
    <w:p>
      <w:pPr>
        <w:pStyle w:val="19"/>
        <w:spacing w:line="360" w:lineRule="auto"/>
        <w:ind w:left="2280"/>
        <w:jc w:val="both"/>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定期工作</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内容</w:t>
      </w:r>
      <w:r>
        <w:rPr>
          <w:rFonts w:hint="eastAsia" w:ascii="Times New Roman" w:hAnsi="Times New Roman" w:eastAsia="宋体" w:cs="Times New Roman"/>
          <w:color w:val="000000" w:themeColor="text1"/>
          <w:sz w:val="24"/>
          <w:szCs w:val="24"/>
          <w:highlight w:val="none"/>
          <w14:textFill>
            <w14:solidFill>
              <w14:schemeClr w14:val="tx1"/>
            </w14:solidFill>
          </w14:textFill>
        </w:rPr>
        <w:t>和标准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清单</w:t>
      </w:r>
    </w:p>
    <w:tbl>
      <w:tblPr>
        <w:tblStyle w:val="18"/>
        <w:tblW w:w="9081"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6"/>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7356" w:type="dxa"/>
          </w:tcPr>
          <w:p>
            <w:pPr>
              <w:pStyle w:val="19"/>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20" w:lineRule="exact"/>
              <w:ind w:left="1920" w:leftChars="0"/>
              <w:jc w:val="both"/>
              <w:textAlignment w:val="baseline"/>
              <w:rPr>
                <w:rFonts w:hint="default" w:ascii="Times New Roman" w:hAnsi="Times New Roman" w:eastAsia="宋体" w:cs="Times New Roman"/>
                <w:color w:val="auto"/>
                <w:sz w:val="21"/>
                <w:szCs w:val="21"/>
                <w:highlight w:val="none"/>
                <w:lang w:val="id-ID"/>
              </w:rPr>
            </w:pPr>
            <w:r>
              <w:rPr>
                <w:rFonts w:hint="default" w:ascii="Times New Roman" w:hAnsi="Times New Roman" w:eastAsia="宋体" w:cs="Times New Roman"/>
                <w:color w:val="auto"/>
                <w:sz w:val="21"/>
                <w:szCs w:val="21"/>
                <w:highlight w:val="none"/>
                <w:lang w:val="en-US" w:eastAsia="zh-CN"/>
              </w:rPr>
              <w:t>P</w:t>
            </w:r>
            <w:r>
              <w:rPr>
                <w:rFonts w:hint="default" w:ascii="Times New Roman" w:hAnsi="Times New Roman" w:eastAsia="宋体" w:cs="Times New Roman"/>
                <w:color w:val="auto"/>
                <w:sz w:val="21"/>
                <w:szCs w:val="21"/>
                <w:highlight w:val="none"/>
                <w:lang w:val="id-ID"/>
              </w:rPr>
              <w:t>ekerjaan rutin dan daftar periksa standar</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eastAsiaTheme="minorEastAsia"/>
                <w:color w:val="auto"/>
                <w:sz w:val="21"/>
                <w:szCs w:val="21"/>
                <w:lang w:val="id-ID"/>
              </w:rPr>
            </w:pPr>
            <w:r>
              <w:rPr>
                <w:rFonts w:hint="default" w:ascii="Times New Roman" w:hAnsi="Times New Roman" w:cs="Times New Roman"/>
                <w:color w:val="auto"/>
                <w:sz w:val="21"/>
                <w:szCs w:val="21"/>
              </w:rPr>
              <w:t>定期工作内容和标准</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eastAsiaTheme="minorEastAsia"/>
                <w:color w:val="auto"/>
                <w:sz w:val="21"/>
                <w:szCs w:val="21"/>
                <w:lang w:val="id-ID"/>
              </w:rPr>
            </w:pPr>
            <w:r>
              <w:rPr>
                <w:rFonts w:hint="default" w:ascii="Times New Roman" w:hAnsi="Times New Roman" w:cs="Times New Roman" w:eastAsiaTheme="minorEastAsia"/>
                <w:color w:val="auto"/>
                <w:sz w:val="21"/>
                <w:szCs w:val="21"/>
                <w:lang w:val="id-ID"/>
              </w:rPr>
              <w:t>Siklus</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eastAsiaTheme="minorEastAsia"/>
                <w:color w:val="auto"/>
                <w:sz w:val="21"/>
                <w:szCs w:val="21"/>
                <w:lang w:val="id-ID"/>
              </w:rPr>
            </w:pPr>
            <w:r>
              <w:rPr>
                <w:rFonts w:hint="default" w:ascii="Times New Roman" w:hAnsi="Times New Roman" w:cs="Times New Roman"/>
                <w:color w:val="auto"/>
                <w:sz w:val="21"/>
                <w:szCs w:val="21"/>
              </w:rPr>
              <w:t>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Pemeriksaan dan pemeliharaan rutin terhadap mobil pemadam kebakaran dan perlengkapannya untuk memastikan semua kendaraan dan perlengkapan tetap dalam kondisi baik; periksa apakah ada cukup bahan bakar, air, dan dry chemical dan foam untuk memfasilitasi keadaan siaga darurat.</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rPr>
              <w:t>对消防车辆和设备的常规检查和维护，确保所有车辆和设备保持良好状态；检查油料、水、干粉-泡沫充足，利于应急待命。</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eastAsia="宋体" w:cs="Times New Roman"/>
                <w:color w:val="auto"/>
                <w:sz w:val="21"/>
                <w:szCs w:val="21"/>
                <w:lang w:val="en-US" w:eastAsia="zh-CN"/>
              </w:rPr>
              <w:t>S</w:t>
            </w:r>
            <w:r>
              <w:rPr>
                <w:rFonts w:hint="default" w:ascii="Times New Roman" w:hAnsi="Times New Roman" w:cs="Times New Roman"/>
                <w:color w:val="auto"/>
                <w:sz w:val="21"/>
                <w:szCs w:val="21"/>
                <w:lang w:val="id-ID"/>
              </w:rPr>
              <w:t>etiap hari</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rPr>
              <w:t>每天</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Pelatihan fisik, pelatihan keterampilan dasar pemadam kebakaran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体能训练、消防业务基本功训练</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eastAsia="宋体" w:cs="Times New Roman"/>
                <w:color w:val="auto"/>
                <w:sz w:val="21"/>
                <w:szCs w:val="21"/>
                <w:lang w:val="en-US" w:eastAsia="zh-CN"/>
              </w:rPr>
              <w:t>S</w:t>
            </w:r>
            <w:r>
              <w:rPr>
                <w:rFonts w:hint="default" w:ascii="Times New Roman" w:hAnsi="Times New Roman" w:cs="Times New Roman"/>
                <w:color w:val="auto"/>
                <w:sz w:val="21"/>
                <w:szCs w:val="21"/>
                <w:lang w:val="id-ID"/>
              </w:rPr>
              <w:t>etiap hari</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每天</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ind w:left="60"/>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Inspeksi pencegahan kebakaran harian. Setiap inspeksi harus menentukan personel, konten, dan lokasi spesifik, serta menetapkan inspeksi dan catatan inspeksi. Pemeriksaan utama yang dilakukan adalah memeriksa penggunaan serta pengelolaan alat pemadam kebakaran bergerak dan hidran kebakaran di dalam dan luar pabrik serta area hunian, dan mengawasi apakah rambu dan logo seluruh fasilitas serta alat pemadam kebakaran di pabrik dan area hunian telah terkonfigurasi secara lengkap dan memenuhi persyaratan.</w:t>
            </w:r>
          </w:p>
          <w:p>
            <w:pPr>
              <w:keepNext w:val="0"/>
              <w:keepLines w:val="0"/>
              <w:pageBreakBefore w:val="0"/>
              <w:widowControl w:val="0"/>
              <w:kinsoku w:val="0"/>
              <w:wordWrap/>
              <w:overflowPunct/>
              <w:topLinePunct w:val="0"/>
              <w:autoSpaceDE w:val="0"/>
              <w:autoSpaceDN w:val="0"/>
              <w:bidi w:val="0"/>
              <w:adjustRightInd w:val="0"/>
              <w:snapToGrid w:val="0"/>
              <w:spacing w:line="320" w:lineRule="exact"/>
              <w:ind w:left="60"/>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每日防火巡查，每次巡查都应该确定具体的人员、内容、部位，建立检查和巡查记录，主要检查厂区、生活区移动式消防器材和室内外消火栓的使用管理以及负责监督厂区、生活区所有的消防设施和器材的标志、标识是否配置完善、符合要求等</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pt-BR"/>
              </w:rPr>
            </w:pPr>
            <w:r>
              <w:rPr>
                <w:rFonts w:hint="default" w:ascii="Times New Roman" w:hAnsi="Times New Roman" w:cs="Times New Roman"/>
                <w:color w:val="auto"/>
                <w:sz w:val="21"/>
                <w:szCs w:val="21"/>
                <w:lang w:val="pt-BR"/>
              </w:rPr>
              <w:t>Setidaknya dua kali sehari (siang dan malam)</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每天至少二次</w:t>
            </w:r>
            <w:r>
              <w:rPr>
                <w:rFonts w:hint="default" w:ascii="Times New Roman" w:hAnsi="Times New Roman" w:cs="Times New Roman"/>
                <w:color w:val="auto"/>
                <w:sz w:val="21"/>
                <w:szCs w:val="21"/>
              </w:rPr>
              <w:t>(</w:t>
            </w:r>
            <w:r>
              <w:rPr>
                <w:rFonts w:hint="default" w:ascii="Times New Roman" w:hAnsi="Times New Roman" w:eastAsia="微软雅黑" w:cs="Times New Roman"/>
                <w:color w:val="auto"/>
                <w:sz w:val="21"/>
                <w:szCs w:val="21"/>
              </w:rPr>
              <w:t>白天、夜间</w:t>
            </w:r>
            <w:r>
              <w:rPr>
                <w:rFonts w:hint="default" w:ascii="Times New Roman" w:hAnsi="Times New Roman" w:cs="Times New Roman"/>
                <w:color w:val="auto"/>
                <w:sz w:val="21"/>
                <w:szCs w:val="21"/>
              </w:rPr>
              <w:t>)</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Melaksanakan inspeksi pencegahan kebakaran bulanan, membuat catatan inspeksi dan patroli, serta menghilangkan bahaya keselamatan kebakaran secara tepat waktu.</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每月防火检查、建立检查和巡查记录，及时消除消防安全隐患。</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Menyelenggarakan kelas materi keselamatan untuk meningkatkan kewaspadaan keselamatan dan kewaspadaan kepatuhan terhadap hukum dan peraturan bagi seluruh petugas pemadam kebakaran.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组织安全教育课程，提高所有消防人员的安全意识和遵守法律法规意识。</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Melaksanakan pelatihan teknis profesional bagi petugas pemadam kebakaran, termasuk pelatihan teknis yang diperlukan untuk penyelamatan kebocoran gas, penyelamatan personel, dll.</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开展消防人员的专业技术培训，包括气体泄漏抢险、人员抢救等抢险所需的技术培训</w:t>
            </w:r>
            <w:r>
              <w:rPr>
                <w:rFonts w:hint="default" w:ascii="Times New Roman" w:hAnsi="Times New Roman" w:eastAsia="微软雅黑" w:cs="Times New Roman"/>
                <w:color w:val="auto"/>
                <w:sz w:val="21"/>
                <w:szCs w:val="21"/>
                <w:lang w:eastAsia="zh-CN"/>
              </w:rPr>
              <w:t>。</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Setidaknya melaksanakan satu latihan pedamam kebakaran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至少一次的消防训练</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Periksa dan bersihkan Semua peralatan pemadam kebakaran,Ini termasuk alat pemadam kebakaran portabel dan yang dipasang di troli, hidran kebakaran (kotak), kopler pompa air, selang pemadam kebakaran, nozel selang pemadam kebakaran, kotak pasir pemadam kebakaran, dll. di dalam pabrik, dan catatan pemeriksaan harus disimpan.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eastAsia="微软雅黑" w:cs="Times New Roman"/>
                <w:color w:val="auto"/>
                <w:sz w:val="21"/>
                <w:szCs w:val="21"/>
                <w:lang w:val="id-ID" w:eastAsia="zh-CN"/>
              </w:rPr>
            </w:pPr>
            <w:r>
              <w:rPr>
                <w:rFonts w:hint="default" w:ascii="Times New Roman" w:hAnsi="Times New Roman" w:eastAsia="微软雅黑" w:cs="Times New Roman"/>
                <w:color w:val="auto"/>
                <w:sz w:val="21"/>
                <w:szCs w:val="21"/>
              </w:rPr>
              <w:t>对所有消防设施全部检查一遍，对厂区内配备的手提式和推车式灭火器、消火栓（箱）、水泵接合器、消防水带、消防水枪、防火沙箱等进行检查、清洁，做好检查记录</w:t>
            </w:r>
            <w:r>
              <w:rPr>
                <w:rFonts w:hint="default" w:ascii="Times New Roman" w:hAnsi="Times New Roman" w:eastAsia="微软雅黑" w:cs="Times New Roman"/>
                <w:color w:val="auto"/>
                <w:sz w:val="21"/>
                <w:szCs w:val="21"/>
                <w:lang w:eastAsia="zh-CN"/>
              </w:rPr>
              <w:t>。</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eastAsia="宋体" w:cs="Times New Roman"/>
                <w:color w:val="auto"/>
                <w:sz w:val="21"/>
                <w:szCs w:val="21"/>
                <w:lang w:val="id-ID" w:eastAsia="zh-CN"/>
              </w:rPr>
            </w:pPr>
            <w:r>
              <w:rPr>
                <w:rFonts w:hint="default" w:ascii="Times New Roman" w:hAnsi="Times New Roman" w:cs="Times New Roman"/>
                <w:color w:val="auto"/>
                <w:sz w:val="21"/>
                <w:szCs w:val="21"/>
                <w:lang w:val="id-ID"/>
              </w:rPr>
              <w:t>Membersihkan, merawat, mengisi baterai, menguji jalannya kendaraan, dan menguji pompa mobil pemadam kebakaran; memastikan bahwa mobil pemadam kebakaran selalu dalam keadaan siap</w:t>
            </w:r>
            <w:r>
              <w:rPr>
                <w:rFonts w:hint="default" w:ascii="Times New Roman" w:hAnsi="Times New Roman" w:eastAsia="宋体" w:cs="Times New Roman"/>
                <w:color w:val="auto"/>
                <w:sz w:val="21"/>
                <w:szCs w:val="21"/>
                <w:lang w:val="id-ID" w:eastAsia="zh-CN"/>
              </w:rPr>
              <w:t>。</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eastAsia="微软雅黑" w:cs="Times New Roman"/>
                <w:color w:val="auto"/>
                <w:sz w:val="21"/>
                <w:szCs w:val="21"/>
                <w:lang w:val="id-ID" w:eastAsia="zh-CN"/>
              </w:rPr>
            </w:pPr>
            <w:r>
              <w:rPr>
                <w:rFonts w:hint="default" w:ascii="Times New Roman" w:hAnsi="Times New Roman" w:eastAsia="微软雅黑" w:cs="Times New Roman"/>
                <w:color w:val="auto"/>
                <w:sz w:val="21"/>
                <w:szCs w:val="21"/>
              </w:rPr>
              <w:t>对消防车进行清洁、保养、蓄电池充电、试车、试泵；确保消防车随时处于良好的战备状态</w:t>
            </w:r>
            <w:r>
              <w:rPr>
                <w:rFonts w:hint="default" w:ascii="Times New Roman" w:hAnsi="Times New Roman" w:eastAsia="微软雅黑" w:cs="Times New Roman"/>
                <w:color w:val="auto"/>
                <w:sz w:val="21"/>
                <w:szCs w:val="21"/>
                <w:lang w:eastAsia="zh-CN"/>
              </w:rPr>
              <w:t>。</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lang w:val="id-ID"/>
              </w:rPr>
              <w:t>Setiap bulan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微软雅黑" w:cs="Times New Roman"/>
                <w:color w:val="auto"/>
                <w:sz w:val="21"/>
                <w:szCs w:val="21"/>
                <w:lang w:val="id-ID"/>
              </w:rPr>
            </w:pPr>
            <w:r>
              <w:rPr>
                <w:rFonts w:hint="default" w:ascii="Times New Roman" w:hAnsi="Times New Roman" w:eastAsia="微软雅黑" w:cs="Times New Roman"/>
                <w:color w:val="auto"/>
                <w:sz w:val="21"/>
                <w:szCs w:val="21"/>
              </w:rPr>
              <w:t>每月</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宋体" w:cs="Times New Roman"/>
                <w:color w:val="auto"/>
                <w:sz w:val="21"/>
                <w:szCs w:val="21"/>
                <w:lang w:val="en-US" w:eastAsia="zh-CN"/>
              </w:rPr>
              <w:t>M</w:t>
            </w:r>
            <w:r>
              <w:rPr>
                <w:rFonts w:hint="default" w:ascii="Times New Roman" w:hAnsi="Times New Roman" w:cs="Times New Roman"/>
                <w:color w:val="auto"/>
                <w:sz w:val="21"/>
                <w:szCs w:val="21"/>
                <w:lang w:val="id-ID"/>
              </w:rPr>
              <w:t>enguji truk pemadam kebakaran dan uji semprotan air</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消防车动作和喷水试验</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Tidak kurang dari dua kali setahun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每年不低于两次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7356"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Latihan kebakaran formal</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default" w:ascii="Times New Roman" w:hAnsi="Times New Roman" w:cs="Times New Roman"/>
                <w:color w:val="auto"/>
                <w:sz w:val="21"/>
                <w:szCs w:val="21"/>
                <w:lang w:val="id-ID"/>
              </w:rPr>
            </w:pPr>
            <w:r>
              <w:rPr>
                <w:rFonts w:hint="default" w:ascii="Times New Roman" w:hAnsi="Times New Roman" w:eastAsia="微软雅黑" w:cs="Times New Roman"/>
                <w:color w:val="auto"/>
                <w:sz w:val="21"/>
                <w:szCs w:val="21"/>
              </w:rPr>
              <w:t>正式消防演习</w:t>
            </w:r>
          </w:p>
        </w:tc>
        <w:tc>
          <w:tcPr>
            <w:tcW w:w="1725" w:type="dxa"/>
          </w:tcPr>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lang w:val="id-ID"/>
              </w:rPr>
            </w:pPr>
            <w:r>
              <w:rPr>
                <w:rFonts w:hint="default" w:ascii="Times New Roman" w:hAnsi="Times New Roman" w:cs="Times New Roman"/>
                <w:color w:val="auto"/>
                <w:sz w:val="21"/>
                <w:szCs w:val="21"/>
                <w:lang w:val="id-ID"/>
              </w:rPr>
              <w:t>Tidak kurang dari dua kali setahun</w:t>
            </w:r>
          </w:p>
          <w:p>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每年不低于两次</w:t>
            </w:r>
          </w:p>
        </w:tc>
      </w:tr>
    </w:tbl>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8"/>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Manajemen produksi:</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生产管理：</w:t>
      </w:r>
    </w:p>
    <w:p>
      <w:pPr>
        <w:pStyle w:val="19"/>
        <w:numPr>
          <w:ilvl w:val="0"/>
          <w:numId w:val="13"/>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Selain melaksanakan persyaratan di atas, peserta lelang harus mematuhi peraturan pembeli yang relevan tentang sistem manajemen produksi dan aturan penilaian.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报价人除按上述要求执行外，必须服从采购人有关生产管理制度、考核细则的相关规定。</w:t>
      </w:r>
    </w:p>
    <w:p>
      <w:pPr>
        <w:pStyle w:val="19"/>
        <w:numPr>
          <w:ilvl w:val="0"/>
          <w:numId w:val="13"/>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Peserta Lelang wajib mentaati dan melaksanakan berbagai standar pengelolaan dan standar penilaian yang diumumkan oleh pembeli.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报价人须服从并执行采购人颁布执行的各项管理标准和考核标准。</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8"/>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Persyaratan kerja</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工作要求：</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Petugas harus melaksanakan dan tidak boleh lalai pada pekerjaan di lokasi pembangkit listrik.</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对于电厂合同范围内的工作，报价人工作人员必须执行，不得推诿。</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Untuk proyek-proyek yang masih dalam persyaratan kontrak, jika penawar menunda pekerjaan karena kekuatan teknis yang tidak memadai, jumlah staf yang tidak mencukupi, dan sebagainya, selain melakukan penilaian, penawar akan diperintahkan untuk mengisi staf yang relevan sampai persyaratan pekerjaan di lapangan terpenuhi.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对于合同内项目要求，报价人由于技术力量不够，人员数量不足等原因延误工作的，除进行考核外，责令报价人充实相关工作人员，直至满足现场工作要求为止。</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beradaptasi dengan filosofi manajemen pembeli, menerima pengawasan pembeli, dan memastikan bahwa timnya dikelola dengan baik</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报价人须适应采购人的管理理念，接受采购人的监督，确保其队伍得到良好管理。</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Petugas pemadam kebakaran harus diawasi oleh manajemen Pembeli; harus mempertahankan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ascii="Times New Roman" w:hAnsi="Times New Roman" w:eastAsia="宋体" w:cs="Times New Roman"/>
          <w:color w:val="000000" w:themeColor="text1"/>
          <w:sz w:val="24"/>
          <w:szCs w:val="24"/>
          <w:highlight w:val="none"/>
          <w14:textFill>
            <w14:solidFill>
              <w14:schemeClr w14:val="tx1"/>
            </w14:solidFill>
          </w14:textFill>
        </w:rPr>
        <w:t xml:space="preserve"> orang di lokasi 24 jam sehari dalam keadaan siaga; dan setelah menerima panggilan, petugas pemadam kebakaran harus membawa mobil pemadam kebakaran ke lokasi yang paling tepat untuk pekerjaan pemadaman dalam waktu 10 menit dan area di sekitar pembangkit listrik dalam waktu 15 menit.</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消防队员必须接受采购人消防主管的监督管理和工作安排；必须保持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ascii="Times New Roman" w:hAnsi="Times New Roman" w:eastAsia="宋体" w:cs="Times New Roman"/>
          <w:color w:val="000000" w:themeColor="text1"/>
          <w:sz w:val="24"/>
          <w:szCs w:val="24"/>
          <w:highlight w:val="none"/>
          <w14:textFill>
            <w14:solidFill>
              <w14:schemeClr w14:val="tx1"/>
            </w14:solidFill>
          </w14:textFill>
        </w:rPr>
        <w:t>人在现场每天24小时待命；接到报警电话后，消防员必须在10分钟内将消防车带到最合适的位置进行消防工作，电厂周边地区15分钟内到达。</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Petugas pemadam kebakaran dari pemberi penawaran harus mematuhi semua peraturan dan ketentuan di lokasi pembeli. Pemimpin pemadam kebakaran harus menghadiri pertemuan yang diselenggarakan oleh pembeli dan menerima penugasan khusus yang diperlukan untuk beberapa kegiatan penting pembeli, seperti partisipasi dalam latihan darurat dan penggunaan mobil pemadam kebakaran untuk pembilasan jalan, peralatan, dan fasilitas.</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报价人的消防队员必须遵守采购人现场的所有规章制度。消防队长必须参加采购人组织的会议，并接受采购人一些重要活动所需的特殊任务，如参加应急演练，使用消防车进行道路、设备设施的冲洗等。</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memastikan bahwa mereka bertugas terus menerus selama 24 jam sehari, bahwa tidak ada staf la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pangan lain</w:t>
      </w:r>
      <w:r>
        <w:rPr>
          <w:rFonts w:ascii="Times New Roman" w:hAnsi="Times New Roman" w:eastAsia="宋体" w:cs="Times New Roman"/>
          <w:color w:val="000000" w:themeColor="text1"/>
          <w:sz w:val="24"/>
          <w:szCs w:val="24"/>
          <w:highlight w:val="none"/>
          <w14:textFill>
            <w14:solidFill>
              <w14:schemeClr w14:val="tx1"/>
            </w14:solidFill>
          </w14:textFill>
        </w:rPr>
        <w:t xml:space="preserve"> yang diizinkan meninggalkan pabrik dan bahwa semua petugas pemadam kebakaran harus tetap berada di ruang piket atau di lokasi untuk memeriksa peralatan pemadam kebakaran jika tidak ada kebakaran atau pekerjaan pemadam kebakaran terkait lainnya yang harus dilakukan untuk menyelamatkan bahaya kebakaran.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报价人必须确保24小时连续值守，现场工作人员不得离开电厂，如果没有火灾或其他相关的消防工作，所有消防员应留在值班室或现场检查消防设备，以准备随时进行救援火灾危险。</w:t>
      </w:r>
    </w:p>
    <w:p>
      <w:pPr>
        <w:pStyle w:val="19"/>
        <w:numPr>
          <w:ilvl w:val="0"/>
          <w:numId w:val="14"/>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Staf pemberi penawaran yang melakukan pelanggaran serius selama operasi dapat dihukum oleh pembeli sebagaimana mestinya hingga dan termasuk pemulangan ke unit asalnya, dan akan diganti dalam jangka waktu yang ditentukan oleh pembeli.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报价人工作人员在作业期间有严重违规行为的，可视情况由采购人进行处罚直至将其遣送回原单位，并按采购人规定日期内补足人员。</w:t>
      </w:r>
    </w:p>
    <w:p>
      <w:pPr>
        <w:spacing w:line="360" w:lineRule="auto"/>
        <w:outlineLvl w:val="9"/>
        <w:rPr>
          <w:rFonts w:ascii="Times New Roman" w:hAnsi="Times New Roman" w:eastAsia="黑体" w:cs="Times New Roman"/>
          <w:color w:val="000000" w:themeColor="text1"/>
          <w:sz w:val="24"/>
          <w:szCs w:val="24"/>
          <w:highlight w:val="none"/>
          <w14:textFill>
            <w14:solidFill>
              <w14:schemeClr w14:val="tx1"/>
            </w14:solidFill>
          </w14:textFill>
        </w:rPr>
      </w:pPr>
      <w:bookmarkStart w:id="11" w:name="_bookmark138"/>
      <w:bookmarkEnd w:id="11"/>
    </w:p>
    <w:p>
      <w:pPr>
        <w:pStyle w:val="7"/>
        <w:numPr>
          <w:ilvl w:val="1"/>
          <w:numId w:val="3"/>
        </w:numPr>
        <w:spacing w:after="0" w:line="360" w:lineRule="auto"/>
        <w:rPr>
          <w:rFonts w:hint="default" w:hAnsi="Times New Roman" w:eastAsia="黑体" w:cs="Times New Roman"/>
          <w:b/>
          <w:bCs/>
          <w:color w:val="000000" w:themeColor="text1"/>
          <w:highlight w:val="none"/>
          <w14:textFill>
            <w14:solidFill>
              <w14:schemeClr w14:val="tx1"/>
            </w14:solidFill>
          </w14:textFill>
        </w:rPr>
      </w:pPr>
      <w:r>
        <w:rPr>
          <w:rFonts w:hint="default" w:hAnsi="Times New Roman" w:eastAsia="黑体" w:cs="Times New Roman"/>
          <w:b/>
          <w:bCs/>
          <w:color w:val="000000" w:themeColor="text1"/>
          <w:highlight w:val="none"/>
          <w14:textFill>
            <w14:solidFill>
              <w14:schemeClr w14:val="tx1"/>
            </w14:solidFill>
          </w14:textFill>
        </w:rPr>
        <w:t>Metode penilaian</w:t>
      </w:r>
    </w:p>
    <w:p>
      <w:pPr>
        <w:pStyle w:val="7"/>
        <w:spacing w:after="0" w:line="360" w:lineRule="auto"/>
        <w:ind w:left="720"/>
        <w:rPr>
          <w:rFonts w:hint="default" w:hAnsi="Times New Roman" w:eastAsia="黑体" w:cs="Times New Roman"/>
          <w:b/>
          <w:bCs/>
          <w:color w:val="000000" w:themeColor="text1"/>
          <w:highlight w:val="none"/>
          <w14:textFill>
            <w14:solidFill>
              <w14:schemeClr w14:val="tx1"/>
            </w14:solidFill>
          </w14:textFill>
        </w:rPr>
      </w:pPr>
      <w:r>
        <w:rPr>
          <w:rFonts w:hint="default" w:hAnsi="Times New Roman" w:eastAsia="黑体" w:cs="Times New Roman"/>
          <w:b/>
          <w:bCs/>
          <w:color w:val="000000" w:themeColor="text1"/>
          <w:highlight w:val="none"/>
          <w14:textFill>
            <w14:solidFill>
              <w14:schemeClr w14:val="tx1"/>
            </w14:solidFill>
          </w14:textFill>
        </w:rPr>
        <w:t>考核办法</w:t>
      </w:r>
    </w:p>
    <w:p>
      <w:pPr>
        <w:pStyle w:val="19"/>
        <w:numPr>
          <w:ilvl w:val="0"/>
          <w:numId w:val="15"/>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Dalam hal manajemen keselamatan dan peradaban:</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安全</w:t>
      </w:r>
      <w:r>
        <w:rPr>
          <w:rFonts w:ascii="Times New Roman" w:hAnsi="Times New Roman" w:eastAsia="宋体" w:cs="Times New Roman"/>
          <w:b/>
          <w:bCs/>
          <w:color w:val="000000" w:themeColor="text1"/>
          <w:sz w:val="24"/>
          <w:szCs w:val="24"/>
          <w:highlight w:val="none"/>
          <w14:textFill>
            <w14:solidFill>
              <w14:schemeClr w14:val="tx1"/>
            </w14:solidFill>
          </w14:textFill>
        </w:rPr>
        <w:t>文明管理方面：</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Setidaknya dua kali sehari (siang dan malam hari), inspeksi keselamatan kebakaran pada area keselamatan kebakaran utama di dalam area layanan harus dilakukan, dengan personil, konten dan area tertentu yang diidentifikasi untuk setiap inspeksi.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Pemotongan Rp 200.000 per inspeksi dan Rp 100.000 per inspeksi untuk catatan yang tidak lengkap.</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每日至少二次</w:t>
      </w:r>
      <w:r>
        <w:rPr>
          <w:rFonts w:ascii="Times New Roman" w:hAnsi="Times New Roman" w:eastAsia="宋体" w:cs="Times New Roman"/>
          <w:color w:val="000000" w:themeColor="text1"/>
          <w:sz w:val="24"/>
          <w:szCs w:val="24"/>
          <w:highlight w:val="none"/>
          <w14:textFill>
            <w14:solidFill>
              <w14:schemeClr w14:val="tx1"/>
            </w14:solidFill>
          </w14:textFill>
        </w:rPr>
        <w:t>(白天、夜间)对服务区内的消防安全重点部位进行防火巡查，每次巡查都应该确定具体的人员、内容、部位,未能做到每日巡查扣每次20万印尼盾，巡查记录不完整扣10万印尼盾/次。</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Kegagalan untuk melakukan inspeksi keselamatan kebakaran bulanan akan mengakibatkan pengurangan Rp 200.000 per inspeksi dan pemotongan Rp 100.000 per inspeksi untuk catatan yang tidak lengkap.</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每月进行一次防火安全大检查,未能做到每月防火安全大检查扣20万印尼盾/次，巡查记录不完整扣10万印尼盾/次。</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Kegagalan untuk melakukan pencegahan kebakaran dan pendidikan keselamatan akan mengakibatkan pemotongan Rp 200.000 per kasus sebagaimana mestinya.</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没有开展火灾预防和安全宣传教育，视情况扣20万印尼盾/次。</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Pemotongan sebesar Rp200.000,-/kali akan dilakukan untuk setiap bahaya keselamatan yang telah diidentifikasi oleh personil </w:t>
      </w:r>
      <w:r>
        <w:rPr>
          <w:rFonts w:ascii="Times New Roman" w:hAnsi="Times New Roman" w:eastAsia="宋体" w:cs="Times New Roman"/>
          <w:i/>
          <w:iCs/>
          <w:color w:val="000000" w:themeColor="text1"/>
          <w:sz w:val="24"/>
          <w:szCs w:val="24"/>
          <w:highlight w:val="none"/>
          <w14:textFill>
            <w14:solidFill>
              <w14:schemeClr w14:val="tx1"/>
            </w14:solidFill>
          </w14:textFill>
        </w:rPr>
        <w:t>quoter</w:t>
      </w:r>
      <w:r>
        <w:rPr>
          <w:rFonts w:ascii="Times New Roman" w:hAnsi="Times New Roman" w:eastAsia="宋体" w:cs="Times New Roman"/>
          <w:color w:val="000000" w:themeColor="text1"/>
          <w:sz w:val="24"/>
          <w:szCs w:val="24"/>
          <w:highlight w:val="none"/>
          <w14:textFill>
            <w14:solidFill>
              <w14:schemeClr w14:val="tx1"/>
            </w14:solidFill>
          </w14:textFill>
        </w:rPr>
        <w:t xml:space="preserve"> namun tidak dikoreksi di tempat oleh personil yang bersangkutan.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报价人人员已经发现安全隐患但没有责成有关人员当场改正的扣20万印尼盾/次。</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Pemotongan Rp 200.000,-/kali untuk tidak ada pelatihan keselamatan kebakaran, Rp 100.000,-/kali untuk pelatihan yang diberikan namun tidak lengkap atau tidak efektif.</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没有进行消防安全培训扣20万印尼盾/次，有培训但资料不全或效果不好扣10万印尼盾/次。</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Selain kompensasi untuk biaya perbaikan kendaraan bermotor, Rp1 juta akan dipotong untuk setiap kejadian kerusakan pada mobil pemadam kebakaran yang disebabkan oleh pengoperasian yang tidak benar oleh pengemudi; Rp1 juta akan dipotong untuk setiap kejadian bukan pengemudi yang mengemudikan mobil pemadam kebakaran; Rp1 juta akan dipotong untuk setiap kejadian mengemudikan mobil pemadam kebakaran di luar area pabrik tanpa izin.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车必须由持证驾驶人员操作，因驾驶员操作不当造成消防车损坏，除赔偿机动车修理费以外，每发生一次扣100万印尼盾；非驾驶人员驾驶消防车辆每发生一次扣100万印尼盾；未经许可无故将消防车开出厂区以外每发生一次扣100万印尼盾。</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Kegagalan untuk memperbaiki atau perbaikan yang tidak lengkap atas masalah yang diajukan oleh pembeli akan mengakibatkan pengurangan Rp400.000 per insiden.</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对采购人提出的问题不进行整改或者整改不彻底，每次扣40万印尼盾。</w:t>
      </w:r>
    </w:p>
    <w:p>
      <w:pPr>
        <w:pStyle w:val="19"/>
        <w:numPr>
          <w:ilvl w:val="0"/>
          <w:numId w:val="16"/>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Dalam hal kontak kerja dengan informasi kontak personil yang diberikan oleh peserta lelang, jika komunikasi tidak dapat dilakukan karena informasi yang diberikan oleh peserta lelang tidak benar atau jika peserta lelang tidak menjawab telepon tanpa alasan, maka akan dilakukan pemotongan Rp 1.000.000,- untuk setiap kali kontak.</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对报价人提供的人员联系方式进行工作联系时，因报价人提供信息错误造成无法沟通或者无故不接电话的，每次扣100万印尼盾。</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15"/>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Manajemen personalia:</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人员管理方面：</w:t>
      </w:r>
    </w:p>
    <w:p>
      <w:pPr>
        <w:pStyle w:val="19"/>
        <w:numPr>
          <w:ilvl w:val="0"/>
          <w:numId w:val="17"/>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Untuk pekerjaan dalam ruang lingkup kontrak, jika staf peserta lelang tidak mematuhi manajemen pembeli atau menolak dalam bentuk apapun, maka akan dikenakan potongan sebesar Rp.300.000/waktu.  </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合同范围以内的工作，报价人工作人员不服从采购人管理或以任何形式拒绝的都将受到30万印尼盾/次的扣款。</w:t>
      </w:r>
    </w:p>
    <w:p>
      <w:pPr>
        <w:pStyle w:val="19"/>
        <w:numPr>
          <w:ilvl w:val="0"/>
          <w:numId w:val="17"/>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Untuk proyek-proyek di bawah kontrak, jika penawar tidak dapat melaksanakan pekerjaan sesuai jadwal karena sumber daya manusia atau kekuatan teknis, Rp 300.000 / waktu akan dipotong dan penawar akan diperintahkan untuk mengisi staf sampai persyaratan pekerjaan di lapangan terpenuhi.</w:t>
      </w:r>
    </w:p>
    <w:p>
      <w:pPr>
        <w:pStyle w:val="19"/>
        <w:spacing w:line="360" w:lineRule="auto"/>
        <w:ind w:left="228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对于合同内项目，报价人由于人力资源或技术力量等原因导致工作无法按期开展的，扣30万印尼盾/次，同时责令报价人充实工作人员，直至满足现场工作要求为止。</w:t>
      </w:r>
    </w:p>
    <w:p>
      <w:pPr>
        <w:pStyle w:val="19"/>
        <w:numPr>
          <w:ilvl w:val="0"/>
          <w:numId w:val="18"/>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Jika sertifikat penawar habis masa berlakunya, akan dipotong 300.000 rupiah per orang per hari.  </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报价人人员持证过期，每人每天扣30万印尼盾。</w:t>
      </w:r>
    </w:p>
    <w:p>
      <w:pPr>
        <w:pStyle w:val="19"/>
        <w:numPr>
          <w:ilvl w:val="0"/>
          <w:numId w:val="18"/>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Personil dari pihak pemberi penawaran akan dikenakan denda sebesar Rp 300.000 - Rp 1.000.000 untuk setiap pelanggaran disiplin kerja, keterlambatan, kepulangan lebih awal, tidak masuk kerja dan pemalsuan kehadiran.</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报价人人员违反劳动纪律，迟到、早退、脱岗、考勤弄虚作假，每次扣</w:t>
      </w:r>
      <w:r>
        <w:rPr>
          <w:rFonts w:ascii="Times New Roman" w:hAnsi="Times New Roman" w:eastAsia="宋体" w:cs="Times New Roman"/>
          <w:color w:val="000000" w:themeColor="text1"/>
          <w:sz w:val="24"/>
          <w:szCs w:val="24"/>
          <w:highlight w:val="none"/>
          <w14:textFill>
            <w14:solidFill>
              <w14:schemeClr w14:val="tx1"/>
            </w14:solidFill>
          </w14:textFill>
        </w:rPr>
        <w:t>30-100万印尼盾。</w:t>
      </w:r>
    </w:p>
    <w:p>
      <w:pPr>
        <w:pStyle w:val="19"/>
        <w:numPr>
          <w:ilvl w:val="0"/>
          <w:numId w:val="18"/>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Rp 3.000.000 akan dipotong untuk setiap kali personil penawar tidak tiba di lokasi dalam waktu 10 menit setelah menerima alarm kebakaran di pabrik dan 15 menit di daerah sekitarnya.</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报价人人员接到火灾报警后厂区内10分钟未到达现场，周边地区15分钟未到达现场，每次扣300万印尼盾。</w:t>
      </w:r>
    </w:p>
    <w:p>
      <w:pPr>
        <w:pStyle w:val="19"/>
        <w:numPr>
          <w:ilvl w:val="0"/>
          <w:numId w:val="18"/>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Personil dari peserta lelang akan dikenakan denda sebesar Rp 300.000,- per orang apabila tidak mengenakan alat pelindung diri yang benar seperti helm pemadam kebakaran, baju pemadam kebakaran, dan sepatu pemadam kebakaran di lokasi kerja.</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报价人人员在工作现场不正确佩戴个人防护用品，如消防头盔，消防战斗服，消防战斗靴，每人次扣30万印尼盾。</w:t>
      </w:r>
    </w:p>
    <w:p>
      <w:pPr>
        <w:pStyle w:val="19"/>
        <w:numPr>
          <w:ilvl w:val="0"/>
          <w:numId w:val="18"/>
        </w:numPr>
        <w:spacing w:line="360" w:lineRule="auto"/>
        <w:ind w:left="2268"/>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Rp 200.000 per orang akan dipotong untuk setiap kejadian di mana personil pemberi penawaran tidak mengenakan pakaian kerja dan lencana kerja selama bekerja.</w:t>
      </w:r>
    </w:p>
    <w:p>
      <w:pPr>
        <w:pStyle w:val="19"/>
        <w:spacing w:line="360" w:lineRule="auto"/>
        <w:ind w:left="2268"/>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报价人人员在工作期间不穿工作服，不佩戴工作牌，每人次扣20万印尼盾。</w:t>
      </w:r>
    </w:p>
    <w:p>
      <w:pPr>
        <w:pStyle w:val="19"/>
        <w:numPr>
          <w:ilvl w:val="0"/>
          <w:numId w:val="18"/>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Perilaku yang tidak beradab seperti merokok, membuang sampah sembarangan, dan menginjak-injak halaman oleh personil peserta lelang di area pabrik saat beraktivitas akan dikenakan denda Rp 200.000 per orang per kejadian, dan akan dilipatgandakan jika tidak diindahkan atau terjadi berulang kali.</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报价人人员在厂区内流动吸烟、乱扔垃圾、践踏草坪等不文明行为，每人次扣20万印尼盾，对于不听劝阻或重复发生的情况，加倍扣款。</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15"/>
        </w:numPr>
        <w:spacing w:line="360" w:lineRule="auto"/>
        <w:ind w:left="1560" w:hanging="567"/>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Situasi berikut akan diperiksa sesuai:</w:t>
      </w:r>
    </w:p>
    <w:p>
      <w:pPr>
        <w:pStyle w:val="19"/>
        <w:spacing w:line="360" w:lineRule="auto"/>
        <w:ind w:left="156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发生下列情况进行相应考核：</w:t>
      </w:r>
    </w:p>
    <w:p>
      <w:pPr>
        <w:pStyle w:val="19"/>
        <w:numPr>
          <w:ilvl w:val="0"/>
          <w:numId w:val="19"/>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Jika terjadi insiden kebakaran, pemberi penawaran harus mengambil tindakan segera untuk mengendalikan insiden tersebut dan harus segera melaporkannya kepada pembeli. Jika peserta lelang menyembunyikan atau menunda melaporkan kejadian tersebut, peserta lelang akan dikenakan denda sebesar Rp 4.000.000 untuk setiap kejadian.</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发生消防事故时，报价人应立即采取措施控制事故，并应立即报告给采购人。如果报价人对事故隐瞒、拖延不报告，每发生一次扣报价人400万印尼盾。</w:t>
      </w:r>
    </w:p>
    <w:p>
      <w:pPr>
        <w:pStyle w:val="19"/>
        <w:numPr>
          <w:ilvl w:val="0"/>
          <w:numId w:val="19"/>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Dalam hal terjadi kematian pribadi yang disebabkan oleh tanggung jawab pemberi penawaran, pemberi penawaran akan dipotong Rp 40.000.000. Semua kerugian ekonomi yang disebabkan pada saat yang sama akan ditanggung oleh peserta lelang. Jika terjadi kerusakan pada pembangkit listrik, biaya kerugian akan ditanggung oleh peserta lelang, dan peserta lelang juga akan menanggung tanggung jawab terkait lainnya.</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发生由于报价人责任造成的人身死亡事故，扣报价人40000万印尼盾。同时造成的全部经济损失由报价人自行承担。若造成电站损失，损失的费用由报价人承担，同时报价人还应承担其他相关责任。</w:t>
      </w:r>
    </w:p>
    <w:p>
      <w:pPr>
        <w:pStyle w:val="19"/>
        <w:numPr>
          <w:ilvl w:val="0"/>
          <w:numId w:val="19"/>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Dalam hal terjadi cedera diri yang serius yang disebabkan oleh tanggung jawab peserta, maka peserta akan dikenakan biaya sebesar Rp 20.000.000.</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发生由于报价人责任造成的人身重伤事故，扣报价人20000万印尼盾。</w:t>
      </w:r>
    </w:p>
    <w:p>
      <w:pPr>
        <w:pStyle w:val="19"/>
        <w:numPr>
          <w:ilvl w:val="0"/>
          <w:numId w:val="19"/>
        </w:numPr>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Dalam hal terjadi cedera ringan yang disebabkan oleh tanggung jawab peserta, maka peserta akan dikenakan biaya sebesar Rp 20 juta.</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发生由于报价人责任造成的人身轻伤事故，扣报价人2000万印尼盾。</w:t>
      </w:r>
    </w:p>
    <w:p>
      <w:pPr>
        <w:pStyle w:val="19"/>
        <w:spacing w:line="360" w:lineRule="auto"/>
        <w:ind w:left="2268"/>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15"/>
        </w:numPr>
        <w:spacing w:line="360" w:lineRule="auto"/>
        <w:ind w:left="1560" w:hanging="567"/>
        <w:jc w:val="both"/>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Penghargaan diberikan sesuai dengan kondisi berikut ini.</w:t>
      </w:r>
    </w:p>
    <w:p>
      <w:pPr>
        <w:pStyle w:val="19"/>
        <w:spacing w:line="360" w:lineRule="auto"/>
        <w:ind w:left="1560"/>
        <w:jc w:val="both"/>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发生下列情况进行相应奖励：</w:t>
      </w:r>
    </w:p>
    <w:p>
      <w:pPr>
        <w:spacing w:line="360" w:lineRule="auto"/>
        <w:ind w:left="156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Penghargaan sebesar Rp 200.000 - Rp 1.000.000 akan diberikan untuk setiap bahaya kebakaran besar yang ditemukan dan dilaporkan secara tepat waktu.</w:t>
      </w:r>
    </w:p>
    <w:p>
      <w:pPr>
        <w:spacing w:line="360" w:lineRule="auto"/>
        <w:ind w:left="156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发现重大消防隐患并及时上报的，每次奖励20-100万印尼盾。</w:t>
      </w:r>
    </w:p>
    <w:p>
      <w:p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spacing w:line="360" w:lineRule="auto"/>
        <w:ind w:left="156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Jika terjadi kebakaran besar, penghargaan sebesar Rp 1-4 juta akan diberikan untuk setiap kebakaran yang cepat, efektif, terkendali, dan dapat dipadamkan.</w:t>
      </w:r>
    </w:p>
    <w:p>
      <w:pPr>
        <w:spacing w:line="360" w:lineRule="auto"/>
        <w:ind w:left="156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发生重大火情时，出警迅速、灭火得力、控制得当并扑灭火情，每次奖励100-400万印尼盾。</w:t>
      </w:r>
    </w:p>
    <w:p>
      <w:pPr>
        <w:pStyle w:val="7"/>
        <w:jc w:val="both"/>
        <w:rPr>
          <w:rFonts w:hint="default" w:eastAsia="宋体"/>
          <w:color w:val="000000" w:themeColor="text1"/>
          <w:highlight w:val="none"/>
          <w14:textFill>
            <w14:solidFill>
              <w14:schemeClr w14:val="tx1"/>
            </w14:solidFill>
          </w14:textFill>
        </w:rPr>
      </w:pPr>
    </w:p>
    <w:p>
      <w:pPr>
        <w:pStyle w:val="19"/>
        <w:numPr>
          <w:ilvl w:val="0"/>
          <w:numId w:val="15"/>
        </w:numPr>
        <w:spacing w:line="360" w:lineRule="auto"/>
        <w:ind w:left="1560" w:hanging="567"/>
        <w:jc w:val="both"/>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 xml:space="preserve">Penilaian dan penghargaan lainnya dilakukan sesuai dengan Peraturan Manajemen mengenai </w:t>
      </w:r>
      <w:r>
        <w:rPr>
          <w:rFonts w:ascii="Times New Roman" w:hAnsi="Times New Roman" w:eastAsia="宋体" w:cs="Times New Roman"/>
          <w:b/>
          <w:bCs/>
          <w:i/>
          <w:iCs/>
          <w:color w:val="000000" w:themeColor="text1"/>
          <w:sz w:val="24"/>
          <w:szCs w:val="24"/>
          <w:highlight w:val="none"/>
          <w14:textFill>
            <w14:solidFill>
              <w14:schemeClr w14:val="tx1"/>
            </w14:solidFill>
          </w14:textFill>
        </w:rPr>
        <w:t>Safety Production Rewards and Punishment</w:t>
      </w:r>
      <w:r>
        <w:rPr>
          <w:rFonts w:ascii="Times New Roman" w:hAnsi="Times New Roman" w:eastAsia="宋体" w:cs="Times New Roman"/>
          <w:b/>
          <w:bCs/>
          <w:color w:val="000000" w:themeColor="text1"/>
          <w:sz w:val="24"/>
          <w:szCs w:val="24"/>
          <w:highlight w:val="none"/>
          <w14:textFill>
            <w14:solidFill>
              <w14:schemeClr w14:val="tx1"/>
            </w14:solidFill>
          </w14:textFill>
        </w:rPr>
        <w:t>"</w:t>
      </w:r>
    </w:p>
    <w:p>
      <w:pPr>
        <w:pStyle w:val="19"/>
        <w:spacing w:line="360" w:lineRule="auto"/>
        <w:ind w:left="1560"/>
        <w:jc w:val="both"/>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其它考核和奖励按照公司《安全生产奖惩管理规定》进行。</w:t>
      </w:r>
    </w:p>
    <w:p>
      <w:pPr>
        <w:spacing w:line="360" w:lineRule="auto"/>
        <w:outlineLvl w:val="9"/>
        <w:rPr>
          <w:rFonts w:ascii="Times New Roman" w:hAnsi="Times New Roman" w:eastAsia="宋体" w:cs="Times New Roman"/>
          <w:color w:val="000000" w:themeColor="text1"/>
          <w:sz w:val="24"/>
          <w:szCs w:val="24"/>
          <w:highlight w:val="none"/>
          <w14:textFill>
            <w14:solidFill>
              <w14:schemeClr w14:val="tx1"/>
            </w14:solidFill>
          </w14:textFill>
        </w:rPr>
      </w:pPr>
      <w:bookmarkStart w:id="12" w:name="_bookmark139"/>
      <w:bookmarkEnd w:id="12"/>
    </w:p>
    <w:p>
      <w:pPr>
        <w:pStyle w:val="19"/>
        <w:numPr>
          <w:ilvl w:val="0"/>
          <w:numId w:val="20"/>
        </w:numPr>
        <w:spacing w:line="360" w:lineRule="auto"/>
        <w:ind w:left="709" w:leftChars="0" w:hanging="360" w:firstLine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Persyaratan Manajemen Keselamatan Penawa</w:t>
      </w:r>
      <w:r>
        <w:rPr>
          <w:rFonts w:hint="eastAsia" w:ascii="Times New Roman" w:hAnsi="Times New Roman" w:eastAsia="宋体" w:cs="Times New Roman"/>
          <w:b/>
          <w:bCs/>
          <w:color w:val="000000" w:themeColor="text1"/>
          <w:sz w:val="24"/>
          <w:szCs w:val="24"/>
          <w:highlight w:val="none"/>
          <w14:textFill>
            <w14:solidFill>
              <w14:schemeClr w14:val="tx1"/>
            </w14:solidFill>
          </w14:textFill>
        </w:rPr>
        <w:t>r</w:t>
      </w:r>
    </w:p>
    <w:p>
      <w:pPr>
        <w:pStyle w:val="19"/>
        <w:spacing w:line="360" w:lineRule="auto"/>
        <w:ind w:left="709" w:left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报价人安全管理要求</w:t>
      </w:r>
    </w:p>
    <w:p>
      <w:pPr>
        <w:spacing w:line="360" w:lineRule="auto"/>
        <w:ind w:left="709" w:leftChars="0"/>
        <w:jc w:val="both"/>
        <w:outlineLvl w:val="9"/>
        <w:rPr>
          <w:rFonts w:ascii="Times New Roman" w:hAnsi="Times New Roman" w:eastAsia="黑体" w:cs="Times New Roman"/>
          <w:color w:val="000000" w:themeColor="text1"/>
          <w:sz w:val="24"/>
          <w:szCs w:val="24"/>
          <w:highlight w:val="none"/>
          <w14:textFill>
            <w14:solidFill>
              <w14:schemeClr w14:val="tx1"/>
            </w14:solidFill>
          </w14:textFill>
        </w:rPr>
      </w:pPr>
      <w:r>
        <w:rPr>
          <w:rFonts w:ascii="Times New Roman" w:hAnsi="Times New Roman" w:eastAsia="黑体" w:cs="Times New Roman"/>
          <w:color w:val="000000" w:themeColor="text1"/>
          <w:sz w:val="24"/>
          <w:szCs w:val="24"/>
          <w:highlight w:val="none"/>
          <w14:textFill>
            <w14:solidFill>
              <w14:schemeClr w14:val="tx1"/>
            </w14:solidFill>
          </w14:textFill>
        </w:rPr>
        <w:br w:type="textWrapping"/>
      </w:r>
      <w:r>
        <w:rPr>
          <w:rFonts w:ascii="Times New Roman" w:hAnsi="Times New Roman" w:eastAsia="黑体" w:cs="Times New Roman"/>
          <w:color w:val="000000" w:themeColor="text1"/>
          <w:sz w:val="24"/>
          <w:szCs w:val="24"/>
          <w:highlight w:val="none"/>
          <w14:textFill>
            <w14:solidFill>
              <w14:schemeClr w14:val="tx1"/>
            </w14:solidFill>
          </w14:textFill>
        </w:rPr>
        <w:t>Penawar harus benar-benar menerapkan persyaratan manajemen keselamatan berikut ini, penawar harus menyiapkan informasi berikut ini sebelum memasuki pabrik dan mengirim orang ke pabrik 5 hari kerja sebelumnya untuk tinjauan kualifikasi, menandatangani perjanjian keselamatan</w:t>
      </w:r>
      <w:r>
        <w:rPr>
          <w:rFonts w:hint="eastAsia" w:ascii="Times New Roman" w:hAnsi="Times New Roman" w:eastAsia="黑体" w:cs="Times New Roman"/>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sz w:val="24"/>
          <w:szCs w:val="24"/>
          <w:highlight w:val="none"/>
          <w:lang w:val="en-US" w:eastAsia="zh-CN"/>
          <w14:textFill>
            <w14:solidFill>
              <w14:schemeClr w14:val="tx1"/>
            </w14:solidFill>
          </w14:textFill>
        </w:rPr>
        <w:t>safety induction</w:t>
      </w:r>
      <w:r>
        <w:rPr>
          <w:rFonts w:ascii="Times New Roman" w:hAnsi="Times New Roman" w:eastAsia="黑体" w:cs="Times New Roman"/>
          <w:color w:val="000000" w:themeColor="text1"/>
          <w:sz w:val="24"/>
          <w:szCs w:val="24"/>
          <w:highlight w:val="none"/>
          <w14:textFill>
            <w14:solidFill>
              <w14:schemeClr w14:val="tx1"/>
            </w14:solidFill>
          </w14:textFill>
        </w:rPr>
        <w:t xml:space="preserve"> dan hal-hal terkait lainnya, bahan yang harus disiapkan dan persyaratannya adalah sebagai berikut.</w:t>
      </w:r>
    </w:p>
    <w:p>
      <w:pPr>
        <w:pStyle w:val="19"/>
        <w:spacing w:line="360" w:lineRule="auto"/>
        <w:ind w:left="709" w:leftChars="0"/>
        <w:jc w:val="both"/>
        <w:outlineLvl w:val="9"/>
        <w:rPr>
          <w:rFonts w:ascii="Times New Roman" w:hAnsi="Times New Roman" w:eastAsia="黑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报价人必须严格执行以下安全管理要求，报价人在进厂前必须准备好如下资料并派专人提前</w:t>
      </w:r>
      <w:r>
        <w:rPr>
          <w:rFonts w:ascii="Times New Roman" w:hAnsi="Times New Roman" w:eastAsia="宋体" w:cs="Times New Roman"/>
          <w:color w:val="000000" w:themeColor="text1"/>
          <w:sz w:val="24"/>
          <w:szCs w:val="24"/>
          <w:highlight w:val="none"/>
          <w14:textFill>
            <w14:solidFill>
              <w14:schemeClr w14:val="tx1"/>
            </w14:solidFill>
          </w14:textFill>
        </w:rPr>
        <w:t>5个工作日赴厂办理入厂资质审查、安全教育培训等相关事宜，需准备材料及要求如下：</w:t>
      </w:r>
    </w:p>
    <w:p>
      <w:pPr>
        <w:pStyle w:val="19"/>
        <w:numPr>
          <w:ilvl w:val="0"/>
          <w:numId w:val="21"/>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Peserta lelang memberikan izin usaha, sertifikat kode organisasi, sertifikat registrasi pajak, kualifikasi kontraktor, lisensi produksi keselamatan, dll., catatan konstruksi keselamatan dalam tiga tahun terakhir (tidak ada bukti kecelakaan) dan dokumen kualifikasi yang relevan, yang harus dibubuhi stempel resmi unit kontraktor.</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报价人提供企业营业执照、组织机构代码证、税务登记证、承包资质、安全生产许可证等、近三年安全施工记录(无事故证明)以及相关资质文件，提供资质文件需加盖报价人公章。</w:t>
      </w:r>
    </w:p>
    <w:p>
      <w:pPr>
        <w:pStyle w:val="19"/>
        <w:numPr>
          <w:ilvl w:val="0"/>
          <w:numId w:val="21"/>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Perjanjian manajemen keselamatan harus ditandatangani oleh penanggung jawab proyek, atau jika penanggung jawab bukan perwakilan hukum, surat kuasa dari perwakilan hukum harus diberikan. Surat kuasa dan perjanjian keselamatan harus dibubuhi stempel resmi dari unit penawar.</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安全管理协议需项目负责人签字，若负责人不是法人代表则需提供法人代表授权委托书。授权委托书和安全管理协议需加盖报价人公章。</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menyediakan personil yang cukup untuk proyek, membuat struktur organisasi yang wajar dan efektif, menyerahkan CV personil manajemen utama proyek layanan seperti yang ditentukan dalam dokumen tender; menyerahkan daftar penanggung jawab dan staf, dan menunjukkan sertifikat kualifikasi yang sesuai, personil di atas tidak boleh diganti sesuka hati, dan semua daftar personil harus disediakan dalam format elektronik dan kertas (versi kertas harus dibubuhi stempel resmi unit, dan daftar tersebut harus diisi sesuai dengan format "Daftar Informasi Personalia" yang terlampir).</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为本项目配备足够的人员，设置合理有效的组织结构，提交投标文件中明确的本服务项目主要管理人员的简历；提交负责人及工作人员名单，并出具相应的资格证书，以上人员不得随意更换，所有人员名单需提供电子版和纸质版(纸质版盖单位公章，名单必须按附件“人员信息名单”格式填写)。</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Semua anggota staf dari pihak yang menawarkan diharuskan untuk memberikan kontrak kerja, fotokopi kartu identitas, bukti kesehatan fisik (dalam waktu satu tahun dari lembaga medis pada atau di atas tingkat kabupaten) dan bukti tidak ada kontraindikasi terhadap kesehatan kerja (dengan stempel resmi), dan bukti pendidikan sekolah menengah pertama atau lebih tinggi kepada Departemen Keselamatan dan Keamanan pembeli, dan setiap orang diharuskan untuk memberikan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ascii="Times New Roman" w:hAnsi="Times New Roman" w:eastAsia="宋体" w:cs="Times New Roman"/>
          <w:color w:val="000000" w:themeColor="text1"/>
          <w:sz w:val="24"/>
          <w:szCs w:val="24"/>
          <w:highlight w:val="none"/>
          <w14:textFill>
            <w14:solidFill>
              <w14:schemeClr w14:val="tx1"/>
            </w14:solidFill>
          </w14:textFill>
        </w:rPr>
        <w:t xml:space="preserve"> foto terbaru berukuran satu inci ke Departemen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Administrasi</w:t>
      </w:r>
      <w:r>
        <w:rPr>
          <w:rFonts w:ascii="Times New Roman" w:hAnsi="Times New Roman" w:eastAsia="宋体" w:cs="Times New Roman"/>
          <w:color w:val="000000" w:themeColor="text1"/>
          <w:sz w:val="24"/>
          <w:szCs w:val="24"/>
          <w:highlight w:val="none"/>
          <w14:textFill>
            <w14:solidFill>
              <w14:schemeClr w14:val="tx1"/>
            </w14:solidFill>
          </w14:textFill>
        </w:rPr>
        <w:t xml:space="preserve"> untuk mendapatkan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kartu akses</w:t>
      </w:r>
      <w:r>
        <w:rPr>
          <w:rFonts w:ascii="Times New Roman" w:hAnsi="Times New Roman" w:eastAsia="宋体" w:cs="Times New Roman"/>
          <w:color w:val="000000" w:themeColor="text1"/>
          <w:sz w:val="24"/>
          <w:szCs w:val="24"/>
          <w:highlight w:val="none"/>
          <w14:textFill>
            <w14:solidFill>
              <w14:schemeClr w14:val="tx1"/>
            </w14:solidFill>
          </w14:textFill>
        </w:rPr>
        <w:t>.</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全体工作人员需提供劳动合同、身份证复印件、身体健康证明(一年以内县级以上医疗机构)及无职业健康禁忌症证明(加盖公章)、初中以上学历证明各一份上交采购人安全环保部，每人提供一张一寸近期免冠照片上交综合办公室办理门禁卡。</w:t>
      </w:r>
    </w:p>
    <w:p>
      <w:pPr>
        <w:pStyle w:val="19"/>
        <w:numPr>
          <w:ilvl w:val="0"/>
          <w:numId w:val="21"/>
        </w:numPr>
        <w:tabs>
          <w:tab w:val="left" w:pos="138"/>
        </w:tabs>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menyediakan asuransi kecelakaan kerja (berjanji bahwa penawar akan bertanggung jawab atas segala kecelakaan yang berhubungan dengan pekerjaan personil proyek ini dan dibubuhi stempel resmi) dan bukti asuransi kecelakaan sesuai dengan peraturan nasional dan persyaratan manajemen proyek outsourcing China Huadian Group, dan kedua jenis asuransi tersebut harus diserahkan ke pusat jaminan sosial setempat dan perusahaan asuransi dengan sertifikat stempel asli).</w:t>
      </w:r>
    </w:p>
    <w:p>
      <w:pPr>
        <w:pStyle w:val="19"/>
        <w:tabs>
          <w:tab w:val="left" w:pos="138"/>
        </w:tabs>
        <w:spacing w:line="360" w:lineRule="auto"/>
        <w:ind w:left="114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000000" w:themeColor="text1"/>
          <w:sz w:val="24"/>
          <w:szCs w:val="24"/>
          <w:highlight w:val="none"/>
          <w14:textFill>
            <w14:solidFill>
              <w14:schemeClr w14:val="tx1"/>
            </w14:solidFill>
          </w14:textFill>
        </w:rPr>
        <w:t>报价人按国家规定和中国华电集团外委工程管理要求提供作业人员工伤保险(承诺此项目人员若发生工伤事故由报价人负责并加盖公章)和意外伤害险</w:t>
      </w:r>
      <w:r>
        <w:rPr>
          <w:rFonts w:ascii="Times New Roman" w:hAnsi="Times New Roman" w:eastAsia="宋体" w:cs="Times New Roman"/>
          <w:color w:val="auto"/>
          <w:sz w:val="24"/>
          <w:szCs w:val="24"/>
          <w:highlight w:val="none"/>
        </w:rPr>
        <w:t>证明，两类保险需提交当地社保中心和保险公司出具原章证明)。</w:t>
      </w:r>
    </w:p>
    <w:p>
      <w:pPr>
        <w:pStyle w:val="19"/>
        <w:numPr>
          <w:ilvl w:val="0"/>
          <w:numId w:val="21"/>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auto"/>
          <w:sz w:val="24"/>
          <w:szCs w:val="24"/>
          <w:highlight w:val="none"/>
        </w:rPr>
        <w:t>The offeror shall provide the original ID card of the fire operator and the relevant operation certificate. Pekerjaa</w:t>
      </w:r>
      <w:r>
        <w:rPr>
          <w:rFonts w:ascii="Times New Roman" w:hAnsi="Times New Roman" w:eastAsia="宋体" w:cs="Times New Roman"/>
          <w:color w:val="000000" w:themeColor="text1"/>
          <w:sz w:val="24"/>
          <w:szCs w:val="24"/>
          <w:highlight w:val="none"/>
          <w14:textFill>
            <w14:solidFill>
              <w14:schemeClr w14:val="tx1"/>
            </w14:solidFill>
          </w14:textFill>
        </w:rPr>
        <w:t>n penawar dengan pembeli tunduk pada penilaian oleh departemen ketenagakerjaan pembeli dan penyerahan daftar ke Departemen Keselamatan dan Keamanan pembeli untuk persetujuan wewenang dan persiapan berkas setelah lulus ujian pelatihan.</w:t>
      </w:r>
    </w:p>
    <w:p>
      <w:pPr>
        <w:pStyle w:val="19"/>
        <w:spacing w:line="360" w:lineRule="auto"/>
        <w:ind w:left="114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报价人提供</w:t>
      </w:r>
      <w:r>
        <w:rPr>
          <w:rFonts w:hint="eastAsia" w:ascii="Times New Roman" w:hAnsi="Times New Roman" w:eastAsia="宋体" w:cs="Times New Roman"/>
          <w:color w:val="auto"/>
          <w:sz w:val="24"/>
          <w:szCs w:val="24"/>
          <w:highlight w:val="none"/>
          <w:lang w:val="en-US" w:eastAsia="zh-CN"/>
        </w:rPr>
        <w:t>消防</w:t>
      </w:r>
      <w:r>
        <w:rPr>
          <w:rFonts w:ascii="Times New Roman" w:hAnsi="Times New Roman" w:eastAsia="宋体" w:cs="Times New Roman"/>
          <w:color w:val="auto"/>
          <w:sz w:val="24"/>
          <w:szCs w:val="24"/>
          <w:highlight w:val="none"/>
        </w:rPr>
        <w:t>作业人员</w:t>
      </w:r>
      <w:r>
        <w:rPr>
          <w:rFonts w:hint="eastAsia" w:ascii="Times New Roman" w:hAnsi="Times New Roman" w:eastAsia="宋体" w:cs="Times New Roman"/>
          <w:color w:val="auto"/>
          <w:sz w:val="24"/>
          <w:szCs w:val="24"/>
          <w:highlight w:val="none"/>
          <w:lang w:val="en-US" w:eastAsia="zh-CN"/>
        </w:rPr>
        <w:t>身份证和相关作业证</w:t>
      </w:r>
      <w:r>
        <w:rPr>
          <w:rFonts w:ascii="Times New Roman" w:hAnsi="Times New Roman" w:eastAsia="宋体" w:cs="Times New Roman"/>
          <w:color w:val="auto"/>
          <w:sz w:val="24"/>
          <w:szCs w:val="24"/>
          <w:highlight w:val="none"/>
        </w:rPr>
        <w:t>原件。报价人在采购人工作需经采购人用工部门考核并提交名单至采购人安全环保部培训考试合格后批准权限、备档。</w:t>
      </w:r>
    </w:p>
    <w:p>
      <w:pPr>
        <w:pStyle w:val="19"/>
        <w:numPr>
          <w:ilvl w:val="0"/>
          <w:numId w:val="21"/>
        </w:numPr>
        <w:spacing w:line="360" w:lineRule="auto"/>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Report by the Offeror: Organization, safety measures and emergency plan</w:t>
      </w:r>
    </w:p>
    <w:p>
      <w:pPr>
        <w:pStyle w:val="19"/>
        <w:spacing w:line="360" w:lineRule="auto"/>
        <w:ind w:left="114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报价人上报</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组织机构、安全措施、应急预案</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auto"/>
          <w:sz w:val="24"/>
          <w:szCs w:val="24"/>
          <w:highlight w:val="none"/>
        </w:rPr>
        <w:t xml:space="preserve">Penawar memberikan </w:t>
      </w:r>
      <w:r>
        <w:rPr>
          <w:rFonts w:ascii="Times New Roman" w:hAnsi="Times New Roman" w:eastAsia="宋体" w:cs="Times New Roman"/>
          <w:color w:val="000000" w:themeColor="text1"/>
          <w:sz w:val="24"/>
          <w:szCs w:val="24"/>
          <w:highlight w:val="none"/>
          <w14:textFill>
            <w14:solidFill>
              <w14:schemeClr w14:val="tx1"/>
            </w14:solidFill>
          </w14:textFill>
        </w:rPr>
        <w:t>catatan pendidikan keselamatan tiga tingkat dari perusahaan ini, dan pembeli melakukan pelatihan, pendidikan, dan ujian keselamatan untuk semua staf proyek dari penawar setelah semua personil tiba di pabrik. Hanya setelah lulus ujian, mereka dapat memasuki lokasi operasi (bawalah pulpen dan buku Anda sendiri untuk pelatihan dan ujian).</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报价人提供本企业三级安全教育记录，全体人员到厂后采购人对报价人全体工作人员进行安全培训、教育及考试。考试合格后方可进入现场作业(培训、考试自带笔和本)。</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mengambil semua langkah dan cara yang diperlukan untuk memperkuat manajemen keselamatan kebakaran, meningkatkan tingkat keselamatan, dan mengembangkan sistem manajemen kebakaran yang ketat untuk memastikan keselamatan dan kesehatan personel di lokasi dan dalam pekerjaan pemadaman kebakaran.</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报价人必须采取一切必要措施和手段强化消防安全管理，提高安全水平，制定严格的消防管理制度以保证现场人员和消防工作中的安全与健康。</w:t>
      </w:r>
    </w:p>
    <w:p>
      <w:pPr>
        <w:pStyle w:val="7"/>
        <w:numPr>
          <w:ilvl w:val="0"/>
          <w:numId w:val="21"/>
        </w:numPr>
        <w:spacing w:after="0" w:line="360" w:lineRule="auto"/>
        <w:jc w:val="both"/>
        <w:rPr>
          <w:rFonts w:hint="default" w:hAnsi="Times New Roman" w:eastAsia="宋体" w:cs="Times New Roman"/>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Penawar harus menyediakan perlengkapan perlindungan tenaga kerja khusus pemadam kebakaran bagi semua petugas pemadam kebakaran (misalnya seragam tempur pemadam kebakaran, helm pemadam kebakaran, masker gas, dll.); dan melengkapi semua petugas pemadam kebakaran dengan perlengkapan perlindungan tenaga kerja harian yang memenuhi syarat serta bahan habis pakai kantor harian dan perlengkapan kerja manual yang umum. Perlengkapan perlindungan tenaga kerja harus memenuhi persyaratan peraturan K3 Indonesia (perlengkapan perlindungan tenaga kerja harian meliputi: sarung tangan pelindung tenaga kerja, pakaian kerja, helm pengaman, senter, penutup telinga, masker, sepatu pelindung tenaga kerja, sepatu bot pemadam kebakaran, dll.; bahan habis pakai harian meliputi perlengkapan kantor, printer, kertas cetak, buku catatan, kain lap, dll.; peralatan kerja manual yang umum termasuk kunci pas, tang pipa, obeng, dll.).</w:t>
      </w:r>
    </w:p>
    <w:p>
      <w:pPr>
        <w:pStyle w:val="7"/>
        <w:spacing w:after="0" w:line="360" w:lineRule="auto"/>
        <w:ind w:left="1140"/>
        <w:jc w:val="both"/>
        <w:rPr>
          <w:rFonts w:hint="default" w:hAnsi="Times New Roman" w:eastAsia="宋体" w:cs="Times New Roman"/>
          <w:color w:val="000000" w:themeColor="text1"/>
          <w:highlight w:val="none"/>
          <w14:textFill>
            <w14:solidFill>
              <w14:schemeClr w14:val="tx1"/>
            </w14:solidFill>
          </w14:textFill>
        </w:rPr>
      </w:pPr>
      <w:r>
        <w:rPr>
          <w:rFonts w:hint="default" w:hAnsi="Times New Roman" w:eastAsia="宋体" w:cs="Times New Roman"/>
          <w:color w:val="000000" w:themeColor="text1"/>
          <w:highlight w:val="none"/>
          <w14:textFill>
            <w14:solidFill>
              <w14:schemeClr w14:val="tx1"/>
            </w14:solidFill>
          </w14:textFill>
        </w:rPr>
        <w:t>报价人必须为所有消防队员提供特殊消防劳保用品（如：消防战斗服、消防头盔、防毒面具等）；为所有消防队员配备合格的日常劳动保护用品及日常办公耗材、常用手动工器具。劳保用品要符合印尼K3法规要求（日常劳保用品包括：劳保手套、工作服、安全帽、手电、防护耳塞、口罩、劳保鞋、消防靴等，日常消耗品包括办公用品、打印机、打印纸、记录本、擦机布等，常用手动工器具包含扳手、管钳、螺丝刀等）。</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Tanggung jawab atas cedera dan kerusakan peralatan dan fasilitas yang disebabkan oleh personil penawar yang melanggar peraturan dan ketentuan tentang keselamatan kerja ditanggung sepenuhnya oleh penawar secara mandiri</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由于报价人人员违反有关安全工作的规程、规定，造成人员伤亡和设备设施损坏事故，责任完全由报价人独立承担。</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Pemimpin proyek dari penawar adalah orang pertama yang bertanggung jawab atas keselamatan pemadam kebakaran dan secara pribadi harus fokus pada keselamatan, sistem manajemen yang ketat harus dibuat, lokasi harus dikonfigurasikan dengan personel yang bertanggung jawab atas keselamatan untuk memenuhi kebutuhan manajemen keselamatan pembeli, dan penawar harus menguasai sistem manajemen keselamatan yang relevan dari pembeli dan secara ketat mematuhinya.</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报价人的项目负责人是消防队的安全第一责任人，必须亲自抓安全，必须建立严密的管理制度，现场必须配置安全负责人员，满足采购人安全管理工作需要，报价人要掌握采购人相关安全管理制度并严格遵守。</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harus mengatur personilnya untuk mendengarkan pengarahan teknis keselamatan dengan seksama oleh personil manajemen keselamatan pembeli sesuai dengan persyaratan pembeli; langkah-langkah teknis keselamatan untuk pekerjaan pemadaman kebakaran harus dirumuskan sebelum pekerjaan dilakukan dan disetujui oleh personil manajemen keselamatan pembeli sebelum pekerjaan dimulai. Untuk proses pekerjaan pemadaman kebakaran di lokasi, penawar harus mematuhi semua sistem keselamatan dan menerima pengawasan keselamatan dari personil pembeli.</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应按照采购人要求组织其人员认真听取采购人安全管理人员的安全技术交底；工作前制定出消防工作安全技术措施，经采购人安全管理人员审核批准后方可开工。对于现场消防工作过程，报价人应遵守所有安全制度和接受采购人人员的安全监督。</w:t>
      </w:r>
    </w:p>
    <w:p>
      <w:pPr>
        <w:pStyle w:val="19"/>
        <w:numPr>
          <w:ilvl w:val="0"/>
          <w:numId w:val="21"/>
        </w:numPr>
        <w:spacing w:line="360" w:lineRule="auto"/>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Pemberi penawaran bertanggung jawab atas segala cedera pada personil yang disebabkan oleh kesalahan manajemen oleh pemberi penawaran atau oleh karyawannya yang bekerja dengan melanggar peraturan dan ketentuan, dan bertanggung jawab atas segala kerusakan peralatan yang disebabkan oleh pekerja personil pemberi penawaran.</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因报价人管理不善或因其员工违章作业造成的人员伤害，由报价人自行处理并承担全部责任，因报价人员工人为原因造成设备损坏由报价人承担赔偿责任。</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akan menyiapkan dokumen dan informasi di atas segera setelah menerima pemberitahuan pemenang dan memberikannya kepada Departemen Keselamatan dan Keamanan pembeli untuk ditinjau 5 hari kerja setelah menerima pemberitahuan masuk ke pabrik dan 5 hari kerja sebelum masuk secara resmi ke pabrik, jika bahan yang memenuhi syarat tidak disediakan dalam waktu 5 hari sejak waktu yang ditentukan, kontrak akan diputuskan.</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报价人在收到中标通知单后即刻准备上述文件资料，在接到采购人入厂通知后、正式入厂前5个工作日提供给采购人安全环保部审核，如果从规定时间开始5天内仍不能提供合格材料，将终止合同。</w:t>
      </w:r>
    </w:p>
    <w:p>
      <w:pPr>
        <w:pStyle w:val="19"/>
        <w:spacing w:line="360" w:lineRule="auto"/>
        <w:ind w:left="1140"/>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Lampiran: Daftar Informasi Personil</w:t>
      </w:r>
    </w:p>
    <w:p>
      <w:pPr>
        <w:spacing w:line="360" w:lineRule="auto"/>
        <w:ind w:firstLine="480" w:firstLineChars="200"/>
        <w:outlineLvl w:val="9"/>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附件：人员信息名单</w:t>
      </w:r>
    </w:p>
    <w:tbl>
      <w:tblPr>
        <w:tblStyle w:val="17"/>
        <w:tblW w:w="9245" w:type="dxa"/>
        <w:jc w:val="center"/>
        <w:tblInd w:w="0" w:type="dxa"/>
        <w:tblLayout w:type="fixed"/>
        <w:tblCellMar>
          <w:top w:w="0" w:type="dxa"/>
          <w:left w:w="108" w:type="dxa"/>
          <w:bottom w:w="0" w:type="dxa"/>
          <w:right w:w="108" w:type="dxa"/>
        </w:tblCellMar>
      </w:tblPr>
      <w:tblGrid>
        <w:gridCol w:w="483"/>
        <w:gridCol w:w="600"/>
        <w:gridCol w:w="600"/>
        <w:gridCol w:w="600"/>
        <w:gridCol w:w="600"/>
        <w:gridCol w:w="600"/>
        <w:gridCol w:w="682"/>
        <w:gridCol w:w="614"/>
        <w:gridCol w:w="648"/>
        <w:gridCol w:w="600"/>
        <w:gridCol w:w="648"/>
        <w:gridCol w:w="671"/>
        <w:gridCol w:w="671"/>
        <w:gridCol w:w="614"/>
        <w:gridCol w:w="614"/>
      </w:tblGrid>
      <w:tr>
        <w:tblPrEx>
          <w:tblLayout w:type="fixed"/>
          <w:tblCellMar>
            <w:top w:w="0" w:type="dxa"/>
            <w:left w:w="108" w:type="dxa"/>
            <w:bottom w:w="0" w:type="dxa"/>
            <w:right w:w="108" w:type="dxa"/>
          </w:tblCellMar>
        </w:tblPrEx>
        <w:trPr>
          <w:trHeight w:val="990" w:hRule="atLeast"/>
          <w:jc w:val="center"/>
        </w:trPr>
        <w:tc>
          <w:tcPr>
            <w:tcW w:w="483"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xml:space="preserve">nomor </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Times New Roman" w:hAnsi="Times New Roman" w:eastAsia="Times New Roman" w:cs="Times New Roman"/>
                <w:snapToGrid/>
                <w:color w:val="000000" w:themeColor="text1"/>
                <w:sz w:val="12"/>
                <w:szCs w:val="12"/>
                <w:highlight w:val="none"/>
                <w14:textFill>
                  <w14:solidFill>
                    <w14:schemeClr w14:val="tx1"/>
                  </w14:solidFill>
                </w14:textFill>
              </w:rPr>
              <w:t>seri</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序号</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Nama</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姓名</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jenis kelamin</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性</w:t>
            </w:r>
            <w:r>
              <w:rPr>
                <w:rFonts w:ascii="宋体" w:hAnsi="宋体" w:eastAsia="宋体" w:cs="宋体"/>
                <w:snapToGrid/>
                <w:color w:val="000000" w:themeColor="text1"/>
                <w:sz w:val="12"/>
                <w:szCs w:val="12"/>
                <w:highlight w:val="none"/>
                <w14:textFill>
                  <w14:solidFill>
                    <w14:schemeClr w14:val="tx1"/>
                  </w14:solidFill>
                </w14:textFill>
              </w:rPr>
              <w:t>别</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nomor ID</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身份</w:t>
            </w:r>
            <w:r>
              <w:rPr>
                <w:rFonts w:ascii="宋体" w:hAnsi="宋体" w:eastAsia="宋体" w:cs="宋体"/>
                <w:snapToGrid/>
                <w:color w:val="000000" w:themeColor="text1"/>
                <w:sz w:val="12"/>
                <w:szCs w:val="12"/>
                <w:highlight w:val="none"/>
                <w14:textFill>
                  <w14:solidFill>
                    <w14:schemeClr w14:val="tx1"/>
                  </w14:solidFill>
                </w14:textFill>
              </w:rPr>
              <w:t>证</w:t>
            </w:r>
            <w:r>
              <w:rPr>
                <w:rFonts w:ascii="MS Mincho" w:hAnsi="MS Mincho" w:eastAsia="MS Mincho" w:cs="MS Mincho"/>
                <w:snapToGrid/>
                <w:color w:val="000000" w:themeColor="text1"/>
                <w:sz w:val="12"/>
                <w:szCs w:val="12"/>
                <w:highlight w:val="none"/>
                <w14:textFill>
                  <w14:solidFill>
                    <w14:schemeClr w14:val="tx1"/>
                  </w14:solidFill>
                </w14:textFill>
              </w:rPr>
              <w:t>号</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Pos 1</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宋体" w:hAnsi="宋体" w:eastAsia="宋体" w:cs="宋体"/>
                <w:snapToGrid/>
                <w:color w:val="000000" w:themeColor="text1"/>
                <w:sz w:val="12"/>
                <w:szCs w:val="12"/>
                <w:highlight w:val="none"/>
                <w14:textFill>
                  <w14:solidFill>
                    <w14:schemeClr w14:val="tx1"/>
                  </w14:solidFill>
                </w14:textFill>
              </w:rPr>
              <w:t>岗位</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1</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Pos 2</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宋体" w:hAnsi="宋体" w:eastAsia="宋体" w:cs="宋体"/>
                <w:snapToGrid/>
                <w:color w:val="000000" w:themeColor="text1"/>
                <w:sz w:val="12"/>
                <w:szCs w:val="12"/>
                <w:highlight w:val="none"/>
                <w14:textFill>
                  <w14:solidFill>
                    <w14:schemeClr w14:val="tx1"/>
                  </w14:solidFill>
                </w14:textFill>
              </w:rPr>
              <w:t>岗位</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2</w:t>
            </w:r>
          </w:p>
        </w:tc>
        <w:tc>
          <w:tcPr>
            <w:tcW w:w="682"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Merupakan anggota inti</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是否核心成</w:t>
            </w:r>
            <w:r>
              <w:rPr>
                <w:rFonts w:ascii="宋体" w:hAnsi="宋体" w:eastAsia="宋体" w:cs="宋体"/>
                <w:snapToGrid/>
                <w:color w:val="000000" w:themeColor="text1"/>
                <w:sz w:val="12"/>
                <w:szCs w:val="12"/>
                <w:highlight w:val="none"/>
                <w14:textFill>
                  <w14:solidFill>
                    <w14:schemeClr w14:val="tx1"/>
                  </w14:solidFill>
                </w14:textFill>
              </w:rPr>
              <w:t>员</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t>Kategori pekerjaan</w:t>
            </w:r>
            <w:r>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br w:type="textWrapping"/>
            </w:r>
            <w:r>
              <w:rPr>
                <w:rFonts w:ascii="宋体" w:hAnsi="宋体" w:eastAsia="宋体" w:cs="宋体"/>
                <w:snapToGrid/>
                <w:color w:val="000000" w:themeColor="text1"/>
                <w:sz w:val="12"/>
                <w:szCs w:val="12"/>
                <w:highlight w:val="none"/>
                <w:lang w:val="zh-CN"/>
                <w14:textFill>
                  <w14:solidFill>
                    <w14:schemeClr w14:val="tx1"/>
                  </w14:solidFill>
                </w14:textFill>
              </w:rPr>
              <w:t>岗位类别</w:t>
            </w:r>
          </w:p>
        </w:tc>
        <w:tc>
          <w:tcPr>
            <w:tcW w:w="648"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kualifikasi akademik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学</w:t>
            </w:r>
            <w:r>
              <w:rPr>
                <w:rFonts w:ascii="宋体" w:hAnsi="宋体" w:eastAsia="宋体" w:cs="宋体"/>
                <w:snapToGrid/>
                <w:color w:val="000000" w:themeColor="text1"/>
                <w:sz w:val="12"/>
                <w:szCs w:val="12"/>
                <w:highlight w:val="none"/>
                <w14:textFill>
                  <w14:solidFill>
                    <w14:schemeClr w14:val="tx1"/>
                  </w14:solidFill>
                </w14:textFill>
              </w:rPr>
              <w:t>历</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usia</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年</w:t>
            </w:r>
            <w:r>
              <w:rPr>
                <w:rFonts w:ascii="宋体" w:hAnsi="宋体" w:eastAsia="宋体" w:cs="宋体"/>
                <w:snapToGrid/>
                <w:color w:val="000000" w:themeColor="text1"/>
                <w:sz w:val="12"/>
                <w:szCs w:val="12"/>
                <w:highlight w:val="none"/>
                <w14:textFill>
                  <w14:solidFill>
                    <w14:schemeClr w14:val="tx1"/>
                  </w14:solidFill>
                </w14:textFill>
              </w:rPr>
              <w:t>龄</w:t>
            </w:r>
          </w:p>
        </w:tc>
        <w:tc>
          <w:tcPr>
            <w:tcW w:w="648"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Sertifikat kualifikasi (ya/tidak)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宋体" w:hAnsi="宋体" w:eastAsia="宋体" w:cs="宋体"/>
                <w:snapToGrid/>
                <w:color w:val="000000" w:themeColor="text1"/>
                <w:sz w:val="12"/>
                <w:szCs w:val="12"/>
                <w:highlight w:val="none"/>
                <w14:textFill>
                  <w14:solidFill>
                    <w14:schemeClr w14:val="tx1"/>
                  </w14:solidFill>
                </w14:textFill>
              </w:rPr>
              <w:t>资质证书</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 xml:space="preserve"> (</w:t>
            </w:r>
            <w:r>
              <w:rPr>
                <w:rFonts w:ascii="MS Mincho" w:hAnsi="MS Mincho" w:eastAsia="MS Mincho" w:cs="MS Mincho"/>
                <w:snapToGrid/>
                <w:color w:val="000000" w:themeColor="text1"/>
                <w:sz w:val="12"/>
                <w:szCs w:val="12"/>
                <w:highlight w:val="none"/>
                <w14:textFill>
                  <w14:solidFill>
                    <w14:schemeClr w14:val="tx1"/>
                  </w14:solidFill>
                </w14:textFill>
              </w:rPr>
              <w:t>有</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无</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p>
        </w:tc>
        <w:tc>
          <w:tcPr>
            <w:tcW w:w="671"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Asuransi kecelakaan kerja</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Times New Roman" w:hAnsi="Times New Roman" w:eastAsia="Times New Roman" w:cs="Times New Roman"/>
                <w:snapToGrid/>
                <w:color w:val="000000" w:themeColor="text1"/>
                <w:sz w:val="12"/>
                <w:szCs w:val="12"/>
                <w:highlight w:val="none"/>
                <w14:textFill>
                  <w14:solidFill>
                    <w14:schemeClr w14:val="tx1"/>
                  </w14:solidFill>
                </w14:textFill>
              </w:rPr>
              <w:t>(ya/tidak)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工</w:t>
            </w:r>
            <w:r>
              <w:rPr>
                <w:rFonts w:ascii="宋体" w:hAnsi="宋体" w:eastAsia="宋体" w:cs="宋体"/>
                <w:snapToGrid/>
                <w:color w:val="000000" w:themeColor="text1"/>
                <w:sz w:val="12"/>
                <w:szCs w:val="12"/>
                <w:highlight w:val="none"/>
                <w14:textFill>
                  <w14:solidFill>
                    <w14:schemeClr w14:val="tx1"/>
                  </w14:solidFill>
                </w14:textFill>
              </w:rPr>
              <w:t>伤险</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 xml:space="preserve"> (</w:t>
            </w:r>
            <w:r>
              <w:rPr>
                <w:rFonts w:ascii="MS Mincho" w:hAnsi="MS Mincho" w:eastAsia="MS Mincho" w:cs="MS Mincho"/>
                <w:snapToGrid/>
                <w:color w:val="000000" w:themeColor="text1"/>
                <w:sz w:val="12"/>
                <w:szCs w:val="12"/>
                <w:highlight w:val="none"/>
                <w14:textFill>
                  <w14:solidFill>
                    <w14:schemeClr w14:val="tx1"/>
                  </w14:solidFill>
                </w14:textFill>
              </w:rPr>
              <w:t>有</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无</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p>
        </w:tc>
        <w:tc>
          <w:tcPr>
            <w:tcW w:w="671"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jaminan kecelakaan kerja</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Times New Roman" w:hAnsi="Times New Roman" w:eastAsia="Times New Roman" w:cs="Times New Roman"/>
                <w:snapToGrid/>
                <w:color w:val="000000" w:themeColor="text1"/>
                <w:sz w:val="12"/>
                <w:szCs w:val="12"/>
                <w:highlight w:val="none"/>
                <w14:textFill>
                  <w14:solidFill>
                    <w14:schemeClr w14:val="tx1"/>
                  </w14:solidFill>
                </w14:textFill>
              </w:rPr>
              <w:t>(ya/tidak)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意外</w:t>
            </w:r>
            <w:r>
              <w:rPr>
                <w:rFonts w:ascii="宋体" w:hAnsi="宋体" w:eastAsia="宋体" w:cs="宋体"/>
                <w:snapToGrid/>
                <w:color w:val="000000" w:themeColor="text1"/>
                <w:sz w:val="12"/>
                <w:szCs w:val="12"/>
                <w:highlight w:val="none"/>
                <w14:textFill>
                  <w14:solidFill>
                    <w14:schemeClr w14:val="tx1"/>
                  </w14:solidFill>
                </w14:textFill>
              </w:rPr>
              <w:t>险</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 xml:space="preserve"> (</w:t>
            </w:r>
            <w:r>
              <w:rPr>
                <w:rFonts w:ascii="MS Mincho" w:hAnsi="MS Mincho" w:eastAsia="MS Mincho" w:cs="MS Mincho"/>
                <w:snapToGrid/>
                <w:color w:val="000000" w:themeColor="text1"/>
                <w:sz w:val="12"/>
                <w:szCs w:val="12"/>
                <w:highlight w:val="none"/>
                <w14:textFill>
                  <w14:solidFill>
                    <w14:schemeClr w14:val="tx1"/>
                  </w14:solidFill>
                </w14:textFill>
              </w:rPr>
              <w:t>有</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无</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Sertifikat medis (ya/tidak)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MS Mincho" w:hAnsi="MS Mincho" w:eastAsia="MS Mincho" w:cs="MS Mincho"/>
                <w:snapToGrid/>
                <w:color w:val="000000" w:themeColor="text1"/>
                <w:sz w:val="12"/>
                <w:szCs w:val="12"/>
                <w:highlight w:val="none"/>
                <w14:textFill>
                  <w14:solidFill>
                    <w14:schemeClr w14:val="tx1"/>
                  </w14:solidFill>
                </w14:textFill>
              </w:rPr>
              <w:t>体</w:t>
            </w:r>
            <w:r>
              <w:rPr>
                <w:rFonts w:ascii="宋体" w:hAnsi="宋体" w:eastAsia="宋体" w:cs="宋体"/>
                <w:snapToGrid/>
                <w:color w:val="000000" w:themeColor="text1"/>
                <w:sz w:val="12"/>
                <w:szCs w:val="12"/>
                <w:highlight w:val="none"/>
                <w14:textFill>
                  <w14:solidFill>
                    <w14:schemeClr w14:val="tx1"/>
                  </w14:solidFill>
                </w14:textFill>
              </w:rPr>
              <w:t>检证明</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 xml:space="preserve"> (</w:t>
            </w:r>
            <w:r>
              <w:rPr>
                <w:rFonts w:ascii="MS Mincho" w:hAnsi="MS Mincho" w:eastAsia="MS Mincho" w:cs="MS Mincho"/>
                <w:snapToGrid/>
                <w:color w:val="000000" w:themeColor="text1"/>
                <w:sz w:val="12"/>
                <w:szCs w:val="12"/>
                <w:highlight w:val="none"/>
                <w14:textFill>
                  <w14:solidFill>
                    <w14:schemeClr w14:val="tx1"/>
                  </w14:solidFill>
                </w14:textFill>
              </w:rPr>
              <w:t>有</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无</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Kontrak kerja</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Times New Roman" w:hAnsi="Times New Roman" w:eastAsia="Times New Roman" w:cs="Times New Roman"/>
                <w:snapToGrid/>
                <w:color w:val="000000" w:themeColor="text1"/>
                <w:sz w:val="12"/>
                <w:szCs w:val="12"/>
                <w:highlight w:val="none"/>
                <w14:textFill>
                  <w14:solidFill>
                    <w14:schemeClr w14:val="tx1"/>
                  </w14:solidFill>
                </w14:textFill>
              </w:rPr>
              <w:t>(ya/tidak)</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宋体" w:hAnsi="宋体" w:eastAsia="宋体" w:cs="宋体"/>
                <w:snapToGrid/>
                <w:color w:val="000000" w:themeColor="text1"/>
                <w:sz w:val="12"/>
                <w:szCs w:val="12"/>
                <w:highlight w:val="none"/>
                <w14:textFill>
                  <w14:solidFill>
                    <w14:schemeClr w14:val="tx1"/>
                  </w14:solidFill>
                </w14:textFill>
              </w:rPr>
              <w:t>劳动合同</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br w:type="textWrapping"/>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有</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r>
              <w:rPr>
                <w:rFonts w:ascii="MS Mincho" w:hAnsi="MS Mincho" w:eastAsia="MS Mincho" w:cs="MS Mincho"/>
                <w:snapToGrid/>
                <w:color w:val="000000" w:themeColor="text1"/>
                <w:sz w:val="12"/>
                <w:szCs w:val="12"/>
                <w:highlight w:val="none"/>
                <w14:textFill>
                  <w14:solidFill>
                    <w14:schemeClr w14:val="tx1"/>
                  </w14:solidFill>
                </w14:textFill>
              </w:rPr>
              <w:t>无</w:t>
            </w:r>
            <w:r>
              <w:rPr>
                <w:rFonts w:ascii="Times New Roman" w:hAnsi="Times New Roman" w:eastAsia="Times New Roman" w:cs="Times New Roman"/>
                <w:snapToGrid/>
                <w:color w:val="000000" w:themeColor="text1"/>
                <w:sz w:val="12"/>
                <w:szCs w:val="12"/>
                <w:highlight w:val="none"/>
                <w14:textFill>
                  <w14:solidFill>
                    <w14:schemeClr w14:val="tx1"/>
                  </w14:solidFill>
                </w14:textFill>
              </w:rPr>
              <w:t>)</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2</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3</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4</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5</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6</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7</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8</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9</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10</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single" w:color="auto" w:sz="4" w:space="0"/>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11</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single" w:color="auto" w:sz="4" w:space="0"/>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12</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13</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14</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15</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16</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r>
        <w:tblPrEx>
          <w:tblLayout w:type="fixed"/>
          <w:tblCellMar>
            <w:top w:w="0" w:type="dxa"/>
            <w:left w:w="108" w:type="dxa"/>
            <w:bottom w:w="0" w:type="dxa"/>
            <w:right w:w="108" w:type="dxa"/>
          </w:tblCellMar>
        </w:tblPrEx>
        <w:trPr>
          <w:trHeight w:val="300" w:hRule="atLeast"/>
          <w:jc w:val="center"/>
        </w:trPr>
        <w:tc>
          <w:tcPr>
            <w:tcW w:w="483" w:type="dxa"/>
            <w:tcBorders>
              <w:top w:val="nil"/>
              <w:left w:val="single" w:color="auto" w:sz="4" w:space="0"/>
              <w:bottom w:val="single" w:color="auto" w:sz="4" w:space="0"/>
              <w:right w:val="single" w:color="auto" w:sz="4" w:space="0"/>
            </w:tcBorders>
            <w:shd w:val="clear" w:color="auto" w:fill="auto"/>
            <w:vAlign w:val="center"/>
          </w:tcPr>
          <w:p>
            <w:pPr>
              <w:kinsoku/>
              <w:autoSpaceDE/>
              <w:autoSpaceDN/>
              <w:adjustRightInd/>
              <w:snapToGrid/>
              <w:jc w:val="center"/>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17</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82"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00"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48"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71"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c>
          <w:tcPr>
            <w:tcW w:w="614" w:type="dxa"/>
            <w:tcBorders>
              <w:top w:val="nil"/>
              <w:left w:val="nil"/>
              <w:bottom w:val="single" w:color="auto" w:sz="4" w:space="0"/>
              <w:right w:val="single" w:color="auto" w:sz="4" w:space="0"/>
            </w:tcBorders>
            <w:shd w:val="clear" w:color="auto" w:fill="auto"/>
            <w:vAlign w:val="center"/>
          </w:tcPr>
          <w:p>
            <w:pPr>
              <w:kinsoku/>
              <w:autoSpaceDE/>
              <w:autoSpaceDN/>
              <w:adjustRightInd/>
              <w:snapToGrid/>
              <w:ind w:firstLine="240" w:firstLineChars="200"/>
              <w:textAlignment w:val="auto"/>
              <w:rPr>
                <w:rFonts w:ascii="Times New Roman" w:hAnsi="Times New Roman" w:eastAsia="Times New Roman" w:cs="Times New Roman"/>
                <w:snapToGrid/>
                <w:color w:val="000000" w:themeColor="text1"/>
                <w:sz w:val="12"/>
                <w:szCs w:val="12"/>
                <w:highlight w:val="none"/>
                <w:lang w:val="zh-CN"/>
                <w14:textFill>
                  <w14:solidFill>
                    <w14:schemeClr w14:val="tx1"/>
                  </w14:solidFill>
                </w14:textFill>
              </w:rPr>
            </w:pPr>
            <w:r>
              <w:rPr>
                <w:rFonts w:ascii="Times New Roman" w:hAnsi="Times New Roman" w:eastAsia="Times New Roman" w:cs="Times New Roman"/>
                <w:snapToGrid/>
                <w:color w:val="000000" w:themeColor="text1"/>
                <w:sz w:val="12"/>
                <w:szCs w:val="12"/>
                <w:highlight w:val="none"/>
                <w14:textFill>
                  <w14:solidFill>
                    <w14:schemeClr w14:val="tx1"/>
                  </w14:solidFill>
                </w14:textFill>
              </w:rPr>
              <w:t> </w:t>
            </w:r>
          </w:p>
        </w:tc>
      </w:tr>
    </w:tbl>
    <w:p>
      <w:pPr>
        <w:pStyle w:val="7"/>
        <w:ind w:left="426"/>
        <w:rPr>
          <w:rFonts w:hint="default"/>
          <w:color w:val="000000" w:themeColor="text1"/>
          <w:highlight w:val="none"/>
          <w14:textFill>
            <w14:solidFill>
              <w14:schemeClr w14:val="tx1"/>
            </w14:solidFill>
          </w14:textFill>
        </w:rPr>
      </w:pPr>
    </w:p>
    <w:p>
      <w:pPr>
        <w:pStyle w:val="7"/>
        <w:spacing w:after="0" w:line="360" w:lineRule="auto"/>
        <w:ind w:left="426"/>
        <w:rPr>
          <w:rFonts w:hint="default" w:hAnsi="Times New Roman" w:cs="Times New Roman"/>
          <w:color w:val="000000" w:themeColor="text1"/>
          <w:highlight w:val="none"/>
          <w14:textFill>
            <w14:solidFill>
              <w14:schemeClr w14:val="tx1"/>
            </w14:solidFill>
          </w14:textFill>
        </w:rPr>
      </w:pPr>
      <w:r>
        <w:rPr>
          <w:rFonts w:hint="default" w:hAnsi="Times New Roman" w:cs="Times New Roman"/>
          <w:color w:val="000000" w:themeColor="text1"/>
          <w:highlight w:val="none"/>
          <w14:textFill>
            <w14:solidFill>
              <w14:schemeClr w14:val="tx1"/>
            </w14:solidFill>
          </w14:textFill>
        </w:rPr>
        <w:t>Keterangan</w:t>
      </w:r>
    </w:p>
    <w:p>
      <w:pPr>
        <w:spacing w:line="360" w:lineRule="auto"/>
        <w:ind w:left="426"/>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备注：</w:t>
      </w:r>
    </w:p>
    <w:p>
      <w:pPr>
        <w:pStyle w:val="7"/>
        <w:spacing w:after="0" w:line="360" w:lineRule="auto"/>
        <w:ind w:left="426"/>
        <w:rPr>
          <w:rFonts w:hint="default" w:hAnsi="Times New Roman" w:cs="Times New Roman"/>
          <w:color w:val="000000" w:themeColor="text1"/>
          <w:highlight w:val="none"/>
          <w14:textFill>
            <w14:solidFill>
              <w14:schemeClr w14:val="tx1"/>
            </w14:solidFill>
          </w14:textFill>
        </w:rPr>
      </w:pPr>
      <w:r>
        <w:rPr>
          <w:rFonts w:hint="default" w:hAnsi="Times New Roman" w:cs="Times New Roman"/>
          <w:color w:val="000000" w:themeColor="text1"/>
          <w:highlight w:val="none"/>
          <w14:textFill>
            <w14:solidFill>
              <w14:schemeClr w14:val="tx1"/>
            </w14:solidFill>
          </w14:textFill>
        </w:rPr>
        <w:t>Posisi 1: Pemimpin proyek, kepala pemadam kebakaran</w:t>
      </w:r>
    </w:p>
    <w:p>
      <w:pPr>
        <w:spacing w:line="360" w:lineRule="auto"/>
        <w:ind w:left="426"/>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岗位1：项目负责人、消防队长</w:t>
      </w:r>
    </w:p>
    <w:p>
      <w:pPr>
        <w:pStyle w:val="7"/>
        <w:spacing w:after="0" w:line="360" w:lineRule="auto"/>
        <w:ind w:left="426"/>
        <w:rPr>
          <w:rFonts w:hint="default" w:hAnsi="Times New Roman" w:cs="Times New Roman"/>
          <w:color w:val="000000" w:themeColor="text1"/>
          <w:highlight w:val="none"/>
          <w14:textFill>
            <w14:solidFill>
              <w14:schemeClr w14:val="tx1"/>
            </w14:solidFill>
          </w14:textFill>
        </w:rPr>
      </w:pPr>
      <w:r>
        <w:rPr>
          <w:rFonts w:hint="default" w:hAnsi="Times New Roman" w:cs="Times New Roman"/>
          <w:color w:val="000000" w:themeColor="text1"/>
          <w:highlight w:val="none"/>
          <w14:textFill>
            <w14:solidFill>
              <w14:schemeClr w14:val="tx1"/>
            </w14:solidFill>
          </w14:textFill>
        </w:rPr>
        <w:t>Posisi 2: Personel manajemen umum, personel manajemen layanan</w:t>
      </w:r>
      <w:bookmarkStart w:id="13" w:name="_bookmark140"/>
      <w:bookmarkEnd w:id="13"/>
    </w:p>
    <w:p>
      <w:pPr>
        <w:spacing w:line="360" w:lineRule="auto"/>
        <w:ind w:left="426"/>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岗位2：一般管理人员、服务管理人员</w:t>
      </w:r>
    </w:p>
    <w:p>
      <w:pPr>
        <w:pStyle w:val="7"/>
        <w:spacing w:after="0" w:line="360" w:lineRule="auto"/>
        <w:ind w:left="426"/>
        <w:rPr>
          <w:rFonts w:hint="default" w:hAnsi="Times New Roman" w:cs="Times New Roman"/>
          <w:color w:val="000000" w:themeColor="text1"/>
          <w:highlight w:val="none"/>
          <w14:textFill>
            <w14:solidFill>
              <w14:schemeClr w14:val="tx1"/>
            </w14:solidFill>
          </w14:textFill>
        </w:rPr>
      </w:pPr>
      <w:r>
        <w:rPr>
          <w:rFonts w:hint="default" w:hAnsi="Times New Roman" w:cs="Times New Roman"/>
          <w:color w:val="000000" w:themeColor="text1"/>
          <w:highlight w:val="none"/>
          <w14:textFill>
            <w14:solidFill>
              <w14:schemeClr w14:val="tx1"/>
            </w14:solidFill>
          </w14:textFill>
        </w:rPr>
        <w:t>Kategori jabatan: pos manajemen umum, pos produksi, pos dinas, pos absen</w:t>
      </w:r>
    </w:p>
    <w:p>
      <w:pPr>
        <w:spacing w:line="360" w:lineRule="auto"/>
        <w:ind w:left="426"/>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岗位类别：一般管理岗、生产岗、服务岗、不在岗</w:t>
      </w:r>
    </w:p>
    <w:p>
      <w:pPr>
        <w:pStyle w:val="7"/>
        <w:spacing w:after="0" w:line="360" w:lineRule="auto"/>
        <w:rPr>
          <w:rFonts w:hint="default" w:hAnsi="Times New Roman" w:cs="Times New Roman"/>
          <w:color w:val="000000" w:themeColor="text1"/>
          <w:highlight w:val="none"/>
          <w14:textFill>
            <w14:solidFill>
              <w14:schemeClr w14:val="tx1"/>
            </w14:solidFill>
          </w14:textFill>
        </w:rPr>
      </w:pPr>
    </w:p>
    <w:p>
      <w:pPr>
        <w:pStyle w:val="7"/>
        <w:numPr>
          <w:ilvl w:val="0"/>
          <w:numId w:val="22"/>
        </w:numPr>
        <w:spacing w:after="0" w:line="360" w:lineRule="auto"/>
        <w:ind w:left="720" w:leftChars="0" w:hanging="360" w:firstLineChars="0"/>
        <w:jc w:val="both"/>
        <w:outlineLvl w:val="9"/>
        <w:rPr>
          <w:rFonts w:hint="default" w:hAnsi="Times New Roman" w:eastAsia="宋体" w:cs="Times New Roman"/>
          <w:b/>
          <w:bCs/>
          <w:color w:val="000000" w:themeColor="text1"/>
          <w:highlight w:val="none"/>
          <w14:textFill>
            <w14:solidFill>
              <w14:schemeClr w14:val="tx1"/>
            </w14:solidFill>
          </w14:textFill>
        </w:rPr>
      </w:pPr>
      <w:r>
        <w:rPr>
          <w:rFonts w:hint="default" w:hAnsi="Times New Roman" w:eastAsia="宋体" w:cs="Times New Roman"/>
          <w:b/>
          <w:bCs/>
          <w:color w:val="000000" w:themeColor="text1"/>
          <w:highlight w:val="none"/>
          <w14:textFill>
            <w14:solidFill>
              <w14:schemeClr w14:val="tx1"/>
            </w14:solidFill>
          </w14:textFill>
        </w:rPr>
        <w:t>Durasi Proyek</w:t>
      </w:r>
    </w:p>
    <w:p>
      <w:pPr>
        <w:pStyle w:val="7"/>
        <w:spacing w:after="0" w:line="360" w:lineRule="auto"/>
        <w:ind w:left="720"/>
        <w:jc w:val="both"/>
        <w:rPr>
          <w:rFonts w:hint="default" w:hAnsi="Times New Roman" w:eastAsia="宋体" w:cs="Times New Roman"/>
          <w:b/>
          <w:bCs/>
          <w:color w:val="000000" w:themeColor="text1"/>
          <w:highlight w:val="none"/>
          <w14:textFill>
            <w14:solidFill>
              <w14:schemeClr w14:val="tx1"/>
            </w14:solidFill>
          </w14:textFill>
        </w:rPr>
      </w:pPr>
      <w:r>
        <w:rPr>
          <w:rFonts w:hint="default" w:hAnsi="Times New Roman" w:eastAsia="黑体" w:cs="Times New Roman"/>
          <w:b/>
          <w:bCs/>
          <w:color w:val="000000" w:themeColor="text1"/>
          <w:highlight w:val="none"/>
          <w14:textFill>
            <w14:solidFill>
              <w14:schemeClr w14:val="tx1"/>
            </w14:solidFill>
          </w14:textFill>
        </w:rPr>
        <w:t>项目工期</w:t>
      </w:r>
    </w:p>
    <w:p>
      <w:pPr>
        <w:pStyle w:val="7"/>
        <w:spacing w:after="0" w:line="360" w:lineRule="auto"/>
        <w:ind w:left="709"/>
        <w:jc w:val="both"/>
        <w:rPr>
          <w:rFonts w:hint="default" w:hAnsi="Times New Roman" w:eastAsia="黑体" w:cs="Times New Roman"/>
          <w:color w:val="000000" w:themeColor="text1"/>
          <w:highlight w:val="none"/>
          <w14:textFill>
            <w14:solidFill>
              <w14:schemeClr w14:val="tx1"/>
            </w14:solidFill>
          </w14:textFill>
        </w:rPr>
      </w:pPr>
      <w:r>
        <w:rPr>
          <w:rFonts w:hint="default" w:hAnsi="Times New Roman" w:eastAsia="黑体" w:cs="Times New Roman"/>
          <w:color w:val="000000" w:themeColor="text1"/>
          <w:highlight w:val="none"/>
          <w14:textFill>
            <w14:solidFill>
              <w14:schemeClr w14:val="tx1"/>
            </w14:solidFill>
          </w14:textFill>
        </w:rPr>
        <w:t xml:space="preserve">Penawar melakukan pekerjaan proyek layanan manajemen proteksi kebakaran pembangkit listrik, dan periode layanan dimulai dari </w:t>
      </w:r>
      <w:r>
        <w:rPr>
          <w:rFonts w:hint="eastAsia" w:hAnsi="Times New Roman" w:eastAsia="仿宋" w:cs="Times New Roman"/>
          <w:color w:val="auto"/>
          <w:sz w:val="24"/>
          <w:szCs w:val="24"/>
          <w:highlight w:val="none"/>
          <w:lang w:val="en-US" w:eastAsia="zh-CN"/>
        </w:rPr>
        <w:t>1</w:t>
      </w:r>
      <w:r>
        <w:rPr>
          <w:rFonts w:hint="eastAsia" w:ascii="Times New Roman" w:hAnsi="Times New Roman" w:eastAsia="仿宋" w:cs="Times New Roman"/>
          <w:color w:val="auto"/>
          <w:sz w:val="24"/>
          <w:szCs w:val="24"/>
          <w:highlight w:val="none"/>
          <w:lang w:val="en-US" w:eastAsia="zh-CN"/>
        </w:rPr>
        <w:t xml:space="preserve"> </w:t>
      </w:r>
      <w:r>
        <w:rPr>
          <w:rFonts w:hint="eastAsia" w:hAnsi="Times New Roman" w:eastAsia="仿宋" w:cs="Times New Roman"/>
          <w:color w:val="auto"/>
          <w:sz w:val="24"/>
          <w:szCs w:val="24"/>
          <w:highlight w:val="none"/>
          <w:lang w:val="en-US" w:eastAsia="zh-CN"/>
        </w:rPr>
        <w:t xml:space="preserve">Juni </w:t>
      </w:r>
      <w:r>
        <w:rPr>
          <w:rFonts w:hint="default" w:ascii="Times New Roman" w:hAnsi="Times New Roman" w:eastAsia="仿宋" w:cs="Times New Roman"/>
          <w:color w:val="auto"/>
          <w:sz w:val="24"/>
          <w:szCs w:val="24"/>
          <w:highlight w:val="none"/>
          <w:lang w:val="zh-CN"/>
        </w:rPr>
        <w:t>202</w:t>
      </w:r>
      <w:r>
        <w:rPr>
          <w:rFonts w:hint="eastAsia"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lang w:val="zh-CN"/>
        </w:rPr>
        <w:t xml:space="preserve"> hingga </w:t>
      </w:r>
      <w:r>
        <w:rPr>
          <w:rFonts w:hint="eastAsia" w:hAnsi="Times New Roman" w:eastAsia="仿宋" w:cs="Times New Roman"/>
          <w:color w:val="auto"/>
          <w:sz w:val="24"/>
          <w:szCs w:val="24"/>
          <w:highlight w:val="none"/>
          <w:lang w:val="en-US" w:eastAsia="zh-CN"/>
        </w:rPr>
        <w:t>31</w:t>
      </w:r>
      <w:r>
        <w:rPr>
          <w:rFonts w:hint="eastAsia" w:ascii="Times New Roman" w:hAnsi="Times New Roman" w:eastAsia="仿宋" w:cs="Times New Roman"/>
          <w:color w:val="auto"/>
          <w:sz w:val="24"/>
          <w:szCs w:val="24"/>
          <w:highlight w:val="none"/>
          <w:lang w:val="en-US" w:eastAsia="zh-CN"/>
        </w:rPr>
        <w:t xml:space="preserve"> </w:t>
      </w:r>
      <w:r>
        <w:rPr>
          <w:rFonts w:hint="eastAsia" w:hAnsi="Times New Roman" w:eastAsia="仿宋" w:cs="Times New Roman"/>
          <w:color w:val="auto"/>
          <w:sz w:val="24"/>
          <w:szCs w:val="24"/>
          <w:highlight w:val="none"/>
          <w:lang w:val="en-US" w:eastAsia="zh-CN"/>
        </w:rPr>
        <w:t xml:space="preserve">Mei </w:t>
      </w:r>
      <w:r>
        <w:rPr>
          <w:rFonts w:hint="default" w:ascii="Times New Roman" w:hAnsi="Times New Roman" w:eastAsia="仿宋" w:cs="Times New Roman"/>
          <w:color w:val="auto"/>
          <w:sz w:val="24"/>
          <w:szCs w:val="24"/>
          <w:highlight w:val="none"/>
          <w:lang w:val="zh-CN"/>
        </w:rPr>
        <w:t>202</w:t>
      </w:r>
      <w:r>
        <w:rPr>
          <w:rFonts w:hint="eastAsia" w:ascii="Times New Roman" w:hAnsi="Times New Roman" w:eastAsia="仿宋" w:cs="Times New Roman"/>
          <w:color w:val="auto"/>
          <w:sz w:val="24"/>
          <w:szCs w:val="24"/>
          <w:highlight w:val="none"/>
          <w:lang w:val="en-US" w:eastAsia="zh-CN"/>
        </w:rPr>
        <w:t>5</w:t>
      </w:r>
      <w:r>
        <w:rPr>
          <w:rFonts w:hint="default" w:hAnsi="Times New Roman" w:eastAsia="黑体" w:cs="Times New Roman"/>
          <w:color w:val="000000" w:themeColor="text1"/>
          <w:highlight w:val="none"/>
          <w14:textFill>
            <w14:solidFill>
              <w14:schemeClr w14:val="tx1"/>
            </w14:solidFill>
          </w14:textFill>
        </w:rPr>
        <w:t>.</w:t>
      </w:r>
    </w:p>
    <w:p>
      <w:pPr>
        <w:pStyle w:val="7"/>
        <w:spacing w:after="0" w:line="360" w:lineRule="auto"/>
        <w:ind w:left="709"/>
        <w:jc w:val="both"/>
        <w:rPr>
          <w:rFonts w:hint="default" w:hAnsi="Times New Roman" w:eastAsia="宋体" w:cs="Times New Roman"/>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报价人承担电站消防管理服务项目工作，服务期限自</w:t>
      </w:r>
      <w:r>
        <w:rPr>
          <w:rFonts w:hint="eastAsia" w:hAnsi="Times New Roman" w:eastAsia="宋体" w:cs="Times New Roman"/>
          <w:color w:val="000000" w:themeColor="text1"/>
          <w:highlight w:val="none"/>
          <w:lang w:val="en-US" w:eastAsia="zh-CN"/>
          <w14:textFill>
            <w14:solidFill>
              <w14:schemeClr w14:val="tx1"/>
            </w14:solidFill>
          </w14:textFill>
        </w:rPr>
        <w:t>2025</w:t>
      </w:r>
      <w:r>
        <w:rPr>
          <w:rFonts w:hAnsi="Times New Roman" w:eastAsia="宋体" w:cs="Times New Roman"/>
          <w:color w:val="000000" w:themeColor="text1"/>
          <w:highlight w:val="none"/>
          <w14:textFill>
            <w14:solidFill>
              <w14:schemeClr w14:val="tx1"/>
            </w14:solidFill>
          </w14:textFill>
        </w:rPr>
        <w:t>年</w:t>
      </w:r>
      <w:r>
        <w:rPr>
          <w:rFonts w:hint="eastAsia" w:hAnsi="Times New Roman" w:eastAsia="宋体" w:cs="Times New Roman"/>
          <w:color w:val="000000" w:themeColor="text1"/>
          <w:highlight w:val="none"/>
          <w:lang w:val="en-US" w:eastAsia="zh-CN"/>
          <w14:textFill>
            <w14:solidFill>
              <w14:schemeClr w14:val="tx1"/>
            </w14:solidFill>
          </w14:textFill>
        </w:rPr>
        <w:t>6</w:t>
      </w:r>
      <w:r>
        <w:rPr>
          <w:rFonts w:hAnsi="Times New Roman" w:eastAsia="宋体" w:cs="Times New Roman"/>
          <w:color w:val="000000" w:themeColor="text1"/>
          <w:highlight w:val="none"/>
          <w14:textFill>
            <w14:solidFill>
              <w14:schemeClr w14:val="tx1"/>
            </w14:solidFill>
          </w14:textFill>
        </w:rPr>
        <w:t>月</w:t>
      </w:r>
      <w:r>
        <w:rPr>
          <w:rFonts w:hint="eastAsia" w:hAnsi="Times New Roman" w:eastAsia="宋体" w:cs="Times New Roman"/>
          <w:color w:val="000000" w:themeColor="text1"/>
          <w:highlight w:val="none"/>
          <w:lang w:val="en-US" w:eastAsia="zh-CN"/>
          <w14:textFill>
            <w14:solidFill>
              <w14:schemeClr w14:val="tx1"/>
            </w14:solidFill>
          </w14:textFill>
        </w:rPr>
        <w:t>1</w:t>
      </w:r>
      <w:r>
        <w:rPr>
          <w:rFonts w:hAnsi="Times New Roman" w:eastAsia="宋体" w:cs="Times New Roman"/>
          <w:color w:val="000000" w:themeColor="text1"/>
          <w:highlight w:val="none"/>
          <w14:textFill>
            <w14:solidFill>
              <w14:schemeClr w14:val="tx1"/>
            </w14:solidFill>
          </w14:textFill>
        </w:rPr>
        <w:t xml:space="preserve">日      </w:t>
      </w:r>
    </w:p>
    <w:p>
      <w:pPr>
        <w:pStyle w:val="7"/>
        <w:spacing w:after="0" w:line="360" w:lineRule="auto"/>
        <w:ind w:left="709"/>
        <w:jc w:val="both"/>
        <w:rPr>
          <w:rFonts w:hint="default" w:hAnsi="Times New Roman" w:eastAsia="宋体" w:cs="Times New Roman"/>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日起至</w:t>
      </w:r>
      <w:r>
        <w:rPr>
          <w:rFonts w:hint="eastAsia" w:hAnsi="Times New Roman" w:eastAsia="宋体" w:cs="Times New Roman"/>
          <w:color w:val="000000" w:themeColor="text1"/>
          <w:highlight w:val="none"/>
          <w:lang w:val="en-US" w:eastAsia="zh-CN"/>
          <w14:textFill>
            <w14:solidFill>
              <w14:schemeClr w14:val="tx1"/>
            </w14:solidFill>
          </w14:textFill>
        </w:rPr>
        <w:t>2026</w:t>
      </w:r>
      <w:r>
        <w:rPr>
          <w:rFonts w:hAnsi="Times New Roman" w:eastAsia="宋体" w:cs="Times New Roman"/>
          <w:color w:val="000000" w:themeColor="text1"/>
          <w:highlight w:val="none"/>
          <w14:textFill>
            <w14:solidFill>
              <w14:schemeClr w14:val="tx1"/>
            </w14:solidFill>
          </w14:textFill>
        </w:rPr>
        <w:t>年</w:t>
      </w:r>
      <w:r>
        <w:rPr>
          <w:rFonts w:hint="eastAsia" w:hAnsi="Times New Roman" w:eastAsia="宋体" w:cs="Times New Roman"/>
          <w:color w:val="000000" w:themeColor="text1"/>
          <w:highlight w:val="none"/>
          <w:lang w:val="en-US" w:eastAsia="zh-CN"/>
          <w14:textFill>
            <w14:solidFill>
              <w14:schemeClr w14:val="tx1"/>
            </w14:solidFill>
          </w14:textFill>
        </w:rPr>
        <w:t>5</w:t>
      </w:r>
      <w:r>
        <w:rPr>
          <w:rFonts w:hAnsi="Times New Roman" w:eastAsia="宋体" w:cs="Times New Roman"/>
          <w:color w:val="000000" w:themeColor="text1"/>
          <w:highlight w:val="none"/>
          <w14:textFill>
            <w14:solidFill>
              <w14:schemeClr w14:val="tx1"/>
            </w14:solidFill>
          </w14:textFill>
        </w:rPr>
        <w:t>月</w:t>
      </w:r>
      <w:r>
        <w:rPr>
          <w:rFonts w:hint="eastAsia" w:hAnsi="Times New Roman" w:eastAsia="宋体" w:cs="Times New Roman"/>
          <w:color w:val="000000" w:themeColor="text1"/>
          <w:highlight w:val="none"/>
          <w:lang w:val="en-US" w:eastAsia="zh-CN"/>
          <w14:textFill>
            <w14:solidFill>
              <w14:schemeClr w14:val="tx1"/>
            </w14:solidFill>
          </w14:textFill>
        </w:rPr>
        <w:t>31</w:t>
      </w:r>
      <w:r>
        <w:rPr>
          <w:rFonts w:hAnsi="Times New Roman" w:eastAsia="宋体" w:cs="Times New Roman"/>
          <w:color w:val="000000" w:themeColor="text1"/>
          <w:highlight w:val="none"/>
          <w14:textFill>
            <w14:solidFill>
              <w14:schemeClr w14:val="tx1"/>
            </w14:solidFill>
          </w14:textFill>
        </w:rPr>
        <w:t xml:space="preserve">日      </w:t>
      </w:r>
    </w:p>
    <w:p>
      <w:pPr>
        <w:pStyle w:val="7"/>
        <w:spacing w:after="0" w:line="360" w:lineRule="auto"/>
        <w:jc w:val="both"/>
        <w:rPr>
          <w:rFonts w:hint="default" w:hAnsi="Times New Roman" w:eastAsia="宋体" w:cs="Times New Roman"/>
          <w:color w:val="000000" w:themeColor="text1"/>
          <w:highlight w:val="none"/>
          <w14:textFill>
            <w14:solidFill>
              <w14:schemeClr w14:val="tx1"/>
            </w14:solidFill>
          </w14:textFill>
        </w:rPr>
      </w:pPr>
    </w:p>
    <w:p>
      <w:pPr>
        <w:pStyle w:val="19"/>
        <w:numPr>
          <w:ilvl w:val="0"/>
          <w:numId w:val="23"/>
        </w:numPr>
        <w:tabs>
          <w:tab w:val="left" w:pos="567"/>
          <w:tab w:val="left" w:pos="709"/>
        </w:tabs>
        <w:spacing w:line="360" w:lineRule="auto"/>
        <w:ind w:left="567" w:leftChars="0" w:hanging="360" w:firstLineChars="0"/>
        <w:jc w:val="both"/>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bookmarkStart w:id="14" w:name="_bookmark141"/>
      <w:bookmarkEnd w:id="14"/>
      <w:r>
        <w:rPr>
          <w:rFonts w:ascii="Times New Roman" w:hAnsi="Times New Roman" w:eastAsia="宋体" w:cs="Times New Roman"/>
          <w:b/>
          <w:bCs/>
          <w:color w:val="000000" w:themeColor="text1"/>
          <w:sz w:val="24"/>
          <w:szCs w:val="24"/>
          <w:highlight w:val="none"/>
          <w14:textFill>
            <w14:solidFill>
              <w14:schemeClr w14:val="tx1"/>
            </w14:solidFill>
          </w14:textFill>
        </w:rPr>
        <w:t>Standar Kualitas, Penerimaan, Jaminan</w:t>
      </w:r>
    </w:p>
    <w:p>
      <w:pPr>
        <w:pStyle w:val="19"/>
        <w:tabs>
          <w:tab w:val="left" w:pos="709"/>
        </w:tabs>
        <w:spacing w:line="360" w:lineRule="auto"/>
        <w:ind w:left="709" w:leftChars="0"/>
        <w:jc w:val="both"/>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质量标准、验收、保证</w:t>
      </w:r>
    </w:p>
    <w:p>
      <w:pPr>
        <w:spacing w:line="360" w:lineRule="auto"/>
        <w:ind w:left="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Kriteria yang harus diperhatikan dan dilaksanakan oleh penawar (tidak terbatas pada).报价人必须遵守和执行的标准(不限于此）：</w:t>
      </w:r>
    </w:p>
    <w:p>
      <w:pPr>
        <w:pStyle w:val="19"/>
        <w:numPr>
          <w:ilvl w:val="0"/>
          <w:numId w:val="24"/>
        </w:numPr>
        <w:tabs>
          <w:tab w:val="left" w:pos="1985"/>
        </w:tabs>
        <w:spacing w:line="360" w:lineRule="auto"/>
        <w:ind w:left="1985" w:leftChars="0" w:hanging="709" w:firstLineChars="0"/>
        <w:jc w:val="both"/>
        <w:outlineLvl w:val="1"/>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Standar yang terlibat dalam semua pekerjaan manajemen kebakaran harus memenuhi persyaratan standar pemerintah nasional dan lokal.</w:t>
      </w:r>
    </w:p>
    <w:p>
      <w:pPr>
        <w:pStyle w:val="19"/>
        <w:tabs>
          <w:tab w:val="left" w:pos="1985"/>
        </w:tabs>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所有消防管理工作涉及到的标准必须符合国家和地方政府的标准要求。</w:t>
      </w:r>
    </w:p>
    <w:p>
      <w:pPr>
        <w:pStyle w:val="19"/>
        <w:numPr>
          <w:ilvl w:val="0"/>
          <w:numId w:val="24"/>
        </w:numPr>
        <w:tabs>
          <w:tab w:val="left" w:pos="1985"/>
        </w:tabs>
        <w:spacing w:line="360" w:lineRule="auto"/>
        <w:ind w:left="1985" w:leftChars="0" w:hanging="709" w:firstLineChars="0"/>
        <w:jc w:val="both"/>
        <w:outlineLvl w:val="1"/>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Selain memenuhi syarat-syarat yang disepakati dalam kontrak, standar mutu pelayanan berikut ini juga harus dipenuhi:</w:t>
      </w:r>
    </w:p>
    <w:p>
      <w:pPr>
        <w:pStyle w:val="19"/>
        <w:tabs>
          <w:tab w:val="left" w:pos="1985"/>
        </w:tabs>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除完成合同约定的条件外，还应满足以下服务质量标准：</w:t>
      </w:r>
    </w:p>
    <w:p>
      <w:pPr>
        <w:pStyle w:val="19"/>
        <w:numPr>
          <w:ilvl w:val="0"/>
          <w:numId w:val="25"/>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Semua petugas pemadam kebakaran harus memiliki akses ke lokasi dalam jangka waktu yang ditentukan untuk memeriksa dan memperbarui kondisi peralatan pemadam kebakaran dan peserta lelang harus memastikan bahwa peralatan tersebut dalam kondisi baik untuk memastikan keselamatan kebakaran bagi pembeli.</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所有消防员必须在规定的时间内进入现场，以检查和更新消防设备的状况，报价人必须确定设备状况良好，以确保采购人的消防安全。</w:t>
      </w:r>
    </w:p>
    <w:p>
      <w:pPr>
        <w:pStyle w:val="19"/>
        <w:numPr>
          <w:ilvl w:val="0"/>
          <w:numId w:val="25"/>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Petugas pemadam kebakaran harus meningkatkan pemeriksaan rutin dan pemeliharaan kendaraan dan peralatan pemadam kebakaran untuk memastikan bahwa semua kendaraan dan peralatan dipertahankan dalam kondisi baik dan melaporkan ketidaksesuaian kepada pembeli; mereka harus menjaga agar mobil pemadam kebakaran tetap terisi bahan bakar dengan baik dan penuh dengan air untuk memfasilitasi kesiagaan darurat.</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消防员必须加强消防车辆和设备的常规检查和维护，确保所有车辆和设备保持良好状态，并向采购人报告不符之处；必须保持消防车油料充足和满水状态，利于应急待命。</w:t>
      </w:r>
    </w:p>
    <w:p>
      <w:pPr>
        <w:pStyle w:val="19"/>
        <w:numPr>
          <w:ilvl w:val="0"/>
          <w:numId w:val="26"/>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Selama periode ketika tidak ada kebakaran, petugas pemadam kebakaran bertanggung jawab untuk melakukan pemeriksaan umum terhadap peralatan dan fasilitas pemadam kebakaran setiap hari dan melaporkan semua temuan kepada pengawas pemadam kebakaran pembeli.</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在没有火警期间，消防员每天负责消防设备和设施的一般检查，并将所有检查结果报告给采购人消防主管。</w:t>
      </w:r>
    </w:p>
    <w:p>
      <w:pPr>
        <w:pStyle w:val="19"/>
        <w:numPr>
          <w:ilvl w:val="0"/>
          <w:numId w:val="27"/>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Petugas pemadam kebakaran harus ditugaskan untuk mengawasi operasi kebakaran di tingkat lokasi selama pemeliharaan.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在维修期间必须指派消防员监督现场一级动火作业。</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Sesi pendidikan keselamatan bulanan harus diselenggarakan oleh penyedia jasa untuk meningkatkan kesadaran akan keselamatan dan kepatuhan terhadap hukum dan peraturan di antara semua petugas pemadam kebakaran.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每月报价人必须组织安全教育课程，以提高所有消防人员的安全意识和遵守法律法规意识。</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Ketika melintasi area pabrik, mobil pemadam kebakaran harus mematuhi rute dan peraturan mengemudi pabrik dan tidak boleh melebihi batas kecepatan (kecuali jika terjadi kebakaran).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消防车在电厂厂区行驶时，必须遵守电厂行车路线及规定，不得超速（火警除外）。</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Petugas pemadam kebakaran harus melakukan pelatihan kebakaran seperti manuver mobil pemadam kebakaran dan tes semprotan air setidaknya sebulan sekali dan latihan kebakaran formal tidak kurang dari dua kali setahun.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消防员每月必须进行至少一次的消防训练，如消防车动作和喷水试验，正式消防演习每年不低于两次。</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Ketika alarm kebakaran terjadi di desa-desa sekitar atau unit-unit penghubung kebakaran (jika ada), Anda harus mematuhi manajemen kebakaran dan menjadi orang pertama yang tiba di tempat kejadian untuk memberikan bantuan.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当周围村庄或消防联动单位（若有）发生火灾报警时，必须遵守消防管理，第一时间赶到现场救援。</w:t>
      </w:r>
    </w:p>
    <w:p>
      <w:pPr>
        <w:pStyle w:val="19"/>
        <w:numPr>
          <w:ilvl w:val="0"/>
          <w:numId w:val="19"/>
        </w:numPr>
        <w:spacing w:line="360" w:lineRule="auto"/>
        <w:ind w:left="2552" w:hanging="42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Mobil pemadam kebakaran tidak diizinkan untuk melakukan perjalanan ke luar area pabrik tanpa izin dari pembeli atau persetujuan dari manajemen kebakaran.</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未经采购人允许或消防管理部门批准，消防车不得在厂区以外区域行驶。</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Penawar bertanggung jawab atas perizinan yang relevan untuk semua personel dan memastikan bahwa petugas pemadam kebakaran memiliki kualifikasi yang diperlukan untuk Sistem Manajemen Keselamatan dan Kesehatan Kerja (SMK3).</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报价人负责所有人员的相关许可，确保消防员具备职安健管理系统（SMK3）的必要资格。</w:t>
      </w:r>
    </w:p>
    <w:p>
      <w:pPr>
        <w:pStyle w:val="19"/>
        <w:numPr>
          <w:ilvl w:val="0"/>
          <w:numId w:val="1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Pemadam kebakaran akan mengembangkan program pelatihan untuk memastikan keterampilan fisik dan profesional para anggotanya.</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消防队要制定训练计划，保证队员的体能和专业技能。</w:t>
      </w:r>
    </w:p>
    <w:p>
      <w:pPr>
        <w:pStyle w:val="19"/>
        <w:numPr>
          <w:ilvl w:val="0"/>
          <w:numId w:val="19"/>
        </w:numPr>
        <w:spacing w:line="360" w:lineRule="auto"/>
        <w:ind w:left="2552" w:hanging="284"/>
        <w:jc w:val="both"/>
        <w:rPr>
          <w:rFonts w:ascii="Times New Roman" w:hAnsi="Times New Roman" w:eastAsia="宋体" w:cs="Times New Roman"/>
          <w:color w:val="000000" w:themeColor="text1"/>
          <w:position w:val="4"/>
          <w:sz w:val="24"/>
          <w:szCs w:val="24"/>
          <w:highlight w:val="none"/>
          <w14:textFill>
            <w14:solidFill>
              <w14:schemeClr w14:val="tx1"/>
            </w14:solidFill>
          </w14:textFill>
        </w:rPr>
      </w:pPr>
      <w:r>
        <w:rPr>
          <w:rFonts w:ascii="Times New Roman" w:hAnsi="Times New Roman" w:eastAsia="宋体" w:cs="Times New Roman"/>
          <w:color w:val="000000" w:themeColor="text1"/>
          <w:position w:val="4"/>
          <w:sz w:val="24"/>
          <w:szCs w:val="24"/>
          <w:highlight w:val="none"/>
          <w14:textFill>
            <w14:solidFill>
              <w14:schemeClr w14:val="tx1"/>
            </w14:solidFill>
          </w14:textFill>
        </w:rPr>
        <w:t>Tidak merusak peralatan dan fasilitas lain selama pengoperasian.</w:t>
      </w:r>
    </w:p>
    <w:p>
      <w:pPr>
        <w:pStyle w:val="19"/>
        <w:spacing w:line="360" w:lineRule="auto"/>
        <w:ind w:left="2552"/>
        <w:jc w:val="both"/>
        <w:rPr>
          <w:rFonts w:ascii="Times New Roman" w:hAnsi="Times New Roman" w:eastAsia="宋体" w:cs="Times New Roman"/>
          <w:color w:val="000000" w:themeColor="text1"/>
          <w:position w:val="4"/>
          <w:sz w:val="24"/>
          <w:szCs w:val="24"/>
          <w:highlight w:val="none"/>
          <w14:textFill>
            <w14:solidFill>
              <w14:schemeClr w14:val="tx1"/>
            </w14:solidFill>
          </w14:textFill>
        </w:rPr>
      </w:pPr>
      <w:r>
        <w:rPr>
          <w:rFonts w:ascii="Times New Roman" w:hAnsi="Times New Roman" w:eastAsia="宋体" w:cs="Times New Roman"/>
          <w:color w:val="000000" w:themeColor="text1"/>
          <w:position w:val="4"/>
          <w:sz w:val="24"/>
          <w:szCs w:val="24"/>
          <w:highlight w:val="none"/>
          <w14:textFill>
            <w14:solidFill>
              <w14:schemeClr w14:val="tx1"/>
            </w14:solidFill>
          </w14:textFill>
        </w:rPr>
        <w:t>作业过程中不得损坏其它设备、设施。</w:t>
      </w:r>
    </w:p>
    <w:p>
      <w:pPr>
        <w:pStyle w:val="19"/>
        <w:spacing w:line="360" w:lineRule="auto"/>
        <w:ind w:left="2552"/>
        <w:jc w:val="both"/>
        <w:rPr>
          <w:rFonts w:ascii="Times New Roman" w:hAnsi="Times New Roman" w:eastAsia="宋体" w:cs="Times New Roman"/>
          <w:color w:val="000000" w:themeColor="text1"/>
          <w:position w:val="4"/>
          <w:sz w:val="24"/>
          <w:szCs w:val="24"/>
          <w:highlight w:val="none"/>
          <w14:textFill>
            <w14:solidFill>
              <w14:schemeClr w14:val="tx1"/>
            </w14:solidFill>
          </w14:textFill>
        </w:rPr>
      </w:pPr>
    </w:p>
    <w:p>
      <w:pPr>
        <w:pStyle w:val="19"/>
        <w:numPr>
          <w:ilvl w:val="0"/>
          <w:numId w:val="28"/>
        </w:numPr>
        <w:spacing w:line="360" w:lineRule="auto"/>
        <w:ind w:left="1985" w:leftChars="0" w:hanging="709" w:firstLineChars="0"/>
        <w:jc w:val="both"/>
        <w:outlineLvl w:val="1"/>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Standar, metode penerimaan mutu layanan:</w:t>
      </w:r>
    </w:p>
    <w:p>
      <w:pPr>
        <w:pStyle w:val="19"/>
        <w:spacing w:line="360" w:lineRule="auto"/>
        <w:ind w:left="1985" w:leftChars="0"/>
        <w:jc w:val="both"/>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标准、质量验收方式：</w:t>
      </w:r>
    </w:p>
    <w:p>
      <w:pPr>
        <w:pStyle w:val="19"/>
        <w:numPr>
          <w:ilvl w:val="0"/>
          <w:numId w:val="2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Persyaratan manajemen, kualitas mutu layanan, serta standar dan protokol yang disebutkan di atas yang diusulkan oleh pembeli akan digunakan sebagai standar inspeksi.</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采购人提出的管理要求、服务质量及上述标准、规程将作为检验标准。</w:t>
      </w:r>
    </w:p>
    <w:p>
      <w:pPr>
        <w:pStyle w:val="19"/>
        <w:numPr>
          <w:ilvl w:val="0"/>
          <w:numId w:val="29"/>
        </w:numPr>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Peserta lelang harus secara ketat mengelola operasi sesuai dengan standar dan persyaratan manajemen di atas dan harus diterima sesuai dengan standar dan persyaratan manajemen di atas.</w:t>
      </w:r>
    </w:p>
    <w:p>
      <w:pPr>
        <w:pStyle w:val="19"/>
        <w:spacing w:line="360" w:lineRule="auto"/>
        <w:ind w:left="2552"/>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报价人管理作业时应严格执行上述标准和管理要求，并根据上述标准和管理要求进行验收。</w:t>
      </w:r>
    </w:p>
    <w:p>
      <w:pPr>
        <w:pStyle w:val="19"/>
        <w:spacing w:line="360" w:lineRule="auto"/>
        <w:ind w:left="2552"/>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30"/>
        </w:numPr>
        <w:spacing w:line="360" w:lineRule="auto"/>
        <w:ind w:left="284" w:leftChars="0" w:hanging="284" w:firstLine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15" w:name="_bookmark142"/>
      <w:bookmarkEnd w:id="15"/>
      <w:bookmarkStart w:id="16" w:name="_Toc857"/>
      <w:r>
        <w:rPr>
          <w:rFonts w:ascii="Times New Roman" w:hAnsi="Times New Roman" w:eastAsia="黑体" w:cs="Times New Roman"/>
          <w:b/>
          <w:bCs/>
          <w:color w:val="000000" w:themeColor="text1"/>
          <w:sz w:val="24"/>
          <w:szCs w:val="24"/>
          <w:highlight w:val="none"/>
          <w14:textFill>
            <w14:solidFill>
              <w14:schemeClr w14:val="tx1"/>
            </w14:solidFill>
          </w14:textFill>
        </w:rPr>
        <w:t>Standar normatif yang berlaku</w:t>
      </w:r>
      <w:bookmarkEnd w:id="16"/>
    </w:p>
    <w:p>
      <w:pPr>
        <w:pStyle w:val="19"/>
        <w:spacing w:line="360" w:lineRule="auto"/>
        <w:ind w:left="284" w:left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17" w:name="_Toc28663"/>
      <w:r>
        <w:rPr>
          <w:rFonts w:ascii="Times New Roman" w:hAnsi="Times New Roman" w:eastAsia="黑体" w:cs="Times New Roman"/>
          <w:b/>
          <w:bCs/>
          <w:color w:val="000000" w:themeColor="text1"/>
          <w:sz w:val="24"/>
          <w:szCs w:val="24"/>
          <w:highlight w:val="none"/>
          <w14:textFill>
            <w14:solidFill>
              <w14:schemeClr w14:val="tx1"/>
            </w14:solidFill>
          </w14:textFill>
        </w:rPr>
        <w:t>适用规范标准</w:t>
      </w:r>
      <w:bookmarkEnd w:id="17"/>
    </w:p>
    <w:p>
      <w:pPr>
        <w:spacing w:line="360" w:lineRule="auto"/>
        <w:ind w:left="284" w:leftChars="0"/>
        <w:jc w:val="both"/>
        <w:outlineLvl w:val="9"/>
        <w:rPr>
          <w:rFonts w:ascii="Times New Roman" w:hAnsi="Times New Roman" w:eastAsia="黑体" w:cs="Times New Roman"/>
          <w:color w:val="000000" w:themeColor="text1"/>
          <w:sz w:val="24"/>
          <w:szCs w:val="24"/>
          <w:highlight w:val="none"/>
          <w14:textFill>
            <w14:solidFill>
              <w14:schemeClr w14:val="tx1"/>
            </w14:solidFill>
          </w14:textFill>
        </w:rPr>
      </w:pPr>
      <w:r>
        <w:rPr>
          <w:rFonts w:ascii="Times New Roman" w:hAnsi="Times New Roman" w:cs="Times New Roman" w:eastAsiaTheme="minorEastAsia"/>
          <w:color w:val="000000" w:themeColor="text1"/>
          <w:sz w:val="24"/>
          <w:szCs w:val="24"/>
          <w:highlight w:val="none"/>
          <w14:textFill>
            <w14:solidFill>
              <w14:schemeClr w14:val="tx1"/>
            </w14:solidFill>
          </w14:textFill>
        </w:rPr>
        <w:t>Cakupan Standar normatif yang berlaku untuk proyek ini, namun tidak terbatas pada, hal-hal berikut ini.</w:t>
      </w:r>
    </w:p>
    <w:p>
      <w:pPr>
        <w:spacing w:line="360" w:lineRule="auto"/>
        <w:ind w:left="284" w:leftChars="0"/>
        <w:jc w:val="both"/>
        <w:outlineLvl w:val="9"/>
        <w:rPr>
          <w:rFonts w:ascii="Times New Roman" w:hAnsi="Times New Roman" w:cs="Times New Roman" w:eastAsiaTheme="minorEastAsia"/>
          <w:color w:val="000000" w:themeColor="text1"/>
          <w:sz w:val="24"/>
          <w:szCs w:val="24"/>
          <w:highlight w:val="none"/>
          <w14:textFill>
            <w14:solidFill>
              <w14:schemeClr w14:val="tx1"/>
            </w14:solidFill>
          </w14:textFill>
        </w:rPr>
      </w:pPr>
      <w:r>
        <w:rPr>
          <w:rFonts w:ascii="Times New Roman" w:hAnsi="Times New Roman" w:cs="Times New Roman" w:eastAsiaTheme="minorEastAsia"/>
          <w:color w:val="000000" w:themeColor="text1"/>
          <w:sz w:val="24"/>
          <w:szCs w:val="24"/>
          <w:highlight w:val="none"/>
          <w14:textFill>
            <w14:solidFill>
              <w14:schemeClr w14:val="tx1"/>
            </w14:solidFill>
          </w14:textFill>
        </w:rPr>
        <w:t>本项目适用规范标准包含但不限于以下项目：</w:t>
      </w:r>
    </w:p>
    <w:p>
      <w:pPr>
        <w:pStyle w:val="7"/>
        <w:numPr>
          <w:ilvl w:val="0"/>
          <w:numId w:val="31"/>
        </w:numPr>
        <w:jc w:val="both"/>
        <w:rPr>
          <w:rFonts w:hint="default" w:eastAsiaTheme="minorEastAsia"/>
          <w:color w:val="000000" w:themeColor="text1"/>
          <w:highlight w:val="none"/>
          <w14:textFill>
            <w14:solidFill>
              <w14:schemeClr w14:val="tx1"/>
            </w14:solidFill>
          </w14:textFill>
        </w:rPr>
      </w:pPr>
      <w:r>
        <w:rPr>
          <w:rFonts w:eastAsiaTheme="minorEastAsia"/>
          <w:color w:val="000000" w:themeColor="text1"/>
          <w:highlight w:val="none"/>
          <w14:textFill>
            <w14:solidFill>
              <w14:schemeClr w14:val="tx1"/>
            </w14:solidFill>
          </w14:textFill>
        </w:rPr>
        <w:t>Peraturan Pemadaman Kebakaran Umum untuk Peralatan Listrik</w:t>
      </w:r>
    </w:p>
    <w:p>
      <w:pPr>
        <w:pStyle w:val="7"/>
        <w:ind w:left="1140"/>
        <w:jc w:val="both"/>
        <w:rPr>
          <w:rFonts w:hint="default" w:eastAsiaTheme="minorEastAsia"/>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《电力设备典型消防规程》</w:t>
      </w:r>
    </w:p>
    <w:p>
      <w:pPr>
        <w:pStyle w:val="19"/>
        <w:numPr>
          <w:ilvl w:val="0"/>
          <w:numId w:val="31"/>
        </w:numPr>
        <w:spacing w:line="360" w:lineRule="auto"/>
        <w:jc w:val="both"/>
        <w:rPr>
          <w:rFonts w:ascii="Times New Roman" w:hAnsi="Times New Roman" w:cs="Times New Roman" w:eastAsiaTheme="minorEastAsia"/>
          <w:color w:val="000000" w:themeColor="text1"/>
          <w:position w:val="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Prosedur Kerja yang Aman bagi Kelistrikan</w:t>
      </w:r>
    </w:p>
    <w:p>
      <w:pPr>
        <w:pStyle w:val="19"/>
        <w:spacing w:line="360" w:lineRule="auto"/>
        <w:ind w:left="1140"/>
        <w:jc w:val="both"/>
        <w:rPr>
          <w:rFonts w:ascii="Times New Roman" w:hAnsi="Times New Roman" w:cs="Times New Roman" w:eastAsiaTheme="minorEastAsia"/>
          <w:color w:val="000000" w:themeColor="text1"/>
          <w:position w:val="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《电力安全工作规程》</w:t>
      </w:r>
    </w:p>
    <w:p>
      <w:pPr>
        <w:pStyle w:val="19"/>
        <w:numPr>
          <w:ilvl w:val="0"/>
          <w:numId w:val="31"/>
        </w:numPr>
        <w:spacing w:line="360" w:lineRule="auto"/>
        <w:jc w:val="both"/>
        <w:rPr>
          <w:rFonts w:ascii="Times New Roman" w:hAnsi="Times New Roman" w:cs="Times New Roman" w:eastAsiaTheme="minorEastAsia"/>
          <w:color w:val="000000" w:themeColor="text1"/>
          <w:position w:val="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Peraturan tentang Operasi dan Pemeliharaan Sistem Pemadam Kebakaran PLTU SUMSEL-8  2×660MW.</w:t>
      </w:r>
    </w:p>
    <w:p>
      <w:pPr>
        <w:pStyle w:val="19"/>
        <w:spacing w:line="360" w:lineRule="auto"/>
        <w:ind w:left="1140"/>
        <w:jc w:val="both"/>
        <w:rPr>
          <w:rFonts w:ascii="Times New Roman" w:hAnsi="Times New Roman" w:cs="Times New Roman" w:eastAsiaTheme="minorEastAsia"/>
          <w:color w:val="000000" w:themeColor="text1"/>
          <w:position w:val="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《华电（印尼）玻雅</w:t>
      </w:r>
      <w:r>
        <w:rPr>
          <w:rFonts w:ascii="Times New Roman" w:hAnsi="Times New Roman" w:eastAsia="宋体" w:cs="Times New Roman"/>
          <w:color w:val="000000" w:themeColor="text1"/>
          <w:sz w:val="24"/>
          <w:szCs w:val="24"/>
          <w:highlight w:val="none"/>
          <w14:textFill>
            <w14:solidFill>
              <w14:schemeClr w14:val="tx1"/>
            </w14:solidFill>
          </w14:textFill>
        </w:rPr>
        <w:t>2×660MW坑口电站消防系统运维规程》</w:t>
      </w:r>
    </w:p>
    <w:p>
      <w:pPr>
        <w:pStyle w:val="6"/>
        <w:numPr>
          <w:ilvl w:val="0"/>
          <w:numId w:val="31"/>
        </w:numPr>
        <w:spacing w:line="360" w:lineRule="auto"/>
        <w:ind w:firstLineChars="0"/>
        <w:jc w:val="both"/>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ascii="Times New Roman" w:hAnsi="Times New Roman" w:eastAsia="宋体" w:cs="Times New Roman"/>
          <w:color w:val="000000" w:themeColor="text1"/>
          <w:sz w:val="24"/>
          <w:highlight w:val="none"/>
          <w14:textFill>
            <w14:solidFill>
              <w14:schemeClr w14:val="tx1"/>
            </w14:solidFill>
          </w14:textFill>
        </w:rPr>
        <w:t>Spesifikasi teknis untuk produsen peralatan</w:t>
      </w:r>
    </w:p>
    <w:p>
      <w:pPr>
        <w:pStyle w:val="6"/>
        <w:spacing w:line="360" w:lineRule="auto"/>
        <w:ind w:left="1140" w:firstLine="0" w:firstLineChars="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设备生产厂家技术规范</w:t>
      </w:r>
    </w:p>
    <w:p>
      <w:pPr>
        <w:spacing w:line="360" w:lineRule="auto"/>
        <w:outlineLvl w:val="9"/>
        <w:rPr>
          <w:color w:val="000000" w:themeColor="text1"/>
          <w:highlight w:val="none"/>
          <w14:textFill>
            <w14:solidFill>
              <w14:schemeClr w14:val="tx1"/>
            </w14:solidFill>
          </w14:textFill>
        </w:rPr>
      </w:pPr>
      <w:bookmarkStart w:id="18" w:name="_bookmark144"/>
      <w:bookmarkEnd w:id="18"/>
      <w:bookmarkStart w:id="19" w:name="_bookmark143"/>
      <w:bookmarkEnd w:id="19"/>
    </w:p>
    <w:p>
      <w:pPr>
        <w:pStyle w:val="2"/>
      </w:pPr>
    </w:p>
    <w:p>
      <w:pPr>
        <w:pStyle w:val="19"/>
        <w:numPr>
          <w:ilvl w:val="0"/>
          <w:numId w:val="30"/>
        </w:numPr>
        <w:spacing w:line="360" w:lineRule="auto"/>
        <w:ind w:left="284" w:leftChars="0" w:hanging="284" w:firstLine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20" w:name="_Toc31473"/>
      <w:r>
        <w:rPr>
          <w:rFonts w:ascii="Times New Roman" w:hAnsi="Times New Roman" w:eastAsia="黑体" w:cs="Times New Roman"/>
          <w:b/>
          <w:bCs/>
          <w:color w:val="000000" w:themeColor="text1"/>
          <w:sz w:val="24"/>
          <w:szCs w:val="24"/>
          <w:highlight w:val="none"/>
          <w14:textFill>
            <w14:solidFill>
              <w14:schemeClr w14:val="tx1"/>
            </w14:solidFill>
          </w14:textFill>
        </w:rPr>
        <w:t>Daftar Properti Pembeli</w:t>
      </w:r>
      <w:bookmarkEnd w:id="20"/>
    </w:p>
    <w:p>
      <w:pPr>
        <w:pStyle w:val="19"/>
        <w:spacing w:line="360" w:lineRule="auto"/>
        <w:ind w:left="284" w:left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21" w:name="_Toc10869"/>
      <w:r>
        <w:rPr>
          <w:rFonts w:ascii="Times New Roman" w:hAnsi="Times New Roman" w:eastAsia="黑体" w:cs="Times New Roman"/>
          <w:b/>
          <w:bCs/>
          <w:color w:val="000000" w:themeColor="text1"/>
          <w:sz w:val="24"/>
          <w:szCs w:val="24"/>
          <w:highlight w:val="none"/>
          <w14:textFill>
            <w14:solidFill>
              <w14:schemeClr w14:val="tx1"/>
            </w14:solidFill>
          </w14:textFill>
        </w:rPr>
        <w:t>采购人财产清单</w:t>
      </w:r>
      <w:bookmarkEnd w:id="21"/>
    </w:p>
    <w:p>
      <w:pPr>
        <w:pStyle w:val="19"/>
        <w:numPr>
          <w:ilvl w:val="0"/>
          <w:numId w:val="32"/>
        </w:numPr>
        <w:spacing w:line="360" w:lineRule="auto"/>
        <w:ind w:left="709" w:leftChars="0" w:hanging="360" w:firstLineChars="0"/>
        <w:jc w:val="both"/>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Peralatan dan fasilitas disediakan oleh pembeli</w:t>
      </w:r>
    </w:p>
    <w:p>
      <w:pPr>
        <w:pStyle w:val="19"/>
        <w:spacing w:line="360" w:lineRule="auto"/>
        <w:ind w:left="851" w:leftChars="0"/>
        <w:jc w:val="both"/>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采购人提供的设备、设施</w:t>
      </w:r>
    </w:p>
    <w:p>
      <w:pPr>
        <w:pStyle w:val="19"/>
        <w:numPr>
          <w:ilvl w:val="0"/>
          <w:numId w:val="33"/>
        </w:numPr>
        <w:spacing w:line="360" w:lineRule="auto"/>
        <w:ind w:left="1985" w:hanging="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Kantor, ruang jaga, tempat tidur jaga, garasi, dll. yang disediakan oleh pembeli tunduk pada inventarisasi di tempat oleh kedua belah pihak.</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采购人提供的办公室、值班室、值班床位、车库等以双方当场清点为准。</w:t>
      </w:r>
    </w:p>
    <w:p>
      <w:pPr>
        <w:pStyle w:val="19"/>
        <w:numPr>
          <w:ilvl w:val="0"/>
          <w:numId w:val="33"/>
        </w:numPr>
        <w:spacing w:line="360" w:lineRule="auto"/>
        <w:ind w:left="1985" w:hanging="709"/>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Alat bantu pernapasan udara bertekanan positif, </w:t>
      </w:r>
      <w:r>
        <w:rPr>
          <w:rFonts w:ascii="Times New Roman" w:hAnsi="Times New Roman" w:eastAsia="宋体" w:cs="Times New Roman"/>
          <w:i/>
          <w:iCs/>
          <w:color w:val="000000" w:themeColor="text1"/>
          <w:sz w:val="24"/>
          <w:szCs w:val="24"/>
          <w:highlight w:val="none"/>
          <w14:textFill>
            <w14:solidFill>
              <w14:schemeClr w14:val="tx1"/>
            </w14:solidFill>
          </w14:textFill>
        </w:rPr>
        <w:t>walkie-talkie</w:t>
      </w:r>
      <w:r>
        <w:rPr>
          <w:rFonts w:ascii="Times New Roman" w:hAnsi="Times New Roman" w:eastAsia="宋体" w:cs="Times New Roman"/>
          <w:color w:val="000000" w:themeColor="text1"/>
          <w:sz w:val="24"/>
          <w:szCs w:val="24"/>
          <w:highlight w:val="none"/>
          <w14:textFill>
            <w14:solidFill>
              <w14:schemeClr w14:val="tx1"/>
            </w14:solidFill>
          </w14:textFill>
        </w:rPr>
        <w:t>, dan pendingin ruangan yang disediakan oleh pembeli tunduk pada inventarisasi di tempat oleh kedua belah pihak.</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采购人提供的正压式空气呼吸器、对讲机、空调等以双方当场清点为准。</w:t>
      </w:r>
      <w:bookmarkStart w:id="22" w:name="_bookmark145"/>
      <w:bookmarkEnd w:id="22"/>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34"/>
        </w:numPr>
        <w:tabs>
          <w:tab w:val="left" w:pos="993"/>
        </w:tabs>
        <w:spacing w:line="360" w:lineRule="auto"/>
        <w:ind w:left="851" w:leftChars="0" w:hanging="425" w:firstLineChars="0"/>
        <w:jc w:val="both"/>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Informasi yang diberikan oleh pembeli</w:t>
      </w:r>
    </w:p>
    <w:p>
      <w:pPr>
        <w:pStyle w:val="19"/>
        <w:tabs>
          <w:tab w:val="left" w:pos="993"/>
        </w:tabs>
        <w:spacing w:line="360" w:lineRule="auto"/>
        <w:ind w:left="993" w:leftChars="0"/>
        <w:jc w:val="both"/>
        <w:outlineLvl w:val="2"/>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采购人提供的资料</w:t>
      </w:r>
    </w:p>
    <w:p>
      <w:pPr>
        <w:pStyle w:val="19"/>
        <w:numPr>
          <w:ilvl w:val="0"/>
          <w:numId w:val="35"/>
        </w:numPr>
        <w:tabs>
          <w:tab w:val="left" w:pos="993"/>
          <w:tab w:val="left" w:pos="1843"/>
        </w:tabs>
        <w:spacing w:line="360" w:lineRule="auto"/>
        <w:ind w:left="1985" w:hanging="851"/>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Pembeli harus memberikan dokumen desain sistem proteksi kebakaran proyek dan informasi produsen peralatan.</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采购人提供项目消防系统设计文件、设备厂家资料。</w:t>
      </w:r>
    </w:p>
    <w:p>
      <w:pPr>
        <w:pStyle w:val="19"/>
        <w:numPr>
          <w:ilvl w:val="0"/>
          <w:numId w:val="35"/>
        </w:numPr>
        <w:spacing w:line="360" w:lineRule="auto"/>
        <w:ind w:left="1985" w:hanging="851"/>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Pembeli menyediakan "Peraturan Operasi dan Pemeliharaan Sistem Pemadam Kebakaran PLTU sumsel-8 2×660MW.</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采购人提供《华电（印尼）玻雅2×660MW坑口电站消防系统运维规程》。</w:t>
      </w:r>
    </w:p>
    <w:p>
      <w:pPr>
        <w:pStyle w:val="19"/>
        <w:numPr>
          <w:ilvl w:val="0"/>
          <w:numId w:val="35"/>
        </w:numPr>
        <w:spacing w:line="360" w:lineRule="auto"/>
        <w:ind w:left="1985" w:hanging="851"/>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Pembeli menyediakan sistem manajemen dan informasi teknis lainnya yang diperlukan untuk pekerjaan tersebut.</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采购人提供因工作需要的管理制度和其他技术资料。</w:t>
      </w:r>
    </w:p>
    <w:p>
      <w:pPr>
        <w:pStyle w:val="19"/>
        <w:numPr>
          <w:ilvl w:val="0"/>
          <w:numId w:val="35"/>
        </w:numPr>
        <w:spacing w:line="360" w:lineRule="auto"/>
        <w:ind w:left="1985" w:hanging="851"/>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Kontrak proyek dan kontrak-kontrak terkait lainnya.</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项目承包合同及其他相关合同。</w:t>
      </w:r>
    </w:p>
    <w:p>
      <w:pPr>
        <w:pStyle w:val="19"/>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p>
    <w:p>
      <w:pPr>
        <w:pStyle w:val="19"/>
        <w:numPr>
          <w:ilvl w:val="0"/>
          <w:numId w:val="34"/>
        </w:numPr>
        <w:spacing w:line="360" w:lineRule="auto"/>
        <w:ind w:left="993" w:leftChars="0" w:hanging="567" w:firstLineChars="0"/>
        <w:jc w:val="both"/>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bookmarkStart w:id="23" w:name="_bookmark146"/>
      <w:bookmarkEnd w:id="23"/>
      <w:r>
        <w:rPr>
          <w:rFonts w:ascii="Times New Roman" w:hAnsi="Times New Roman" w:eastAsia="宋体" w:cs="Times New Roman"/>
          <w:b/>
          <w:bCs/>
          <w:color w:val="000000" w:themeColor="text1"/>
          <w:sz w:val="24"/>
          <w:szCs w:val="24"/>
          <w:highlight w:val="none"/>
          <w14:textFill>
            <w14:solidFill>
              <w14:schemeClr w14:val="tx1"/>
            </w14:solidFill>
          </w14:textFill>
        </w:rPr>
        <w:t>Persyaratan Penggunaan dan Persyaratan Pengembalian Properti Pembeli</w:t>
      </w:r>
    </w:p>
    <w:p>
      <w:pPr>
        <w:pStyle w:val="19"/>
        <w:spacing w:line="360" w:lineRule="auto"/>
        <w:ind w:left="993"/>
        <w:jc w:val="both"/>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采购人财产使用要求及退还要求</w:t>
      </w:r>
    </w:p>
    <w:p>
      <w:pPr>
        <w:pStyle w:val="19"/>
        <w:numPr>
          <w:ilvl w:val="0"/>
          <w:numId w:val="36"/>
        </w:numPr>
        <w:spacing w:line="360" w:lineRule="auto"/>
        <w:ind w:left="1985" w:leftChars="0" w:hanging="851" w:firstLineChars="0"/>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Persyaratan Penggunaan Properti Pembeli</w:t>
      </w:r>
    </w:p>
    <w:p>
      <w:pPr>
        <w:pStyle w:val="19"/>
        <w:spacing w:line="360" w:lineRule="auto"/>
        <w:ind w:left="1985"/>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采购人财产使用要求</w:t>
      </w:r>
    </w:p>
    <w:p>
      <w:pPr>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Properti yang diberikan oleh pembeli kepada penawar selama kontrak harus disimpan dengan benar dan digunakan secara normal dan tidak boleh dibawa keluar dari pabrik, hilang, atau dirusak dengan sengaja.</w:t>
      </w:r>
    </w:p>
    <w:p>
      <w:pPr>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采购人提供给报价人合同期间使用的财产必须妥善保管、正常使用，不准带出厂外，不得遗失，不准故意损坏。</w:t>
      </w:r>
    </w:p>
    <w:p>
      <w:pPr>
        <w:pStyle w:val="19"/>
        <w:numPr>
          <w:ilvl w:val="0"/>
          <w:numId w:val="37"/>
        </w:numPr>
        <w:spacing w:line="360" w:lineRule="auto"/>
        <w:ind w:left="1985" w:leftChars="0" w:hanging="851" w:firstLineChars="0"/>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Permintaan Pengembalian Properti Pembeli</w:t>
      </w:r>
    </w:p>
    <w:p>
      <w:pPr>
        <w:pStyle w:val="19"/>
        <w:spacing w:line="360" w:lineRule="auto"/>
        <w:ind w:left="1985"/>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采购人财产退还要求</w:t>
      </w:r>
    </w:p>
    <w:p>
      <w:pPr>
        <w:spacing w:line="360" w:lineRule="auto"/>
        <w:ind w:left="1985"/>
        <w:jc w:val="both"/>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Pada akhir kontrak, penawar harus mengembalikan daftar properti material yang telah diinventarisir oleh kedua belah pihak pada saat memasuki pabrik, dan diharuskan memberikan kompensasi kepada pembeli untuk setiap material yang hilang atau sengaja dirusak sehingga tidak dapat digunakan, baik dengan cara mengisinya kembali atau dengan membayar harga aslinya.</w:t>
      </w:r>
    </w:p>
    <w:p>
      <w:pPr>
        <w:spacing w:line="360" w:lineRule="auto"/>
        <w:ind w:left="1985"/>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合同到期时，报价人必须按照进厂时双方清点的物资财产清单退回，若有遗失或者故意损坏导致无法使用的物资，需对采购人进行补充或原价赔偿。</w:t>
      </w:r>
    </w:p>
    <w:p>
      <w:pPr>
        <w:pStyle w:val="7"/>
        <w:rPr>
          <w:rFonts w:hint="default"/>
          <w:color w:val="000000" w:themeColor="text1"/>
          <w:highlight w:val="none"/>
          <w14:textFill>
            <w14:solidFill>
              <w14:schemeClr w14:val="tx1"/>
            </w14:solidFill>
          </w14:textFill>
        </w:rPr>
      </w:pPr>
    </w:p>
    <w:p>
      <w:pPr>
        <w:pStyle w:val="19"/>
        <w:numPr>
          <w:ilvl w:val="0"/>
          <w:numId w:val="30"/>
        </w:numPr>
        <w:spacing w:line="360" w:lineRule="auto"/>
        <w:ind w:left="284" w:leftChars="0" w:hanging="284" w:firstLine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24" w:name="_bookmark147"/>
      <w:bookmarkEnd w:id="24"/>
      <w:bookmarkStart w:id="25" w:name="_Toc8636"/>
      <w:r>
        <w:rPr>
          <w:rFonts w:ascii="Times New Roman" w:hAnsi="Times New Roman" w:eastAsia="黑体" w:cs="Times New Roman"/>
          <w:b/>
          <w:bCs/>
          <w:color w:val="000000" w:themeColor="text1"/>
          <w:sz w:val="24"/>
          <w:szCs w:val="24"/>
          <w:highlight w:val="none"/>
          <w14:textFill>
            <w14:solidFill>
              <w14:schemeClr w14:val="tx1"/>
            </w14:solidFill>
          </w14:textFill>
        </w:rPr>
        <w:t>Fasilitas yang disediakan oleh pembeli</w:t>
      </w:r>
      <w:bookmarkEnd w:id="25"/>
    </w:p>
    <w:p>
      <w:pPr>
        <w:pStyle w:val="19"/>
        <w:spacing w:line="360" w:lineRule="auto"/>
        <w:ind w:left="284" w:left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26" w:name="_Toc1244"/>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采购人提供的便利条件</w:t>
      </w:r>
      <w:bookmarkEnd w:id="26"/>
    </w:p>
    <w:p>
      <w:pPr>
        <w:pStyle w:val="19"/>
        <w:numPr>
          <w:ilvl w:val="0"/>
          <w:numId w:val="38"/>
        </w:numPr>
        <w:spacing w:line="360" w:lineRule="auto"/>
        <w:ind w:left="993" w:leftChars="0" w:hanging="567" w:firstLineChars="0"/>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bookmarkStart w:id="27" w:name="_bookmark148"/>
      <w:bookmarkEnd w:id="27"/>
      <w:r>
        <w:rPr>
          <w:rFonts w:ascii="Times New Roman" w:hAnsi="Times New Roman" w:eastAsia="宋体" w:cs="Times New Roman"/>
          <w:b/>
          <w:bCs/>
          <w:color w:val="000000" w:themeColor="text1"/>
          <w:sz w:val="24"/>
          <w:szCs w:val="24"/>
          <w:highlight w:val="none"/>
          <w14:textFill>
            <w14:solidFill>
              <w14:schemeClr w14:val="tx1"/>
            </w14:solidFill>
          </w14:textFill>
        </w:rPr>
        <w:t>Kondisi tempat tinggal yang disediakan oleh pembeli</w:t>
      </w:r>
    </w:p>
    <w:p>
      <w:pPr>
        <w:pStyle w:val="19"/>
        <w:spacing w:line="360" w:lineRule="auto"/>
        <w:ind w:left="993" w:left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采购人提供的生活条件</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 xml:space="preserve">Tidak ada. </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无</w:t>
      </w:r>
    </w:p>
    <w:p>
      <w:pPr>
        <w:pStyle w:val="19"/>
        <w:numPr>
          <w:ilvl w:val="0"/>
          <w:numId w:val="39"/>
        </w:numPr>
        <w:spacing w:line="360" w:lineRule="auto"/>
        <w:ind w:left="993" w:leftChars="0" w:hanging="567" w:firstLineChars="0"/>
        <w:outlineLvl w:val="3"/>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28" w:name="_bookmark149"/>
      <w:bookmarkEnd w:id="28"/>
      <w:r>
        <w:rPr>
          <w:rFonts w:ascii="Times New Roman" w:hAnsi="Times New Roman" w:eastAsia="宋体" w:cs="Times New Roman"/>
          <w:b/>
          <w:bCs/>
          <w:color w:val="000000" w:themeColor="text1"/>
          <w:sz w:val="24"/>
          <w:szCs w:val="24"/>
          <w:highlight w:val="none"/>
          <w14:textFill>
            <w14:solidFill>
              <w14:schemeClr w14:val="tx1"/>
            </w14:solidFill>
          </w14:textFill>
        </w:rPr>
        <w:t>Transportasi disediakan oleh pembeli</w:t>
      </w:r>
    </w:p>
    <w:p>
      <w:pPr>
        <w:pStyle w:val="19"/>
        <w:spacing w:line="360" w:lineRule="auto"/>
        <w:ind w:left="993" w:left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采购人提供的交通条件</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bookmarkStart w:id="29" w:name="_bookmark150"/>
      <w:bookmarkEnd w:id="29"/>
      <w:r>
        <w:rPr>
          <w:rFonts w:ascii="Times New Roman" w:hAnsi="Times New Roman" w:eastAsia="宋体" w:cs="Times New Roman"/>
          <w:color w:val="000000" w:themeColor="text1"/>
          <w:sz w:val="24"/>
          <w:szCs w:val="24"/>
          <w:highlight w:val="none"/>
          <w14:textFill>
            <w14:solidFill>
              <w14:schemeClr w14:val="tx1"/>
            </w14:solidFill>
          </w14:textFill>
        </w:rPr>
        <w:t xml:space="preserve">Tidak ada. </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无</w:t>
      </w:r>
    </w:p>
    <w:p>
      <w:pPr>
        <w:pStyle w:val="19"/>
        <w:numPr>
          <w:ilvl w:val="0"/>
          <w:numId w:val="39"/>
        </w:numPr>
        <w:spacing w:line="360" w:lineRule="auto"/>
        <w:ind w:left="993" w:leftChars="0" w:hanging="567" w:firstLineChars="0"/>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Kondisi kerja, jaringan dan komunikasi yang disediakan oleh pembeli</w:t>
      </w:r>
    </w:p>
    <w:p>
      <w:pPr>
        <w:pStyle w:val="19"/>
        <w:spacing w:line="360" w:lineRule="auto"/>
        <w:ind w:left="993" w:leftChars="0"/>
        <w:outlineLvl w:val="9"/>
        <w:rPr>
          <w:rFonts w:ascii="Times New Roman" w:hAnsi="Times New Roman" w:eastAsia="黑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采购人提供的工作、网络、通讯条件</w:t>
      </w:r>
      <w:bookmarkStart w:id="30" w:name="_bookmark151"/>
      <w:bookmarkEnd w:id="30"/>
    </w:p>
    <w:p>
      <w:pPr>
        <w:spacing w:line="360" w:lineRule="auto"/>
        <w:ind w:left="993" w:leftChars="0"/>
        <w:outlineLvl w:val="9"/>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Penyediaan kantor, ruang piket, telepon kantor, kursi kantor, interkom, dll.</w:t>
      </w:r>
    </w:p>
    <w:p>
      <w:pPr>
        <w:spacing w:line="360" w:lineRule="auto"/>
        <w:ind w:left="993" w:leftChars="0"/>
        <w:outlineLvl w:val="9"/>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提供办公室、值班室、办公电话、办公座椅、对讲机等。</w:t>
      </w:r>
    </w:p>
    <w:p>
      <w:pPr>
        <w:pStyle w:val="19"/>
        <w:numPr>
          <w:ilvl w:val="0"/>
          <w:numId w:val="39"/>
        </w:numPr>
        <w:spacing w:line="360" w:lineRule="auto"/>
        <w:ind w:left="993" w:leftChars="0" w:hanging="567" w:firstLineChars="0"/>
        <w:outlineLvl w:val="3"/>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Bantuan yang disediakan pembeli</w:t>
      </w:r>
    </w:p>
    <w:p>
      <w:pPr>
        <w:pStyle w:val="19"/>
        <w:spacing w:line="360" w:lineRule="auto"/>
        <w:ind w:left="993" w:leftChars="0"/>
        <w:outlineLvl w:val="9"/>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黑体" w:cs="Times New Roman"/>
          <w:b/>
          <w:bCs/>
          <w:color w:val="000000" w:themeColor="text1"/>
          <w:sz w:val="24"/>
          <w:szCs w:val="24"/>
          <w:highlight w:val="none"/>
          <w14:textFill>
            <w14:solidFill>
              <w14:schemeClr w14:val="tx1"/>
            </w14:solidFill>
          </w14:textFill>
        </w:rPr>
        <w:t>采购人提供的协助人员</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bookmarkStart w:id="31" w:name="_bookmark152"/>
      <w:bookmarkEnd w:id="31"/>
      <w:r>
        <w:rPr>
          <w:rFonts w:ascii="Times New Roman" w:hAnsi="Times New Roman" w:eastAsia="宋体" w:cs="Times New Roman"/>
          <w:color w:val="000000" w:themeColor="text1"/>
          <w:sz w:val="24"/>
          <w:szCs w:val="24"/>
          <w:highlight w:val="none"/>
          <w14:textFill>
            <w14:solidFill>
              <w14:schemeClr w14:val="tx1"/>
            </w14:solidFill>
          </w14:textFill>
        </w:rPr>
        <w:t xml:space="preserve">Tidak ada. </w:t>
      </w:r>
    </w:p>
    <w:p>
      <w:pPr>
        <w:spacing w:line="360" w:lineRule="auto"/>
        <w:ind w:left="993"/>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无</w:t>
      </w:r>
    </w:p>
    <w:p>
      <w:pPr>
        <w:pStyle w:val="7"/>
        <w:rPr>
          <w:rFonts w:hint="default" w:eastAsia="宋体"/>
          <w:color w:val="000000" w:themeColor="text1"/>
          <w:highlight w:val="none"/>
          <w14:textFill>
            <w14:solidFill>
              <w14:schemeClr w14:val="tx1"/>
            </w14:solidFill>
          </w14:textFill>
        </w:rPr>
      </w:pPr>
    </w:p>
    <w:p>
      <w:pPr>
        <w:pStyle w:val="19"/>
        <w:numPr>
          <w:ilvl w:val="0"/>
          <w:numId w:val="30"/>
        </w:numPr>
        <w:spacing w:line="360" w:lineRule="auto"/>
        <w:ind w:left="284" w:leftChars="0" w:hanging="284" w:firstLine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32" w:name="_Toc12624"/>
      <w:r>
        <w:rPr>
          <w:rFonts w:ascii="Times New Roman" w:hAnsi="Times New Roman" w:eastAsia="黑体" w:cs="Times New Roman"/>
          <w:b/>
          <w:bCs/>
          <w:color w:val="000000" w:themeColor="text1"/>
          <w:sz w:val="24"/>
          <w:szCs w:val="24"/>
          <w:highlight w:val="none"/>
          <w14:textFill>
            <w14:solidFill>
              <w14:schemeClr w14:val="tx1"/>
            </w14:solidFill>
          </w14:textFill>
        </w:rPr>
        <w:t>Kondisi kerja yang harus disediakan oleh pemberi penawaran</w:t>
      </w:r>
      <w:bookmarkEnd w:id="32"/>
    </w:p>
    <w:p>
      <w:pPr>
        <w:pStyle w:val="19"/>
        <w:spacing w:line="360" w:lineRule="auto"/>
        <w:ind w:left="284" w:left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33" w:name="_Toc22635"/>
      <w:r>
        <w:rPr>
          <w:rFonts w:ascii="Times New Roman" w:hAnsi="Times New Roman" w:eastAsia="黑体" w:cs="Times New Roman"/>
          <w:b/>
          <w:bCs/>
          <w:color w:val="000000" w:themeColor="text1"/>
          <w:sz w:val="24"/>
          <w:szCs w:val="24"/>
          <w:highlight w:val="none"/>
          <w14:textFill>
            <w14:solidFill>
              <w14:schemeClr w14:val="tx1"/>
            </w14:solidFill>
          </w14:textFill>
        </w:rPr>
        <w:t>报价人需要自备的工作条件</w:t>
      </w:r>
      <w:bookmarkEnd w:id="33"/>
    </w:p>
    <w:p>
      <w:pPr>
        <w:pStyle w:val="19"/>
        <w:numPr>
          <w:ilvl w:val="0"/>
          <w:numId w:val="40"/>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Menyediakan buku kerja sendiri :</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自备的工作手册：</w:t>
      </w:r>
    </w:p>
    <w:p>
      <w:pPr>
        <w:pStyle w:val="7"/>
        <w:spacing w:after="0" w:line="360" w:lineRule="auto"/>
        <w:ind w:left="1134"/>
        <w:jc w:val="both"/>
        <w:rPr>
          <w:rFonts w:hint="default" w:hAnsi="Times New Roman" w:eastAsia="宋体" w:cs="Times New Roman"/>
          <w:color w:val="000000" w:themeColor="text1"/>
          <w:highlight w:val="none"/>
          <w14:textFill>
            <w14:solidFill>
              <w14:schemeClr w14:val="tx1"/>
            </w14:solidFill>
          </w14:textFill>
        </w:rPr>
      </w:pPr>
      <w:r>
        <w:rPr>
          <w:rFonts w:hAnsi="Times New Roman" w:eastAsia="宋体" w:cs="Times New Roman"/>
          <w:color w:val="000000" w:themeColor="text1"/>
          <w:highlight w:val="none"/>
          <w14:textFill>
            <w14:solidFill>
              <w14:schemeClr w14:val="tx1"/>
            </w14:solidFill>
          </w14:textFill>
        </w:rPr>
        <w:t>Peraturan dan regulasi seperti "Tanggung jawab setiap pos pemadam kebakaran penuh waktu", "Sistem tugas dan kewajiban pemadam kebakaran penuh waktu", "Sistem serah terima pemadam kebakaran penuh waktu", "Sistem studi bisnis dan pelatihan pemadam kebakaran penuh waktu", "Sistem ringkasan kerja pemadam kebakaran penuh waktu", "Sistem manajemen kendaraan pemadam kebakaran", "Sistem manajemen pemadam kebakaran penuh waktu", "Sistem tata graha pemadam kebakaran penuh waktu", "Sistem tata graha pemadam kebakaran penuh waktu", dan lain-lain. Sistem manajemen yang terkait dengan Kontraktor dan Proyek.</w:t>
      </w:r>
    </w:p>
    <w:p>
      <w:pPr>
        <w:spacing w:line="360" w:lineRule="auto"/>
        <w:ind w:left="1134"/>
        <w:jc w:val="both"/>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专职消防队各岗位职责》、《专职消防队值勤、值班制度》、《专职消防队交接班制度》、《专职消防队业务学习、训练制度》、《专职消防队工作总结制度》、《消防车辆管理制度》、《专职消防队管理制度》、《专职消防队内务管理制度》等规章制度。承包单位和本项目相关的管理制度。</w:t>
      </w:r>
    </w:p>
    <w:p>
      <w:pPr>
        <w:pStyle w:val="19"/>
        <w:numPr>
          <w:ilvl w:val="0"/>
          <w:numId w:val="40"/>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Peralatan kantor yang disediakan sendiri: komputer, printer, mesin fotokopi.</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自备的办公设备：电脑、打印机、复印机。</w:t>
      </w:r>
    </w:p>
    <w:p>
      <w:pPr>
        <w:pStyle w:val="19"/>
        <w:numPr>
          <w:ilvl w:val="0"/>
          <w:numId w:val="40"/>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Sarana transportasi yang disediakan sendiri : Tidak ada.</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自备的交通工具：无。</w:t>
      </w:r>
    </w:p>
    <w:p>
      <w:pPr>
        <w:pStyle w:val="19"/>
        <w:numPr>
          <w:ilvl w:val="0"/>
          <w:numId w:val="40"/>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Fasilitas kantor di tempat yang disediakan sendiri: Tidak ada.</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自备的现场办公设施：无。</w:t>
      </w:r>
    </w:p>
    <w:p>
      <w:pPr>
        <w:pStyle w:val="19"/>
        <w:numPr>
          <w:ilvl w:val="0"/>
          <w:numId w:val="40"/>
        </w:num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Fasilitas keselamatan mandiri : Tidak ada.</w:t>
      </w:r>
    </w:p>
    <w:p>
      <w:pPr>
        <w:pStyle w:val="19"/>
        <w:spacing w:line="360" w:lineRule="auto"/>
        <w:ind w:left="114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自备的安全设施：无。</w:t>
      </w:r>
    </w:p>
    <w:p>
      <w:pPr>
        <w:spacing w:line="360" w:lineRule="auto"/>
        <w:outlineLvl w:val="9"/>
        <w:rPr>
          <w:rFonts w:ascii="Times New Roman" w:hAnsi="Times New Roman" w:eastAsia="黑体" w:cs="Times New Roman"/>
          <w:color w:val="000000" w:themeColor="text1"/>
          <w:sz w:val="24"/>
          <w:szCs w:val="24"/>
          <w:highlight w:val="none"/>
          <w14:textFill>
            <w14:solidFill>
              <w14:schemeClr w14:val="tx1"/>
            </w14:solidFill>
          </w14:textFill>
        </w:rPr>
      </w:pPr>
      <w:bookmarkStart w:id="34" w:name="_bookmark153"/>
      <w:bookmarkEnd w:id="34"/>
    </w:p>
    <w:p>
      <w:pPr>
        <w:pStyle w:val="19"/>
        <w:numPr>
          <w:ilvl w:val="0"/>
          <w:numId w:val="30"/>
        </w:numPr>
        <w:spacing w:line="360" w:lineRule="auto"/>
        <w:ind w:left="284" w:leftChars="0" w:hanging="284" w:firstLine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35" w:name="_Toc5091"/>
      <w:r>
        <w:rPr>
          <w:rFonts w:ascii="Times New Roman" w:hAnsi="Times New Roman" w:eastAsia="黑体" w:cs="Times New Roman"/>
          <w:b/>
          <w:bCs/>
          <w:color w:val="000000" w:themeColor="text1"/>
          <w:sz w:val="24"/>
          <w:szCs w:val="24"/>
          <w:highlight w:val="none"/>
          <w14:textFill>
            <w14:solidFill>
              <w14:schemeClr w14:val="tx1"/>
            </w14:solidFill>
          </w14:textFill>
        </w:rPr>
        <w:t xml:space="preserve">Persyaratan lain dari </w:t>
      </w:r>
      <w:r>
        <w:rPr>
          <w:rFonts w:hint="eastAsia" w:ascii="Times New Roman" w:hAnsi="Times New Roman" w:eastAsia="黑体" w:cs="Times New Roman"/>
          <w:b/>
          <w:bCs/>
          <w:color w:val="000000" w:themeColor="text1"/>
          <w:sz w:val="24"/>
          <w:szCs w:val="24"/>
          <w:highlight w:val="none"/>
          <w:lang w:val="en-US" w:eastAsia="zh-CN"/>
          <w14:textFill>
            <w14:solidFill>
              <w14:schemeClr w14:val="tx1"/>
            </w14:solidFill>
          </w14:textFill>
        </w:rPr>
        <w:t xml:space="preserve">pihak </w:t>
      </w:r>
      <w:r>
        <w:rPr>
          <w:rFonts w:ascii="Times New Roman" w:hAnsi="Times New Roman" w:eastAsia="黑体" w:cs="Times New Roman"/>
          <w:b/>
          <w:bCs/>
          <w:color w:val="000000" w:themeColor="text1"/>
          <w:sz w:val="24"/>
          <w:szCs w:val="24"/>
          <w:highlight w:val="none"/>
          <w14:textFill>
            <w14:solidFill>
              <w14:schemeClr w14:val="tx1"/>
            </w14:solidFill>
          </w14:textFill>
        </w:rPr>
        <w:t>pembeli</w:t>
      </w:r>
      <w:bookmarkEnd w:id="35"/>
    </w:p>
    <w:p>
      <w:pPr>
        <w:pStyle w:val="19"/>
        <w:spacing w:line="360" w:lineRule="auto"/>
        <w:ind w:left="284" w:leftChars="0"/>
        <w:outlineLvl w:val="0"/>
        <w:rPr>
          <w:rFonts w:ascii="Times New Roman" w:hAnsi="Times New Roman" w:eastAsia="黑体" w:cs="Times New Roman"/>
          <w:b/>
          <w:bCs/>
          <w:color w:val="000000" w:themeColor="text1"/>
          <w:sz w:val="24"/>
          <w:szCs w:val="24"/>
          <w:highlight w:val="none"/>
          <w14:textFill>
            <w14:solidFill>
              <w14:schemeClr w14:val="tx1"/>
            </w14:solidFill>
          </w14:textFill>
        </w:rPr>
      </w:pPr>
      <w:bookmarkStart w:id="36" w:name="_Toc27794"/>
      <w:r>
        <w:rPr>
          <w:rFonts w:ascii="Times New Roman" w:hAnsi="Times New Roman" w:eastAsia="黑体" w:cs="Times New Roman"/>
          <w:b/>
          <w:bCs/>
          <w:color w:val="000000" w:themeColor="text1"/>
          <w:sz w:val="24"/>
          <w:szCs w:val="24"/>
          <w:highlight w:val="none"/>
          <w14:textFill>
            <w14:solidFill>
              <w14:schemeClr w14:val="tx1"/>
            </w14:solidFill>
          </w14:textFill>
        </w:rPr>
        <w:t>采购人的其他要求</w:t>
      </w:r>
      <w:bookmarkEnd w:id="36"/>
    </w:p>
    <w:p>
      <w:pPr>
        <w:spacing w:line="360" w:lineRule="auto"/>
        <w:ind w:left="284"/>
        <w:rPr>
          <w:rFonts w:ascii="Times New Roman" w:hAnsi="Times New Roman" w:eastAsia="宋体" w:cs="Times New Roman"/>
          <w:color w:val="000000" w:themeColor="text1"/>
          <w:sz w:val="24"/>
          <w:szCs w:val="24"/>
          <w:highlight w:val="none"/>
          <w14:textFill>
            <w14:solidFill>
              <w14:schemeClr w14:val="tx1"/>
            </w14:solidFill>
          </w14:textFill>
        </w:rPr>
      </w:pPr>
      <w:bookmarkStart w:id="37" w:name="_bookmark154"/>
      <w:bookmarkEnd w:id="37"/>
      <w:r>
        <w:rPr>
          <w:rFonts w:ascii="Times New Roman" w:hAnsi="Times New Roman" w:eastAsia="宋体" w:cs="Times New Roman"/>
          <w:color w:val="000000" w:themeColor="text1"/>
          <w:sz w:val="24"/>
          <w:szCs w:val="24"/>
          <w:highlight w:val="none"/>
          <w14:textFill>
            <w14:solidFill>
              <w14:schemeClr w14:val="tx1"/>
            </w14:solidFill>
          </w14:textFill>
        </w:rPr>
        <w:t xml:space="preserve">Tidak ada. </w:t>
      </w:r>
    </w:p>
    <w:p>
      <w:pPr>
        <w:spacing w:line="360" w:lineRule="auto"/>
        <w:ind w:left="284"/>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FangSong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Mincho">
    <w:altName w:val="MS Gothic"/>
    <w:panose1 w:val="02020609040205080304"/>
    <w:charset w:val="80"/>
    <w:family w:val="roman"/>
    <w:pitch w:val="default"/>
    <w:sig w:usb0="00000000" w:usb1="00000000" w:usb2="00000010" w:usb3="00000000" w:csb0="00020000" w:csb1="0000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FZLanTingHei-EB-GBK">
    <w:altName w:val="宋体"/>
    <w:panose1 w:val="02000000000000000000"/>
    <w:charset w:val="86"/>
    <w:family w:val="auto"/>
    <w:pitch w:val="default"/>
    <w:sig w:usb0="00000000" w:usb1="00000000" w:usb2="00042016" w:usb3="0000001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FZXiaoBiaoSong-B05">
    <w:altName w:val="宋体"/>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lang w:val="zh-CN"/>
      </w:rPr>
      <w:t>20</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wordWrap w:val="0"/>
      <w:ind w:right="241"/>
      <w:jc w:val="right"/>
      <w:rPr>
        <w:rFonts w:hint="eastAsia" w:ascii="Arial" w:hAnsi="Arial" w:cs="Arial"/>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00E612"/>
    <w:multiLevelType w:val="singleLevel"/>
    <w:tmpl w:val="C200E612"/>
    <w:lvl w:ilvl="0" w:tentative="0">
      <w:start w:val="2"/>
      <w:numFmt w:val="decimal"/>
      <w:suff w:val="nothing"/>
      <w:lvlText w:val="%1、"/>
      <w:lvlJc w:val="left"/>
      <w:pPr>
        <w:ind w:left="1418" w:firstLine="0"/>
      </w:pPr>
    </w:lvl>
  </w:abstractNum>
  <w:abstractNum w:abstractNumId="1">
    <w:nsid w:val="05CA4D95"/>
    <w:multiLevelType w:val="multilevel"/>
    <w:tmpl w:val="05CA4D95"/>
    <w:lvl w:ilvl="0" w:tentative="0">
      <w:start w:val="1"/>
      <w:numFmt w:val="lowerLetter"/>
      <w:lvlText w:val="%1."/>
      <w:lvlJc w:val="left"/>
      <w:pPr>
        <w:ind w:left="1140" w:hanging="360"/>
      </w:pPr>
      <w:rPr>
        <w:rFonts w:hint="default"/>
      </w:r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2">
    <w:nsid w:val="06923DF6"/>
    <w:multiLevelType w:val="multilevel"/>
    <w:tmpl w:val="06923DF6"/>
    <w:lvl w:ilvl="0" w:tentative="0">
      <w:start w:val="2"/>
      <w:numFmt w:val="decimal"/>
      <w:lvlText w:val="4.%1."/>
      <w:lvlJc w:val="left"/>
      <w:pPr>
        <w:ind w:left="720" w:hanging="360"/>
      </w:pPr>
      <w:rPr>
        <w:rFonts w:hint="eastAsia" w:ascii="宋体" w:hAnsi="宋体" w:eastAsia="宋体"/>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F64C73"/>
    <w:multiLevelType w:val="multilevel"/>
    <w:tmpl w:val="14F64C73"/>
    <w:lvl w:ilvl="0" w:tentative="0">
      <w:start w:val="2"/>
      <w:numFmt w:val="lowerLetter"/>
      <w:lvlText w:val="%1."/>
      <w:lvlJc w:val="left"/>
      <w:pPr>
        <w:ind w:left="22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5267AEB"/>
    <w:multiLevelType w:val="multilevel"/>
    <w:tmpl w:val="15267AEB"/>
    <w:lvl w:ilvl="0" w:tentative="0">
      <w:start w:val="3"/>
      <w:numFmt w:val="lowerLetter"/>
      <w:lvlText w:val="%1."/>
      <w:lvlJc w:val="left"/>
      <w:pPr>
        <w:ind w:left="12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6F26C19"/>
    <w:multiLevelType w:val="multilevel"/>
    <w:tmpl w:val="16F26C19"/>
    <w:lvl w:ilvl="0" w:tentative="0">
      <w:start w:val="10"/>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95E73B2"/>
    <w:multiLevelType w:val="multilevel"/>
    <w:tmpl w:val="195E73B2"/>
    <w:lvl w:ilvl="0" w:tentative="0">
      <w:start w:val="1"/>
      <w:numFmt w:val="lowerLetter"/>
      <w:lvlText w:val="%1."/>
      <w:lvlJc w:val="left"/>
      <w:pPr>
        <w:ind w:left="1200" w:hanging="360"/>
      </w:p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7">
    <w:nsid w:val="1A3F29DB"/>
    <w:multiLevelType w:val="multilevel"/>
    <w:tmpl w:val="1A3F29DB"/>
    <w:lvl w:ilvl="0" w:tentative="0">
      <w:start w:val="4"/>
      <w:numFmt w:val="lowerLetter"/>
      <w:lvlText w:val="%1."/>
      <w:lvlJc w:val="left"/>
      <w:pPr>
        <w:ind w:left="12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50148AC"/>
    <w:multiLevelType w:val="multilevel"/>
    <w:tmpl w:val="250148AC"/>
    <w:lvl w:ilvl="0" w:tentative="0">
      <w:start w:val="1"/>
      <w:numFmt w:val="lowerLetter"/>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9">
    <w:nsid w:val="2B5D52C8"/>
    <w:multiLevelType w:val="multilevel"/>
    <w:tmpl w:val="2B5D52C8"/>
    <w:lvl w:ilvl="0" w:tentative="0">
      <w:start w:val="1"/>
      <w:numFmt w:val="decimal"/>
      <w:lvlText w:val="1.5.%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6505A6A"/>
    <w:multiLevelType w:val="multilevel"/>
    <w:tmpl w:val="36505A6A"/>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11">
    <w:nsid w:val="36AF0D58"/>
    <w:multiLevelType w:val="multilevel"/>
    <w:tmpl w:val="36AF0D58"/>
    <w:lvl w:ilvl="0" w:tentative="0">
      <w:start w:val="1"/>
      <w:numFmt w:val="decimal"/>
      <w:lvlText w:val="1.7.%1."/>
      <w:lvlJc w:val="left"/>
      <w:pPr>
        <w:ind w:left="1200" w:hanging="360"/>
      </w:pPr>
      <w:rPr>
        <w:rFonts w:hint="default"/>
      </w:r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12">
    <w:nsid w:val="36D545AF"/>
    <w:multiLevelType w:val="multilevel"/>
    <w:tmpl w:val="36D545AF"/>
    <w:lvl w:ilvl="0" w:tentative="0">
      <w:start w:val="1"/>
      <w:numFmt w:val="decimal"/>
      <w:lvlText w:val="3.2.%1."/>
      <w:lvlJc w:val="left"/>
      <w:pPr>
        <w:ind w:left="720" w:hanging="360"/>
      </w:pPr>
      <w:rPr>
        <w:rFonts w:hint="default" w:ascii="Times New Roman" w:hAnsi="Times New Roman" w:eastAsia="宋体"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97F04DF"/>
    <w:multiLevelType w:val="multilevel"/>
    <w:tmpl w:val="397F04DF"/>
    <w:lvl w:ilvl="0" w:tentative="0">
      <w:start w:val="8"/>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CC62CDA"/>
    <w:multiLevelType w:val="multilevel"/>
    <w:tmpl w:val="3CC62CDA"/>
    <w:lvl w:ilvl="0" w:tentative="0">
      <w:start w:val="1"/>
      <w:numFmt w:val="decimal"/>
      <w:lvlText w:val="3.3.%1."/>
      <w:lvlJc w:val="left"/>
      <w:pPr>
        <w:ind w:left="720" w:hanging="360"/>
      </w:pPr>
      <w:rPr>
        <w:rFonts w:hint="default" w:ascii="Times New Roman" w:hAnsi="Times New Roman" w:eastAsia="宋体"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EDA5F8F"/>
    <w:multiLevelType w:val="multilevel"/>
    <w:tmpl w:val="3EDA5F8F"/>
    <w:lvl w:ilvl="0" w:tentative="0">
      <w:start w:val="1"/>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10B0626"/>
    <w:multiLevelType w:val="multilevel"/>
    <w:tmpl w:val="410B0626"/>
    <w:lvl w:ilvl="0" w:tentative="0">
      <w:start w:val="1"/>
      <w:numFmt w:val="decimal"/>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17">
    <w:nsid w:val="4374030D"/>
    <w:multiLevelType w:val="multilevel"/>
    <w:tmpl w:val="4374030D"/>
    <w:lvl w:ilvl="0" w:tentative="0">
      <w:start w:val="9"/>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9EC1BCB"/>
    <w:multiLevelType w:val="multilevel"/>
    <w:tmpl w:val="49EC1BCB"/>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19">
    <w:nsid w:val="4B6E6F51"/>
    <w:multiLevelType w:val="multilevel"/>
    <w:tmpl w:val="4B6E6F51"/>
    <w:lvl w:ilvl="0" w:tentative="0">
      <w:start w:val="1"/>
      <w:numFmt w:val="decimal"/>
      <w:lvlText w:val="3.%1."/>
      <w:lvlJc w:val="left"/>
      <w:pPr>
        <w:ind w:left="720" w:hanging="360"/>
      </w:pPr>
      <w:rPr>
        <w:rFonts w:hint="default" w:ascii="Times New Roman" w:hAnsi="Times New Roman" w:eastAsia="宋体"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C645A7A"/>
    <w:multiLevelType w:val="multilevel"/>
    <w:tmpl w:val="4C645A7A"/>
    <w:lvl w:ilvl="0" w:tentative="0">
      <w:start w:val="3"/>
      <w:numFmt w:val="lowerLetter"/>
      <w:lvlText w:val="%1."/>
      <w:lvlJc w:val="left"/>
      <w:pPr>
        <w:ind w:left="12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E7E0B2A"/>
    <w:multiLevelType w:val="multilevel"/>
    <w:tmpl w:val="4E7E0B2A"/>
    <w:lvl w:ilvl="0" w:tentative="0">
      <w:start w:val="1"/>
      <w:numFmt w:val="decimal"/>
      <w:lvlText w:val="%1."/>
      <w:lvlJc w:val="left"/>
      <w:pPr>
        <w:ind w:left="720" w:hanging="360"/>
      </w:pPr>
      <w:rPr>
        <w:rFonts w:hint="default"/>
      </w:rPr>
    </w:lvl>
    <w:lvl w:ilvl="1" w:tentative="0">
      <w:start w:val="7"/>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22">
    <w:nsid w:val="4EE60F05"/>
    <w:multiLevelType w:val="multilevel"/>
    <w:tmpl w:val="4EE60F05"/>
    <w:lvl w:ilvl="0" w:tentative="0">
      <w:start w:val="1"/>
      <w:numFmt w:val="lowerLetter"/>
      <w:lvlText w:val="%1."/>
      <w:lvlJc w:val="left"/>
      <w:pPr>
        <w:ind w:left="1200" w:hanging="360"/>
      </w:p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23">
    <w:nsid w:val="5D8436D8"/>
    <w:multiLevelType w:val="singleLevel"/>
    <w:tmpl w:val="5D8436D8"/>
    <w:lvl w:ilvl="0" w:tentative="0">
      <w:start w:val="2"/>
      <w:numFmt w:val="chineseCounting"/>
      <w:suff w:val="nothing"/>
      <w:lvlText w:val="%1、"/>
      <w:lvlJc w:val="left"/>
    </w:lvl>
  </w:abstractNum>
  <w:abstractNum w:abstractNumId="24">
    <w:nsid w:val="5E000175"/>
    <w:multiLevelType w:val="multilevel"/>
    <w:tmpl w:val="5E000175"/>
    <w:lvl w:ilvl="0" w:tentative="0">
      <w:start w:val="1"/>
      <w:numFmt w:val="lowerLetter"/>
      <w:lvlText w:val="%1."/>
      <w:lvlJc w:val="left"/>
      <w:pPr>
        <w:ind w:left="1200" w:hanging="360"/>
      </w:p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25">
    <w:nsid w:val="5E860406"/>
    <w:multiLevelType w:val="multilevel"/>
    <w:tmpl w:val="5E860406"/>
    <w:lvl w:ilvl="0" w:tentative="0">
      <w:start w:val="3"/>
      <w:numFmt w:val="lowerLetter"/>
      <w:lvlText w:val="%1."/>
      <w:lvlJc w:val="left"/>
      <w:pPr>
        <w:ind w:left="22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60CB140D"/>
    <w:multiLevelType w:val="multilevel"/>
    <w:tmpl w:val="60CB140D"/>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27">
    <w:nsid w:val="61524554"/>
    <w:multiLevelType w:val="multilevel"/>
    <w:tmpl w:val="61524554"/>
    <w:lvl w:ilvl="0" w:tentative="0">
      <w:start w:val="1"/>
      <w:numFmt w:val="decimal"/>
      <w:lvlText w:val="4.%1."/>
      <w:lvlJc w:val="left"/>
      <w:pPr>
        <w:ind w:left="720" w:hanging="360"/>
      </w:pPr>
      <w:rPr>
        <w:rFonts w:hint="eastAsia" w:ascii="宋体" w:hAnsi="宋体" w:eastAsia="宋体"/>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65FA78D9"/>
    <w:multiLevelType w:val="multilevel"/>
    <w:tmpl w:val="65FA78D9"/>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29">
    <w:nsid w:val="671A3009"/>
    <w:multiLevelType w:val="multilevel"/>
    <w:tmpl w:val="671A3009"/>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30">
    <w:nsid w:val="67EA5543"/>
    <w:multiLevelType w:val="multilevel"/>
    <w:tmpl w:val="67EA5543"/>
    <w:lvl w:ilvl="0" w:tentative="0">
      <w:start w:val="2"/>
      <w:numFmt w:val="decimal"/>
      <w:lvlText w:val="3.%1."/>
      <w:lvlJc w:val="left"/>
      <w:pPr>
        <w:ind w:left="720" w:hanging="360"/>
      </w:pPr>
      <w:rPr>
        <w:rFonts w:hint="default" w:ascii="Times New Roman" w:hAnsi="Times New Roman" w:eastAsia="宋体"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698F57B1"/>
    <w:multiLevelType w:val="multilevel"/>
    <w:tmpl w:val="698F57B1"/>
    <w:lvl w:ilvl="0" w:tentative="0">
      <w:start w:val="2"/>
      <w:numFmt w:val="decimal"/>
      <w:lvlText w:val="3.3.%1."/>
      <w:lvlJc w:val="left"/>
      <w:pPr>
        <w:ind w:left="1200" w:hanging="360"/>
      </w:pPr>
      <w:rPr>
        <w:rFonts w:hint="default" w:ascii="Times New Roman" w:hAnsi="Times New Roman" w:eastAsia="宋体" w:cs="Times New Roman"/>
      </w:r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32">
    <w:nsid w:val="6A1C07AE"/>
    <w:multiLevelType w:val="multilevel"/>
    <w:tmpl w:val="6A1C07AE"/>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33">
    <w:nsid w:val="72963411"/>
    <w:multiLevelType w:val="multilevel"/>
    <w:tmpl w:val="72963411"/>
    <w:lvl w:ilvl="0" w:tentative="0">
      <w:start w:val="3"/>
      <w:numFmt w:val="decimal"/>
      <w:lvlText w:val="1.10.%1."/>
      <w:lvlJc w:val="left"/>
      <w:pPr>
        <w:ind w:left="12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752F5640"/>
    <w:multiLevelType w:val="multilevel"/>
    <w:tmpl w:val="752F5640"/>
    <w:lvl w:ilvl="0" w:tentative="0">
      <w:start w:val="1"/>
      <w:numFmt w:val="decimal"/>
      <w:lvlText w:val="3.1.%1."/>
      <w:lvlJc w:val="left"/>
      <w:pPr>
        <w:ind w:left="12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76AF56C1"/>
    <w:multiLevelType w:val="multilevel"/>
    <w:tmpl w:val="76AF56C1"/>
    <w:lvl w:ilvl="0" w:tentative="0">
      <w:start w:val="2"/>
      <w:numFmt w:val="decimal"/>
      <w:lvlText w:val="%1."/>
      <w:lvlJc w:val="left"/>
      <w:pPr>
        <w:ind w:left="720" w:hanging="360"/>
      </w:pPr>
      <w:rPr>
        <w:rFonts w:hint="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7AA275F0"/>
    <w:multiLevelType w:val="multilevel"/>
    <w:tmpl w:val="7AA275F0"/>
    <w:lvl w:ilvl="0" w:tentative="0">
      <w:start w:val="1"/>
      <w:numFmt w:val="decimal"/>
      <w:lvlText w:val="1.6.%1."/>
      <w:lvlJc w:val="left"/>
      <w:pPr>
        <w:ind w:left="1920" w:hanging="360"/>
      </w:pPr>
      <w:rPr>
        <w:rFonts w:hint="default"/>
      </w:rPr>
    </w:lvl>
    <w:lvl w:ilvl="1" w:tentative="0">
      <w:start w:val="1"/>
      <w:numFmt w:val="lowerLetter"/>
      <w:lvlText w:val="%2."/>
      <w:lvlJc w:val="left"/>
      <w:pPr>
        <w:ind w:left="2640" w:hanging="360"/>
      </w:pPr>
    </w:lvl>
    <w:lvl w:ilvl="2" w:tentative="0">
      <w:start w:val="1"/>
      <w:numFmt w:val="lowerRoman"/>
      <w:lvlText w:val="%3."/>
      <w:lvlJc w:val="right"/>
      <w:pPr>
        <w:ind w:left="3360" w:hanging="180"/>
      </w:pPr>
    </w:lvl>
    <w:lvl w:ilvl="3" w:tentative="0">
      <w:start w:val="1"/>
      <w:numFmt w:val="decimal"/>
      <w:lvlText w:val="%4."/>
      <w:lvlJc w:val="left"/>
      <w:pPr>
        <w:ind w:left="4080" w:hanging="360"/>
      </w:pPr>
    </w:lvl>
    <w:lvl w:ilvl="4" w:tentative="0">
      <w:start w:val="1"/>
      <w:numFmt w:val="lowerLetter"/>
      <w:lvlText w:val="%5."/>
      <w:lvlJc w:val="left"/>
      <w:pPr>
        <w:ind w:left="4800" w:hanging="360"/>
      </w:pPr>
    </w:lvl>
    <w:lvl w:ilvl="5" w:tentative="0">
      <w:start w:val="1"/>
      <w:numFmt w:val="lowerRoman"/>
      <w:lvlText w:val="%6."/>
      <w:lvlJc w:val="right"/>
      <w:pPr>
        <w:ind w:left="5520" w:hanging="180"/>
      </w:pPr>
    </w:lvl>
    <w:lvl w:ilvl="6" w:tentative="0">
      <w:start w:val="1"/>
      <w:numFmt w:val="decimal"/>
      <w:lvlText w:val="%7."/>
      <w:lvlJc w:val="left"/>
      <w:pPr>
        <w:ind w:left="6240" w:hanging="360"/>
      </w:pPr>
    </w:lvl>
    <w:lvl w:ilvl="7" w:tentative="0">
      <w:start w:val="1"/>
      <w:numFmt w:val="lowerLetter"/>
      <w:lvlText w:val="%8."/>
      <w:lvlJc w:val="left"/>
      <w:pPr>
        <w:ind w:left="6960" w:hanging="360"/>
      </w:pPr>
    </w:lvl>
    <w:lvl w:ilvl="8" w:tentative="0">
      <w:start w:val="1"/>
      <w:numFmt w:val="lowerRoman"/>
      <w:lvlText w:val="%9."/>
      <w:lvlJc w:val="right"/>
      <w:pPr>
        <w:ind w:left="7680" w:hanging="180"/>
      </w:pPr>
    </w:lvl>
  </w:abstractNum>
  <w:abstractNum w:abstractNumId="37">
    <w:nsid w:val="7B861467"/>
    <w:multiLevelType w:val="multilevel"/>
    <w:tmpl w:val="7B861467"/>
    <w:lvl w:ilvl="0" w:tentative="0">
      <w:start w:val="1"/>
      <w:numFmt w:val="lowerLetter"/>
      <w:lvlText w:val="%1."/>
      <w:lvlJc w:val="left"/>
      <w:pPr>
        <w:ind w:left="22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7D7A774F"/>
    <w:multiLevelType w:val="multilevel"/>
    <w:tmpl w:val="7D7A774F"/>
    <w:lvl w:ilvl="0" w:tentative="0">
      <w:start w:val="1"/>
      <w:numFmt w:val="lowerLetter"/>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39">
    <w:nsid w:val="7E293561"/>
    <w:multiLevelType w:val="multilevel"/>
    <w:tmpl w:val="7E293561"/>
    <w:lvl w:ilvl="0" w:tentative="0">
      <w:start w:val="1"/>
      <w:numFmt w:val="decimal"/>
      <w:lvlText w:val="1.10.%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3"/>
  </w:num>
  <w:num w:numId="3">
    <w:abstractNumId w:val="21"/>
  </w:num>
  <w:num w:numId="4">
    <w:abstractNumId w:val="15"/>
  </w:num>
  <w:num w:numId="5">
    <w:abstractNumId w:val="9"/>
  </w:num>
  <w:num w:numId="6">
    <w:abstractNumId w:val="32"/>
  </w:num>
  <w:num w:numId="7">
    <w:abstractNumId w:val="28"/>
  </w:num>
  <w:num w:numId="8">
    <w:abstractNumId w:val="36"/>
  </w:num>
  <w:num w:numId="9">
    <w:abstractNumId w:val="38"/>
  </w:num>
  <w:num w:numId="10">
    <w:abstractNumId w:val="3"/>
  </w:num>
  <w:num w:numId="11">
    <w:abstractNumId w:val="25"/>
  </w:num>
  <w:num w:numId="12">
    <w:abstractNumId w:val="37"/>
  </w:num>
  <w:num w:numId="13">
    <w:abstractNumId w:val="18"/>
  </w:num>
  <w:num w:numId="14">
    <w:abstractNumId w:val="10"/>
  </w:num>
  <w:num w:numId="15">
    <w:abstractNumId w:val="11"/>
  </w:num>
  <w:num w:numId="16">
    <w:abstractNumId w:val="29"/>
  </w:num>
  <w:num w:numId="17">
    <w:abstractNumId w:val="26"/>
  </w:num>
  <w:num w:numId="18">
    <w:abstractNumId w:val="20"/>
  </w:num>
  <w:num w:numId="19">
    <w:abstractNumId w:val="6"/>
  </w:num>
  <w:num w:numId="20">
    <w:abstractNumId w:val="13"/>
  </w:num>
  <w:num w:numId="21">
    <w:abstractNumId w:val="16"/>
  </w:num>
  <w:num w:numId="22">
    <w:abstractNumId w:val="17"/>
  </w:num>
  <w:num w:numId="23">
    <w:abstractNumId w:val="5"/>
  </w:num>
  <w:num w:numId="24">
    <w:abstractNumId w:val="39"/>
  </w:num>
  <w:num w:numId="25">
    <w:abstractNumId w:val="24"/>
  </w:num>
  <w:num w:numId="26">
    <w:abstractNumId w:val="4"/>
  </w:num>
  <w:num w:numId="27">
    <w:abstractNumId w:val="7"/>
  </w:num>
  <w:num w:numId="28">
    <w:abstractNumId w:val="33"/>
  </w:num>
  <w:num w:numId="29">
    <w:abstractNumId w:val="22"/>
  </w:num>
  <w:num w:numId="30">
    <w:abstractNumId w:val="35"/>
  </w:num>
  <w:num w:numId="31">
    <w:abstractNumId w:val="8"/>
  </w:num>
  <w:num w:numId="32">
    <w:abstractNumId w:val="19"/>
  </w:num>
  <w:num w:numId="33">
    <w:abstractNumId w:val="34"/>
  </w:num>
  <w:num w:numId="34">
    <w:abstractNumId w:val="30"/>
  </w:num>
  <w:num w:numId="35">
    <w:abstractNumId w:val="12"/>
  </w:num>
  <w:num w:numId="36">
    <w:abstractNumId w:val="14"/>
  </w:num>
  <w:num w:numId="37">
    <w:abstractNumId w:val="31"/>
  </w:num>
  <w:num w:numId="38">
    <w:abstractNumId w:val="27"/>
  </w:num>
  <w:num w:numId="39">
    <w:abstractNumId w:val="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73E63"/>
    <w:rsid w:val="001A34F1"/>
    <w:rsid w:val="08FD30B7"/>
    <w:rsid w:val="0CEE4C56"/>
    <w:rsid w:val="11B8603F"/>
    <w:rsid w:val="16373E63"/>
    <w:rsid w:val="18377B20"/>
    <w:rsid w:val="1F3616DB"/>
    <w:rsid w:val="23271895"/>
    <w:rsid w:val="37307147"/>
    <w:rsid w:val="5134130C"/>
    <w:rsid w:val="57AE07FF"/>
    <w:rsid w:val="61E94A0C"/>
    <w:rsid w:val="62F1462D"/>
    <w:rsid w:val="65F65EF7"/>
    <w:rsid w:val="695E2013"/>
    <w:rsid w:val="6AFD06E1"/>
    <w:rsid w:val="78302AF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5">
    <w:name w:val="heading 2"/>
    <w:basedOn w:val="1"/>
    <w:next w:val="6"/>
    <w:unhideWhenUsed/>
    <w:qFormat/>
    <w:uiPriority w:val="0"/>
    <w:pPr>
      <w:widowControl/>
      <w:spacing w:before="260" w:beforeLines="0" w:after="260" w:afterLines="0" w:line="408" w:lineRule="auto"/>
      <w:outlineLvl w:val="1"/>
    </w:pPr>
    <w:rPr>
      <w:rFonts w:hint="eastAsia" w:ascii="黑体" w:hAnsi="宋体" w:eastAsia="黑体"/>
      <w:b/>
      <w:sz w:val="32"/>
    </w:rPr>
  </w:style>
  <w:style w:type="character" w:default="1" w:styleId="13">
    <w:name w:val="Default Paragraph Font"/>
    <w:link w:val="14"/>
    <w:semiHidden/>
    <w:uiPriority w:val="0"/>
    <w:rPr>
      <w:rFonts w:ascii="宋体" w:hAnsi="宋体" w:cs="宋体"/>
    </w:rPr>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adjustRightInd/>
      <w:snapToGrid/>
      <w:spacing w:after="120" w:afterLines="0" w:line="240" w:lineRule="auto"/>
      <w:ind w:left="420" w:leftChars="200" w:firstLine="420" w:firstLineChars="200"/>
      <w:jc w:val="both"/>
    </w:pPr>
    <w:rPr>
      <w:rFonts w:ascii="Times New Roman" w:hAnsi="Times New Roman"/>
      <w:color w:val="auto"/>
      <w:sz w:val="21"/>
    </w:rPr>
  </w:style>
  <w:style w:type="paragraph" w:styleId="3">
    <w:name w:val="Body Text Indent"/>
    <w:basedOn w:val="1"/>
    <w:next w:val="1"/>
    <w:qFormat/>
    <w:uiPriority w:val="0"/>
    <w:pPr>
      <w:adjustRightInd w:val="0"/>
      <w:spacing w:line="360" w:lineRule="auto"/>
      <w:ind w:left="454"/>
      <w:jc w:val="left"/>
      <w:textAlignment w:val="baseline"/>
    </w:pPr>
    <w:rPr>
      <w:rFonts w:ascii="宋体"/>
      <w:kern w:val="0"/>
      <w:sz w:val="24"/>
    </w:rPr>
  </w:style>
  <w:style w:type="paragraph" w:styleId="4">
    <w:name w:val="toc 7"/>
    <w:basedOn w:val="1"/>
    <w:next w:val="1"/>
    <w:qFormat/>
    <w:uiPriority w:val="0"/>
    <w:pPr>
      <w:ind w:left="1260"/>
      <w:jc w:val="left"/>
    </w:pPr>
    <w:rPr>
      <w:rFonts w:ascii="Calibri" w:hAnsi="Calibri" w:cs="Calibri"/>
      <w:sz w:val="18"/>
      <w:szCs w:val="18"/>
    </w:rPr>
  </w:style>
  <w:style w:type="paragraph" w:styleId="6">
    <w:name w:val="Normal Indent"/>
    <w:basedOn w:val="1"/>
    <w:next w:val="1"/>
    <w:qFormat/>
    <w:uiPriority w:val="0"/>
    <w:pPr>
      <w:ind w:firstLine="420" w:firstLineChars="200"/>
    </w:pPr>
    <w:rPr>
      <w:rFonts w:hint="eastAsia"/>
      <w:szCs w:val="24"/>
    </w:rPr>
  </w:style>
  <w:style w:type="paragraph" w:styleId="7">
    <w:name w:val="Body Text"/>
    <w:basedOn w:val="1"/>
    <w:qFormat/>
    <w:uiPriority w:val="0"/>
    <w:pPr>
      <w:spacing w:after="120"/>
    </w:pPr>
    <w:rPr>
      <w:rFonts w:hint="eastAsia" w:ascii="Times New Roman" w:eastAsia="Times New Roman"/>
      <w:sz w:val="24"/>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next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0">
    <w:name w:val="目录 81"/>
    <w:next w:val="1"/>
    <w:qFormat/>
    <w:uiPriority w:val="0"/>
    <w:pPr>
      <w:wordWrap w:val="0"/>
      <w:ind w:left="2550"/>
      <w:jc w:val="both"/>
    </w:pPr>
    <w:rPr>
      <w:rFonts w:asciiTheme="minorHAnsi" w:hAnsiTheme="minorHAnsi" w:eastAsiaTheme="minorEastAsia" w:cstheme="minorBidi"/>
      <w:sz w:val="21"/>
      <w:szCs w:val="22"/>
      <w:lang w:val="en-US" w:eastAsia="zh-CN" w:bidi="ar-SA"/>
    </w:rPr>
  </w:style>
  <w:style w:type="paragraph" w:styleId="11">
    <w:name w:val="toc 1"/>
    <w:basedOn w:val="1"/>
    <w:next w:val="1"/>
    <w:qFormat/>
    <w:uiPriority w:val="0"/>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4">
    <w:name w:val=" Char Char Char Char"/>
    <w:basedOn w:val="1"/>
    <w:link w:val="13"/>
    <w:qFormat/>
    <w:uiPriority w:val="0"/>
    <w:pPr>
      <w:spacing w:line="360" w:lineRule="auto"/>
      <w:ind w:firstLine="200" w:firstLineChars="200"/>
    </w:pPr>
    <w:rPr>
      <w:rFonts w:ascii="宋体" w:hAnsi="宋体" w:cs="宋体"/>
    </w:rPr>
  </w:style>
  <w:style w:type="character" w:styleId="15">
    <w:name w:val="page number"/>
    <w:basedOn w:val="13"/>
    <w:qFormat/>
    <w:uiPriority w:val="0"/>
  </w:style>
  <w:style w:type="character" w:styleId="16">
    <w:name w:val="Emphasis"/>
    <w:basedOn w:val="13"/>
    <w:qFormat/>
    <w:uiPriority w:val="0"/>
    <w:rPr>
      <w:i/>
      <w:i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9">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2025-05-14T02:09:00Z</dcterms:created>
  <dc:creator>75793</dc:creator>
  <cp:lastModifiedBy>75793</cp:lastModifiedBy>
  <cp:lastPrinted>2025-05-20T01:28:00Z</cp:lastPrinted>
  <dcterms:modified xsi:type="dcterms:W3CDTF">2025-05-20T08:13:28Z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