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after="0" w:line="240" w:lineRule="auto"/>
        <w:jc w:val="left"/>
        <w:rPr>
          <w:rFonts w:ascii="方正小标宋简体" w:hAnsi="黑体" w:eastAsia="方正小标宋简体"/>
          <w:sz w:val="28"/>
          <w:szCs w:val="24"/>
        </w:rPr>
      </w:pPr>
    </w:p>
    <w:p>
      <w:pPr>
        <w:adjustRightInd w:val="0"/>
        <w:snapToGrid w:val="0"/>
        <w:spacing w:after="0" w:line="240" w:lineRule="auto"/>
        <w:jc w:val="left"/>
        <w:rPr>
          <w:rFonts w:ascii="方正小标宋简体" w:hAnsi="黑体" w:eastAsia="方正小标宋简体"/>
          <w:sz w:val="32"/>
          <w:szCs w:val="32"/>
        </w:rPr>
      </w:pPr>
    </w:p>
    <w:p>
      <w:pPr>
        <w:adjustRightInd w:val="0"/>
        <w:snapToGrid w:val="0"/>
        <w:spacing w:after="0" w:line="240" w:lineRule="auto"/>
        <w:jc w:val="center"/>
        <w:rPr>
          <w:rFonts w:hint="eastAsia" w:ascii="方正小标宋简体" w:hAnsi="黑体" w:eastAsia="方正小标宋简体"/>
          <w:sz w:val="36"/>
          <w:szCs w:val="36"/>
        </w:rPr>
      </w:pPr>
      <w:r>
        <w:rPr>
          <w:rFonts w:hint="eastAsia" w:ascii="方正小标宋简体" w:hAnsi="黑体" w:eastAsia="方正小标宋简体"/>
          <w:sz w:val="36"/>
          <w:szCs w:val="36"/>
          <w:lang w:val="en-US" w:eastAsia="zh-CN"/>
        </w:rPr>
        <w:t>检修移动摄像头</w:t>
      </w:r>
      <w:r>
        <w:rPr>
          <w:rFonts w:hint="eastAsia" w:ascii="方正小标宋简体" w:hAnsi="黑体" w:eastAsia="方正小标宋简体"/>
          <w:sz w:val="36"/>
          <w:szCs w:val="36"/>
        </w:rPr>
        <w:t>采购询价单</w:t>
      </w:r>
    </w:p>
    <w:p>
      <w:pPr>
        <w:adjustRightInd w:val="0"/>
        <w:snapToGrid w:val="0"/>
        <w:spacing w:after="0" w:line="240" w:lineRule="auto"/>
        <w:jc w:val="center"/>
        <w:rPr>
          <w:rFonts w:ascii="方正小标宋简体" w:hAnsi="黑体" w:eastAsia="方正小标宋简体"/>
          <w:sz w:val="36"/>
          <w:szCs w:val="36"/>
        </w:rPr>
      </w:pPr>
      <w:r>
        <w:rPr>
          <w:rFonts w:hint="eastAsia" w:ascii="方正小标宋简体" w:hAnsi="黑体" w:eastAsia="方正小标宋简体"/>
          <w:sz w:val="36"/>
          <w:szCs w:val="36"/>
        </w:rPr>
        <w:t>Memperbaiki kamera ponsel</w:t>
      </w:r>
    </w:p>
    <w:p>
      <w:pPr>
        <w:adjustRightInd w:val="0"/>
        <w:snapToGrid w:val="0"/>
        <w:spacing w:after="0" w:line="240" w:lineRule="auto"/>
        <w:jc w:val="center"/>
        <w:rPr>
          <w:rFonts w:ascii="方正小标宋简体" w:hAnsi="黑体" w:eastAsia="方正小标宋简体"/>
          <w:sz w:val="36"/>
          <w:szCs w:val="36"/>
        </w:rPr>
      </w:pPr>
      <w:r>
        <w:rPr>
          <w:rFonts w:ascii="方正小标宋简体" w:hAnsi="黑体" w:eastAsia="方正小标宋简体"/>
          <w:sz w:val="36"/>
          <w:szCs w:val="36"/>
        </w:rPr>
        <w:t xml:space="preserve">Formulir Permohonan Pembelian </w:t>
      </w:r>
    </w:p>
    <w:tbl>
      <w:tblPr>
        <w:tblStyle w:val="2"/>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76"/>
        <w:gridCol w:w="1143"/>
        <w:gridCol w:w="59"/>
        <w:gridCol w:w="2080"/>
        <w:gridCol w:w="610"/>
        <w:gridCol w:w="740"/>
        <w:gridCol w:w="1350"/>
        <w:gridCol w:w="1560"/>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vAlign w:val="center"/>
          </w:tcPr>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一、基本情况</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 Informasi Dasar</w:t>
            </w:r>
          </w:p>
          <w:p>
            <w:pPr>
              <w:widowControl/>
              <w:adjustRightInd w:val="0"/>
              <w:snapToGrid w:val="0"/>
              <w:spacing w:line="320" w:lineRule="exact"/>
              <w:textAlignment w:val="center"/>
              <w:rPr>
                <w:rStyle w:val="6"/>
                <w:rFonts w:hint="default" w:ascii="仿宋" w:hAnsi="仿宋" w:eastAsia="仿宋" w:cs="仿宋"/>
                <w:b w:val="0"/>
                <w:bCs/>
                <w:sz w:val="21"/>
                <w:szCs w:val="21"/>
                <w:lang w:val="en-US" w:eastAsia="zh-CN" w:bidi="ar"/>
              </w:rPr>
            </w:pPr>
            <w:r>
              <w:rPr>
                <w:rStyle w:val="6"/>
                <w:rFonts w:hint="default" w:ascii="仿宋" w:hAnsi="仿宋" w:eastAsia="仿宋" w:cs="仿宋"/>
                <w:b w:val="0"/>
                <w:bCs/>
                <w:sz w:val="21"/>
                <w:szCs w:val="21"/>
                <w:lang w:bidi="ar"/>
              </w:rPr>
              <w:t xml:space="preserve">1. </w:t>
            </w:r>
            <w:r>
              <w:rPr>
                <w:rStyle w:val="6"/>
                <w:rFonts w:ascii="仿宋" w:hAnsi="仿宋" w:eastAsia="仿宋" w:cs="仿宋"/>
                <w:b w:val="0"/>
                <w:sz w:val="21"/>
                <w:szCs w:val="21"/>
              </w:rPr>
              <w:t>采购人：</w:t>
            </w:r>
            <w:r>
              <w:rPr>
                <w:rStyle w:val="6"/>
                <w:rFonts w:hint="eastAsia" w:ascii="仿宋" w:hAnsi="仿宋" w:eastAsia="仿宋" w:cs="仿宋"/>
                <w:b w:val="0"/>
                <w:sz w:val="21"/>
                <w:szCs w:val="21"/>
                <w:lang w:eastAsia="zh-CN"/>
              </w:rPr>
              <w:t>华电</w:t>
            </w:r>
            <w:r>
              <w:rPr>
                <w:rStyle w:val="6"/>
                <w:rFonts w:hint="eastAsia" w:ascii="仿宋" w:hAnsi="仿宋" w:eastAsia="仿宋" w:cs="仿宋"/>
                <w:b w:val="0"/>
                <w:sz w:val="21"/>
                <w:szCs w:val="21"/>
                <w:lang w:val="en-US" w:eastAsia="zh-CN"/>
              </w:rPr>
              <w:t>运营印尼玻雅分公司</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1.</w:t>
            </w:r>
            <w:r>
              <w:t xml:space="preserve"> </w:t>
            </w:r>
            <w:r>
              <w:rPr>
                <w:rStyle w:val="6"/>
                <w:rFonts w:hint="default" w:ascii="仿宋" w:hAnsi="仿宋" w:eastAsia="仿宋" w:cs="仿宋"/>
                <w:b w:val="0"/>
                <w:sz w:val="21"/>
                <w:szCs w:val="21"/>
              </w:rPr>
              <w:t>Pembeli: PT. CHD Power Plant Operation Indonesia Muara Enim Branch</w:t>
            </w:r>
          </w:p>
          <w:p>
            <w:pPr>
              <w:widowControl/>
              <w:adjustRightInd w:val="0"/>
              <w:snapToGrid w:val="0"/>
              <w:spacing w:line="320" w:lineRule="exact"/>
              <w:textAlignment w:val="center"/>
              <w:rPr>
                <w:rStyle w:val="6"/>
                <w:rFonts w:hint="eastAsia" w:ascii="仿宋" w:hAnsi="仿宋" w:eastAsia="仿宋" w:cs="仿宋"/>
                <w:b w:val="0"/>
                <w:sz w:val="21"/>
                <w:szCs w:val="21"/>
                <w:lang w:val="en-US" w:eastAsia="zh-CN"/>
              </w:rPr>
            </w:pPr>
            <w:r>
              <w:rPr>
                <w:rStyle w:val="6"/>
                <w:rFonts w:hint="default" w:ascii="仿宋" w:hAnsi="仿宋" w:eastAsia="仿宋" w:cs="仿宋"/>
                <w:b w:val="0"/>
                <w:sz w:val="21"/>
                <w:szCs w:val="21"/>
              </w:rPr>
              <w:t>2. 联系人：技术</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潘霁青</w:t>
            </w:r>
            <w:r>
              <w:rPr>
                <w:rStyle w:val="6"/>
                <w:rFonts w:hint="default" w:ascii="仿宋" w:hAnsi="仿宋" w:eastAsia="仿宋" w:cs="仿宋"/>
                <w:b w:val="0"/>
                <w:sz w:val="21"/>
                <w:szCs w:val="21"/>
              </w:rPr>
              <w:t>，商务</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于再军</w:t>
            </w:r>
          </w:p>
          <w:p>
            <w:pPr>
              <w:widowControl/>
              <w:adjustRightInd w:val="0"/>
              <w:snapToGrid w:val="0"/>
              <w:spacing w:line="320" w:lineRule="exact"/>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2.</w:t>
            </w:r>
            <w:r>
              <w:t xml:space="preserve"> </w:t>
            </w:r>
            <w:r>
              <w:rPr>
                <w:rStyle w:val="6"/>
                <w:rFonts w:hint="default" w:ascii="仿宋" w:hAnsi="仿宋" w:eastAsia="仿宋" w:cs="仿宋"/>
                <w:b w:val="0"/>
                <w:sz w:val="21"/>
                <w:szCs w:val="21"/>
              </w:rPr>
              <w:t>Kontak: Teknis</w:t>
            </w:r>
            <w:r>
              <w:rPr>
                <w:rStyle w:val="6"/>
                <w:rFonts w:hint="eastAsia" w:ascii="仿宋" w:hAnsi="仿宋" w:eastAsia="仿宋" w:cs="仿宋"/>
                <w:b w:val="0"/>
                <w:sz w:val="21"/>
                <w:szCs w:val="21"/>
                <w:lang w:eastAsia="zh-CN"/>
              </w:rPr>
              <w:t>：</w:t>
            </w:r>
            <w:r>
              <w:rPr>
                <w:rStyle w:val="6"/>
                <w:rFonts w:hint="eastAsia" w:ascii="仿宋" w:hAnsi="仿宋" w:eastAsia="仿宋" w:cs="仿宋"/>
                <w:b w:val="0"/>
                <w:sz w:val="21"/>
                <w:szCs w:val="21"/>
                <w:lang w:val="en-US" w:eastAsia="zh-CN"/>
              </w:rPr>
              <w:t>Pan JiQing</w:t>
            </w:r>
            <w:r>
              <w:rPr>
                <w:rStyle w:val="6"/>
                <w:rFonts w:hint="default" w:ascii="仿宋" w:hAnsi="仿宋" w:eastAsia="仿宋" w:cs="仿宋"/>
                <w:b w:val="0"/>
                <w:sz w:val="21"/>
                <w:szCs w:val="21"/>
              </w:rPr>
              <w:t>, Komersial</w:t>
            </w:r>
            <w:r>
              <w:rPr>
                <w:rStyle w:val="6"/>
                <w:rFonts w:hint="eastAsia" w:ascii="仿宋" w:hAnsi="仿宋" w:eastAsia="仿宋" w:cs="仿宋"/>
                <w:b w:val="0"/>
                <w:sz w:val="21"/>
                <w:szCs w:val="21"/>
                <w:lang w:val="en-US" w:eastAsia="zh-CN"/>
              </w:rPr>
              <w:t>:Yu ZaiJun</w:t>
            </w:r>
            <w:r>
              <w:rPr>
                <w:rStyle w:val="6"/>
                <w:rFonts w:hint="default" w:ascii="仿宋" w:hAnsi="仿宋" w:eastAsia="仿宋" w:cs="仿宋"/>
                <w:b w:val="0"/>
                <w:sz w:val="21"/>
                <w:szCs w:val="21"/>
              </w:rPr>
              <w:t xml:space="preserve"> </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 报价专用邮箱：731465071@qq.com</w:t>
            </w:r>
            <w:r>
              <w:rPr>
                <w:rStyle w:val="6"/>
                <w:rFonts w:ascii="仿宋" w:hAnsi="仿宋" w:eastAsia="仿宋" w:cs="仿宋"/>
                <w:b w:val="0"/>
                <w:sz w:val="21"/>
                <w:szCs w:val="21"/>
              </w:rPr>
              <w:t>。最终报价文件只能发送该邮箱，否则不予认可，且邮件标题名称必须为“玻雅项目</w:t>
            </w:r>
            <w:r>
              <w:rPr>
                <w:rStyle w:val="6"/>
                <w:rFonts w:hint="default" w:ascii="仿宋" w:hAnsi="仿宋" w:eastAsia="仿宋" w:cs="仿宋"/>
                <w:b w:val="0"/>
                <w:sz w:val="21"/>
                <w:szCs w:val="21"/>
              </w:rPr>
              <w:t>XXX采购标段报价文件（**公司）”。请勿重复发送，采购人只认可最后一次报价。</w:t>
            </w:r>
          </w:p>
          <w:p>
            <w:pPr>
              <w:widowControl/>
              <w:adjustRightInd w:val="0"/>
              <w:snapToGrid w:val="0"/>
              <w:spacing w:line="320" w:lineRule="exact"/>
              <w:ind w:left="142" w:hanging="142"/>
              <w:textAlignment w:val="center"/>
              <w:rPr>
                <w:rStyle w:val="6"/>
                <w:rFonts w:hint="default" w:ascii="仿宋" w:hAnsi="仿宋" w:eastAsia="仿宋" w:cs="仿宋"/>
                <w:b w:val="0"/>
                <w:sz w:val="21"/>
                <w:szCs w:val="21"/>
              </w:rPr>
            </w:pPr>
            <w:r>
              <w:rPr>
                <w:rStyle w:val="6"/>
                <w:rFonts w:hint="default" w:ascii="仿宋" w:hAnsi="仿宋" w:eastAsia="仿宋" w:cs="仿宋"/>
                <w:b w:val="0"/>
                <w:sz w:val="21"/>
                <w:szCs w:val="21"/>
              </w:rPr>
              <w:t>3.</w:t>
            </w:r>
            <w:r>
              <w:t xml:space="preserve"> </w:t>
            </w:r>
            <w:r>
              <w:rPr>
                <w:rStyle w:val="6"/>
                <w:rFonts w:hint="default" w:ascii="仿宋" w:hAnsi="仿宋" w:eastAsia="仿宋" w:cs="仿宋"/>
                <w:b w:val="0"/>
                <w:sz w:val="21"/>
                <w:szCs w:val="21"/>
              </w:rPr>
              <w:t>Alamat Email Penawaran Khusus: 731465071@qq.com. Dokumen penawaran akhir harus dikirimkan secara eksklusif ke alamat email ini; jika tidak, dokumen tersebut tidak akan diterima. Baris subjek email harus berjudul “Dokumen Penawaran Paket Pengadaan Proyek Boja XXX (**Perusahaan)”. Jangan kirim ulang penawaran; entitas pengadaan hanya akan menerima penawaran akhir yang dikirimkan.</w:t>
            </w:r>
          </w:p>
          <w:p>
            <w:pPr>
              <w:widowControl/>
              <w:adjustRightInd w:val="0"/>
              <w:snapToGrid w:val="0"/>
              <w:spacing w:line="320" w:lineRule="exact"/>
              <w:ind w:left="142"/>
              <w:textAlignment w:val="center"/>
              <w:rPr>
                <w:rStyle w:val="6"/>
                <w:rFonts w:hint="default" w:ascii="仿宋" w:hAnsi="仿宋" w:eastAsia="仿宋" w:cs="仿宋"/>
                <w:b w:val="0"/>
                <w:sz w:val="21"/>
                <w:szCs w:val="21"/>
              </w:rPr>
            </w:pPr>
            <w:r>
              <w:rPr>
                <w:rStyle w:val="6"/>
                <w:rFonts w:ascii="仿宋" w:hAnsi="仿宋" w:eastAsia="仿宋" w:cs="仿宋"/>
                <w:b w:val="0"/>
                <w:sz w:val="21"/>
                <w:szCs w:val="21"/>
              </w:rPr>
              <w:t>澄清专用邮箱：</w:t>
            </w:r>
            <w:r>
              <w:rPr>
                <w:rStyle w:val="6"/>
                <w:rFonts w:hint="default" w:ascii="仿宋" w:hAnsi="仿宋" w:eastAsia="仿宋" w:cs="仿宋"/>
                <w:b w:val="0"/>
                <w:sz w:val="21"/>
                <w:szCs w:val="21"/>
              </w:rPr>
              <w:t>731465071@qq.com。采购过程中若有疑问可发送至该邮箱，否则不予回复，且邮件标题名称必须为“玻雅项目XXX采购标段投标疑问（**公司）”。</w:t>
            </w:r>
          </w:p>
          <w:p>
            <w:pPr>
              <w:widowControl/>
              <w:adjustRightInd w:val="0"/>
              <w:snapToGrid w:val="0"/>
              <w:spacing w:line="320" w:lineRule="exact"/>
              <w:ind w:left="142"/>
              <w:textAlignment w:val="center"/>
              <w:rPr>
                <w:rStyle w:val="6"/>
                <w:rFonts w:hint="default" w:ascii="仿宋" w:hAnsi="仿宋" w:eastAsia="仿宋" w:cs="仿宋"/>
                <w:b w:val="0"/>
                <w:sz w:val="21"/>
                <w:szCs w:val="21"/>
                <w:highlight w:val="yellow"/>
              </w:rPr>
            </w:pPr>
            <w:r>
              <w:rPr>
                <w:rStyle w:val="6"/>
                <w:rFonts w:hint="default" w:ascii="仿宋" w:hAnsi="仿宋" w:eastAsia="仿宋" w:cs="仿宋"/>
                <w:b w:val="0"/>
                <w:sz w:val="21"/>
                <w:szCs w:val="21"/>
              </w:rPr>
              <w:t>Email Klarifikasi: 731465071@qq.com. Pertanyaan selama proses pengadaan dapat dikirimkan ke alamat ini; tanggapan tidak akan diberikan jika dikirim ke alamat lain. Subjek email harus berjudul “Pertanyaan Penawaran Paket Pengadaan Proyek Boja XXX (Nama Perusahaan)”.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采购内容：详见报价表。</w:t>
            </w:r>
          </w:p>
          <w:p>
            <w:pPr>
              <w:numPr>
                <w:ilvl w:val="0"/>
                <w:numId w:val="0"/>
              </w:num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4.</w:t>
            </w:r>
            <w:r>
              <w:t xml:space="preserve"> </w:t>
            </w:r>
            <w:r>
              <w:rPr>
                <w:rStyle w:val="6"/>
                <w:rFonts w:hint="default" w:ascii="仿宋" w:hAnsi="仿宋" w:eastAsia="仿宋" w:cs="仿宋"/>
                <w:b w:val="0"/>
                <w:sz w:val="21"/>
                <w:szCs w:val="21"/>
              </w:rPr>
              <w:t>Ruang Lingkup Pengadaan: Seperti tercantum dalam jadwal penawaran.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采购方式：公开询比。</w:t>
            </w:r>
          </w:p>
          <w:p>
            <w:pPr>
              <w:tabs>
                <w:tab w:val="left" w:pos="1800"/>
              </w:tabs>
              <w:adjustRightInd w:val="0"/>
              <w:snapToGrid w:val="0"/>
              <w:spacing w:line="320" w:lineRule="exact"/>
              <w:rPr>
                <w:rStyle w:val="6"/>
                <w:rFonts w:hint="default" w:ascii="仿宋" w:hAnsi="仿宋" w:eastAsia="仿宋" w:cs="仿宋"/>
                <w:b w:val="0"/>
                <w:sz w:val="21"/>
                <w:szCs w:val="21"/>
              </w:rPr>
            </w:pPr>
            <w:r>
              <w:rPr>
                <w:rStyle w:val="6"/>
                <w:rFonts w:hint="default" w:ascii="仿宋" w:hAnsi="仿宋" w:eastAsia="仿宋" w:cs="仿宋"/>
                <w:b w:val="0"/>
                <w:sz w:val="21"/>
                <w:szCs w:val="21"/>
              </w:rPr>
              <w:t>5. Metode Pengadaan: Tender Terbuka dan Perbandingan.</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lang w:bidi="ar"/>
              </w:rPr>
            </w:pPr>
            <w:r>
              <w:rPr>
                <w:rStyle w:val="6"/>
                <w:rFonts w:ascii="仿宋" w:hAnsi="仿宋" w:eastAsia="仿宋" w:cs="仿宋"/>
                <w:b w:val="0"/>
                <w:sz w:val="21"/>
                <w:szCs w:val="21"/>
              </w:rPr>
              <w:t>评审方法：经评审的最低价法，按照满足采购需求且报价最低原则按顺序推荐候选成交供应商。</w:t>
            </w:r>
          </w:p>
          <w:p>
            <w:pPr>
              <w:tabs>
                <w:tab w:val="left" w:pos="1800"/>
              </w:tabs>
              <w:adjustRightInd w:val="0"/>
              <w:snapToGrid w:val="0"/>
              <w:spacing w:line="320" w:lineRule="exact"/>
              <w:ind w:left="284" w:hanging="284"/>
              <w:rPr>
                <w:rStyle w:val="6"/>
                <w:rFonts w:hint="default" w:ascii="仿宋" w:hAnsi="仿宋" w:eastAsia="仿宋" w:cs="仿宋"/>
                <w:b w:val="0"/>
                <w:sz w:val="21"/>
                <w:szCs w:val="21"/>
              </w:rPr>
            </w:pPr>
            <w:r>
              <w:rPr>
                <w:rStyle w:val="6"/>
                <w:rFonts w:hint="default" w:ascii="仿宋" w:hAnsi="仿宋" w:eastAsia="仿宋" w:cs="仿宋"/>
                <w:b w:val="0"/>
                <w:sz w:val="21"/>
                <w:szCs w:val="21"/>
              </w:rPr>
              <w:t>6. Metode Evaluasi: Metode Harga Penawaran Terendah yang Dievaluasi. Calon pemasok yang berhasil akan direkomendasikan secara berurutan berdasarkan pemenuhan persyaratan pengadaan dan penawaran harga terendah.</w:t>
            </w:r>
          </w:p>
          <w:p>
            <w:pPr>
              <w:numPr>
                <w:ilvl w:val="0"/>
                <w:numId w:val="1"/>
              </w:num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ascii="仿宋" w:hAnsi="仿宋" w:eastAsia="仿宋" w:cs="仿宋"/>
                <w:b w:val="0"/>
                <w:bCs/>
                <w:sz w:val="21"/>
                <w:szCs w:val="21"/>
              </w:rPr>
              <w:t>报价截止时间：</w:t>
            </w:r>
            <w:r>
              <w:rPr>
                <w:rStyle w:val="6"/>
                <w:rFonts w:hint="default" w:ascii="仿宋" w:hAnsi="仿宋" w:eastAsia="仿宋" w:cs="仿宋"/>
                <w:b w:val="0"/>
                <w:bCs/>
                <w:sz w:val="21"/>
                <w:szCs w:val="21"/>
              </w:rPr>
              <w:t>2025年</w:t>
            </w:r>
            <w:r>
              <w:rPr>
                <w:rStyle w:val="6"/>
                <w:rFonts w:hint="eastAsia" w:ascii="仿宋" w:hAnsi="仿宋" w:eastAsia="仿宋" w:cs="仿宋"/>
                <w:b w:val="0"/>
                <w:bCs/>
                <w:sz w:val="21"/>
                <w:szCs w:val="21"/>
                <w:lang w:val="en-US" w:eastAsia="zh-CN"/>
              </w:rPr>
              <w:t>10</w:t>
            </w:r>
            <w:r>
              <w:rPr>
                <w:rStyle w:val="6"/>
                <w:rFonts w:hint="default" w:ascii="仿宋" w:hAnsi="仿宋" w:eastAsia="仿宋" w:cs="仿宋"/>
                <w:b w:val="0"/>
                <w:bCs/>
                <w:sz w:val="21"/>
                <w:szCs w:val="21"/>
              </w:rPr>
              <w:t>月</w:t>
            </w:r>
            <w:r>
              <w:rPr>
                <w:rStyle w:val="6"/>
                <w:rFonts w:hint="eastAsia" w:ascii="仿宋" w:hAnsi="仿宋" w:eastAsia="仿宋" w:cs="仿宋"/>
                <w:b w:val="0"/>
                <w:bCs/>
                <w:sz w:val="21"/>
                <w:szCs w:val="21"/>
                <w:lang w:val="en-US" w:eastAsia="zh-CN"/>
              </w:rPr>
              <w:t>13</w:t>
            </w:r>
            <w:r>
              <w:rPr>
                <w:rStyle w:val="6"/>
                <w:rFonts w:hint="default" w:ascii="仿宋" w:hAnsi="仿宋" w:eastAsia="仿宋" w:cs="仿宋"/>
                <w:b w:val="0"/>
                <w:bCs/>
                <w:sz w:val="21"/>
                <w:szCs w:val="21"/>
              </w:rPr>
              <w:t>日</w:t>
            </w:r>
            <w:r>
              <w:rPr>
                <w:rStyle w:val="6"/>
                <w:rFonts w:hint="eastAsia" w:ascii="仿宋" w:hAnsi="仿宋" w:eastAsia="仿宋" w:cs="仿宋"/>
                <w:b w:val="0"/>
                <w:bCs/>
                <w:sz w:val="21"/>
                <w:szCs w:val="21"/>
                <w:lang w:val="en-US" w:eastAsia="zh-CN"/>
              </w:rPr>
              <w:t>11</w:t>
            </w:r>
            <w:r>
              <w:rPr>
                <w:rStyle w:val="6"/>
                <w:rFonts w:hint="default" w:ascii="仿宋" w:hAnsi="仿宋" w:eastAsia="仿宋" w:cs="仿宋"/>
                <w:b w:val="0"/>
                <w:bCs/>
                <w:sz w:val="21"/>
                <w:szCs w:val="21"/>
              </w:rPr>
              <w:t>：</w:t>
            </w:r>
            <w:r>
              <w:rPr>
                <w:rStyle w:val="6"/>
                <w:rFonts w:hint="eastAsia" w:ascii="仿宋" w:hAnsi="仿宋" w:eastAsia="仿宋" w:cs="仿宋"/>
                <w:b w:val="0"/>
                <w:bCs/>
                <w:sz w:val="21"/>
                <w:szCs w:val="21"/>
                <w:lang w:val="en-US" w:eastAsia="zh-CN"/>
              </w:rPr>
              <w:t>00</w:t>
            </w:r>
            <w:r>
              <w:rPr>
                <w:rStyle w:val="6"/>
                <w:rFonts w:hint="default" w:ascii="仿宋" w:hAnsi="仿宋" w:eastAsia="仿宋" w:cs="仿宋"/>
                <w:b w:val="0"/>
                <w:bCs/>
                <w:sz w:val="21"/>
                <w:szCs w:val="21"/>
              </w:rPr>
              <w:t>点前（雅加达时间）。</w:t>
            </w:r>
          </w:p>
          <w:p>
            <w:pPr>
              <w:tabs>
                <w:tab w:val="left" w:pos="1800"/>
              </w:tabs>
              <w:adjustRightInd w:val="0"/>
              <w:snapToGrid w:val="0"/>
              <w:spacing w:line="320" w:lineRule="exact"/>
              <w:rPr>
                <w:rStyle w:val="6"/>
                <w:rFonts w:hint="default" w:ascii="仿宋" w:hAnsi="仿宋" w:eastAsia="仿宋" w:cs="仿宋"/>
                <w:b w:val="0"/>
                <w:bCs/>
                <w:sz w:val="21"/>
                <w:szCs w:val="21"/>
              </w:rPr>
            </w:pPr>
            <w:r>
              <w:rPr>
                <w:rStyle w:val="6"/>
                <w:rFonts w:hint="default" w:ascii="仿宋" w:hAnsi="仿宋" w:eastAsia="仿宋" w:cs="仿宋"/>
                <w:b w:val="0"/>
                <w:bCs/>
                <w:sz w:val="21"/>
                <w:szCs w:val="21"/>
              </w:rPr>
              <w:t>7. Batas Waktu Penawaran: Sebelum pukul 11:00 pada tanggal 13 Oktober 2025 (Waktu Jakarta).</w:t>
            </w:r>
          </w:p>
          <w:p>
            <w:pPr>
              <w:numPr>
                <w:ilvl w:val="0"/>
                <w:numId w:val="1"/>
              </w:num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ascii="仿宋" w:hAnsi="仿宋" w:eastAsia="仿宋" w:cs="仿宋"/>
                <w:b w:val="0"/>
                <w:bCs/>
                <w:sz w:val="21"/>
                <w:szCs w:val="21"/>
              </w:rPr>
              <w:t>送货地址：</w:t>
            </w:r>
            <w:r>
              <w:rPr>
                <w:rStyle w:val="6"/>
                <w:rFonts w:hint="default" w:ascii="仿宋" w:hAnsi="仿宋" w:eastAsia="仿宋" w:cs="仿宋"/>
                <w:b w:val="0"/>
                <w:bCs/>
                <w:sz w:val="21"/>
                <w:szCs w:val="21"/>
              </w:rPr>
              <w:t>PT. CHD Power Plant Operation Indonesia" PLTU SUMSEL 8 Desa Tanjung Lalang, Tanjung Agung, Kabupaten Muara Enim, Sumatera Selata</w:t>
            </w:r>
            <w:r>
              <w:rPr>
                <w:rStyle w:val="6"/>
                <w:rFonts w:hint="default" w:ascii="仿宋" w:hAnsi="仿宋" w:eastAsia="仿宋" w:cs="仿宋"/>
                <w:b w:val="0"/>
                <w:bCs/>
                <w:sz w:val="21"/>
                <w:szCs w:val="21"/>
                <w:lang w:bidi="ar"/>
              </w:rPr>
              <w:t>。</w:t>
            </w:r>
          </w:p>
          <w:p>
            <w:pPr>
              <w:tabs>
                <w:tab w:val="left" w:pos="1800"/>
              </w:tabs>
              <w:adjustRightInd w:val="0"/>
              <w:snapToGrid w:val="0"/>
              <w:spacing w:line="320" w:lineRule="exact"/>
              <w:ind w:left="284" w:hanging="284"/>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8. Alamat Pengiriman: PT. CHD Power Plant Operation Indonesia “PLTU SUMSEL 8”, Desa Tanjung Lalang, Tanjung Agung, Kabupaten Muara Enim, Sumatera Selatan.  </w:t>
            </w:r>
          </w:p>
          <w:p>
            <w:pPr>
              <w:pStyle w:val="7"/>
              <w:numPr>
                <w:ilvl w:val="0"/>
                <w:numId w:val="1"/>
              </w:numPr>
              <w:adjustRightInd w:val="0"/>
              <w:snapToGrid w:val="0"/>
              <w:spacing w:line="320" w:lineRule="exact"/>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采购监督投诉受理邮箱</w:t>
            </w:r>
            <w:r>
              <w:rPr>
                <w:rStyle w:val="6"/>
                <w:rFonts w:hint="eastAsia" w:ascii="仿宋" w:hAnsi="仿宋" w:eastAsia="仿宋" w:cs="仿宋"/>
                <w:b w:val="0"/>
                <w:bCs/>
                <w:sz w:val="21"/>
                <w:szCs w:val="21"/>
                <w:lang w:eastAsia="zh-CN" w:bidi="ar"/>
              </w:rPr>
              <w:t>：</w:t>
            </w:r>
            <w:r>
              <w:rPr>
                <w:rStyle w:val="6"/>
                <w:rFonts w:hint="default" w:ascii="仿宋" w:hAnsi="仿宋" w:eastAsia="仿宋" w:cs="仿宋"/>
                <w:b w:val="0"/>
                <w:bCs/>
                <w:sz w:val="21"/>
                <w:szCs w:val="21"/>
                <w:lang w:bidi="ar"/>
              </w:rPr>
              <w:t>info-sumsel8@chdoc.co.id。</w:t>
            </w:r>
          </w:p>
          <w:p>
            <w:pPr>
              <w:pStyle w:val="9"/>
              <w:ind w:firstLine="0"/>
              <w:rPr>
                <w:rStyle w:val="3"/>
                <w:bCs/>
                <w:lang w:bidi="ar"/>
              </w:rPr>
            </w:pPr>
            <w:r>
              <w:rPr>
                <w:rStyle w:val="6"/>
                <w:rFonts w:hint="default" w:ascii="仿宋" w:hAnsi="仿宋" w:eastAsia="仿宋" w:cs="仿宋"/>
                <w:b w:val="0"/>
                <w:bCs/>
                <w:sz w:val="21"/>
                <w:szCs w:val="21"/>
                <w:lang w:bidi="ar"/>
              </w:rPr>
              <w:t>9. Alamat Email Pengaduan Pengawasan Pengadaan: info-sumsel8@chdoc.co.id.</w:t>
            </w:r>
          </w:p>
          <w:p>
            <w:pPr>
              <w:pStyle w:val="9"/>
              <w:ind w:firstLine="0"/>
              <w:rPr>
                <w:rFonts w:ascii="仿宋" w:hAnsi="仿宋" w:eastAsia="仿宋" w:cs="仿宋"/>
                <w:b/>
                <w:bCs/>
                <w:szCs w:val="21"/>
                <w:lang w:bidi="ar"/>
              </w:rPr>
            </w:pP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二、报价说明</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II. Spesifikasi Penawaran</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报价人的报价包括人工费、材料费、运杂费、管理费、利润、PPN税费、保险费以及标的物运抵到采购人指定交货地点有关的一切费用，固定价格保持不变。</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1. Penawaran peserta lelang harus mencakup biaya tenaga kerja, biaya bahan, biaya angkut dan penanganan, biaya manajemen, keuntungan, pajak PPN, premi asuransi, dan semua biaya yang terkait dengan pengiriman barang ke lokasi pengiriman yang ditunjuk oleh pembeli. Harga tetap harus tetap tidak berubah.</w:t>
            </w:r>
          </w:p>
          <w:p>
            <w:pPr>
              <w:pStyle w:val="13"/>
              <w:widowControl/>
              <w:numPr>
                <w:ilvl w:val="0"/>
                <w:numId w:val="2"/>
              </w:numPr>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特别注意：所报货物参数规格务必符合要求，所报产品差异应注明。</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2. Catatan Khusus: Parameter dan spesifikasi barang yang ditawarkan harus sesuai dengan persyaratan.  dan setiap penyimpangan dari barang yang ditawarkan harus dinyatakan dengan jelas.</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3. 供货周期：以采购人通知为准，自接到订单通知之日起</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天内送到指定地点。</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3. Masa Pengiriman: Sesuai pemberitahuan dari Pembeli. Barang harus dikirimkan ke lokasi yang ditunjuk dalam waktu </w:t>
            </w:r>
            <w:r>
              <w:rPr>
                <w:rStyle w:val="6"/>
                <w:rFonts w:hint="eastAsia" w:ascii="仿宋" w:hAnsi="仿宋" w:eastAsia="仿宋" w:cs="仿宋"/>
                <w:b w:val="0"/>
                <w:bCs/>
                <w:sz w:val="21"/>
                <w:szCs w:val="21"/>
                <w:lang w:val="en-US" w:eastAsia="zh-CN" w:bidi="ar"/>
              </w:rPr>
              <w:t>30</w:t>
            </w:r>
            <w:r>
              <w:rPr>
                <w:rStyle w:val="6"/>
                <w:rFonts w:hint="default" w:ascii="仿宋" w:hAnsi="仿宋" w:eastAsia="仿宋" w:cs="仿宋"/>
                <w:b w:val="0"/>
                <w:bCs/>
                <w:sz w:val="21"/>
                <w:szCs w:val="21"/>
                <w:lang w:bidi="ar"/>
              </w:rPr>
              <w:t xml:space="preserve"> hari sejak penerimaan pemberitahuan pesanan.</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资格审查资料：提供营业执照、税务登记证、法人身份证明文件。</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4. Dokumen Verifikasi Kualifikasi: Sediakan Surat Izin Usaha, Sertifikat Pendaftaran Pajak, dan Dokumen Identitas Pejabat Hukum.</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付款方式：货到验收合格后通过银行转账付款，报价人应具有银行对公账户。</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5. Metode Pembayaran: Pembayaran akan dilakukan melalui transfer bank setelah pengiriman dan penerimaan barang berhasil. Penyedia penawaran harus memiliki rekening bank korporasi.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6. 质保金：</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不适用。</w:t>
            </w:r>
            <w:r>
              <w:rPr>
                <w:rStyle w:val="6"/>
                <w:rFonts w:hint="default" w:ascii="仿宋" w:hAnsi="仿宋" w:eastAsia="仿宋" w:cs="仿宋"/>
                <w:b w:val="0"/>
                <w:bCs/>
                <w:sz w:val="21"/>
                <w:szCs w:val="21"/>
                <w:lang w:bidi="ar"/>
              </w:rPr>
              <w:sym w:font="Wingdings 2" w:char="00A3"/>
            </w:r>
            <w:r>
              <w:rPr>
                <w:rStyle w:val="6"/>
                <w:rFonts w:hint="default" w:ascii="仿宋" w:hAnsi="仿宋" w:eastAsia="仿宋" w:cs="仿宋"/>
                <w:b w:val="0"/>
                <w:bCs/>
                <w:sz w:val="21"/>
                <w:szCs w:val="21"/>
                <w:lang w:bidi="ar"/>
              </w:rPr>
              <w:t>适用：合同总额的</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，期限</w:t>
            </w:r>
            <w:r>
              <w:rPr>
                <w:rStyle w:val="6"/>
                <w:rFonts w:hint="default" w:ascii="仿宋" w:hAnsi="仿宋" w:eastAsia="仿宋" w:cs="仿宋"/>
                <w:b w:val="0"/>
                <w:bCs/>
                <w:sz w:val="21"/>
                <w:szCs w:val="21"/>
                <w:u w:val="single"/>
                <w:lang w:bidi="ar"/>
              </w:rPr>
              <w:t xml:space="preserve">      </w:t>
            </w:r>
            <w:r>
              <w:rPr>
                <w:rStyle w:val="6"/>
                <w:rFonts w:hint="default" w:ascii="仿宋" w:hAnsi="仿宋" w:eastAsia="仿宋" w:cs="仿宋"/>
                <w:b w:val="0"/>
                <w:bCs/>
                <w:sz w:val="21"/>
                <w:szCs w:val="21"/>
                <w:lang w:bidi="ar"/>
              </w:rPr>
              <w:t>。</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6. Deposit Retensi: </w:t>
            </w:r>
            <w:r>
              <w:rPr>
                <w:rStyle w:val="6"/>
                <w:rFonts w:hint="default" w:ascii="仿宋" w:hAnsi="仿宋" w:eastAsia="仿宋" w:cs="仿宋"/>
                <w:b w:val="0"/>
                <w:bCs/>
                <w:sz w:val="21"/>
                <w:szCs w:val="21"/>
                <w:lang w:bidi="ar"/>
              </w:rPr>
              <w:sym w:font="Wingdings 2" w:char="0052"/>
            </w:r>
            <w:r>
              <w:rPr>
                <w:rStyle w:val="6"/>
                <w:rFonts w:hint="default" w:ascii="仿宋" w:hAnsi="仿宋" w:eastAsia="仿宋" w:cs="仿宋"/>
                <w:b w:val="0"/>
                <w:bCs/>
                <w:sz w:val="21"/>
                <w:szCs w:val="21"/>
                <w:lang w:bidi="ar"/>
              </w:rPr>
              <w:t xml:space="preserve"> Tidak berlaku. </w:t>
            </w:r>
            <w:r>
              <w:rPr>
                <w:rFonts w:hint="eastAsia" w:eastAsia="仿宋" w:cs="Calibri"/>
                <w:bCs/>
                <w:color w:val="000000"/>
                <w:szCs w:val="21"/>
                <w:lang w:bidi="ar"/>
              </w:rPr>
              <w:sym w:font="Wingdings 2" w:char="00A3"/>
            </w:r>
            <w:r>
              <w:rPr>
                <w:rStyle w:val="6"/>
                <w:rFonts w:hint="default" w:ascii="仿宋" w:hAnsi="仿宋" w:eastAsia="仿宋" w:cs="仿宋"/>
                <w:b w:val="0"/>
                <w:bCs/>
                <w:sz w:val="21"/>
                <w:szCs w:val="21"/>
                <w:lang w:bidi="ar"/>
              </w:rPr>
              <w:t xml:space="preserve"> Berlaku:      % dari total kontrak, untuk periode      .</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采购人不保证价格最低的供应商中标，也不对未中标的供应商作任何解释。对使用不符合质量要求的产品报价不予评审。</w:t>
            </w:r>
          </w:p>
          <w:p>
            <w:pPr>
              <w:widowControl/>
              <w:adjustRightInd w:val="0"/>
              <w:snapToGrid w:val="0"/>
              <w:spacing w:line="320" w:lineRule="exact"/>
              <w:ind w:left="284" w:hanging="284"/>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7. Pembeli tidak menjamin bahwa pemasok dengan harga terendah akan mendapatkan kontrak dan tidak akan memberikan penjelasan kepada penawar yang tidak berhasil. Penawaran yang menggunakan produk yang tidak memenuhi persyaratan kualitas tidak akan dievaluasi.</w:t>
            </w:r>
          </w:p>
          <w:p>
            <w:pPr>
              <w:widowControl/>
              <w:adjustRightInd w:val="0"/>
              <w:snapToGrid w:val="0"/>
              <w:spacing w:line="320" w:lineRule="exact"/>
              <w:textAlignment w:val="center"/>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三、报价表</w:t>
            </w:r>
          </w:p>
          <w:p>
            <w:pPr>
              <w:widowControl/>
              <w:adjustRightInd w:val="0"/>
              <w:snapToGrid w:val="0"/>
              <w:spacing w:line="320" w:lineRule="exact"/>
              <w:textAlignment w:val="center"/>
              <w:rPr>
                <w:rFonts w:ascii="仿宋" w:hAnsi="仿宋" w:eastAsia="仿宋" w:cs="仿宋"/>
                <w:bCs/>
                <w:color w:val="000000"/>
                <w:kern w:val="0"/>
                <w:szCs w:val="21"/>
                <w:lang w:bidi="ar"/>
              </w:rPr>
            </w:pPr>
            <w:r>
              <w:rPr>
                <w:rStyle w:val="6"/>
                <w:rFonts w:hint="default" w:ascii="仿宋" w:hAnsi="仿宋" w:eastAsia="仿宋" w:cs="仿宋"/>
                <w:b w:val="0"/>
                <w:bCs/>
                <w:sz w:val="21"/>
                <w:szCs w:val="21"/>
                <w:lang w:bidi="ar"/>
              </w:rPr>
              <w:t>III. Formulir Penawaran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0" w:hRule="atLeast"/>
        </w:trPr>
        <w:tc>
          <w:tcPr>
            <w:tcW w:w="476"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序号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No. Seri</w:t>
            </w:r>
          </w:p>
        </w:tc>
        <w:tc>
          <w:tcPr>
            <w:tcW w:w="1202"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物资名称</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Nama Barang</w:t>
            </w:r>
          </w:p>
        </w:tc>
        <w:tc>
          <w:tcPr>
            <w:tcW w:w="208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规格/型号</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Spesifikasi/Model</w:t>
            </w:r>
          </w:p>
        </w:tc>
        <w:tc>
          <w:tcPr>
            <w:tcW w:w="61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单位</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Satuan</w:t>
            </w:r>
          </w:p>
        </w:tc>
        <w:tc>
          <w:tcPr>
            <w:tcW w:w="74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数量</w:t>
            </w:r>
          </w:p>
          <w:p>
            <w:pPr>
              <w:widowControl/>
              <w:adjustRightInd w:val="0"/>
              <w:snapToGrid w:val="0"/>
              <w:spacing w:line="240" w:lineRule="auto"/>
              <w:jc w:val="center"/>
              <w:textAlignment w:val="center"/>
              <w:rPr>
                <w:rFonts w:ascii="仿宋" w:hAnsi="仿宋" w:eastAsia="仿宋" w:cs="仿宋"/>
                <w:bCs/>
                <w:color w:val="000000"/>
                <w:szCs w:val="21"/>
              </w:rPr>
            </w:pPr>
            <w:r>
              <w:rPr>
                <w:rFonts w:ascii="仿宋" w:hAnsi="仿宋" w:eastAsia="仿宋" w:cs="仿宋"/>
                <w:bCs/>
                <w:color w:val="000000"/>
                <w:szCs w:val="21"/>
              </w:rPr>
              <w:t>Jumlah</w:t>
            </w:r>
          </w:p>
        </w:tc>
        <w:tc>
          <w:tcPr>
            <w:tcW w:w="135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单价（RP）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Fonts w:ascii="仿宋" w:hAnsi="仿宋" w:eastAsia="仿宋" w:cs="仿宋"/>
                <w:b w:val="0"/>
                <w:bCs/>
                <w:color w:val="000000"/>
                <w:szCs w:val="21"/>
                <w:lang w:bidi="ar"/>
              </w:rPr>
              <w:t>Harga Satuan (IDR)</w:t>
            </w:r>
          </w:p>
        </w:tc>
        <w:tc>
          <w:tcPr>
            <w:tcW w:w="1560" w:type="dxa"/>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合价（RP）</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Harga Total (IDR)</w:t>
            </w:r>
          </w:p>
        </w:tc>
        <w:tc>
          <w:tcPr>
            <w:tcW w:w="1923" w:type="dxa"/>
            <w:tcMar>
              <w:top w:w="9" w:type="dxa"/>
              <w:left w:w="9" w:type="dxa"/>
              <w:right w:w="9" w:type="dxa"/>
            </w:tcMar>
            <w:vAlign w:val="center"/>
          </w:tcPr>
          <w:p>
            <w:pPr>
              <w:widowControl/>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备注</w:t>
            </w:r>
          </w:p>
          <w:p>
            <w:pPr>
              <w:widowControl/>
              <w:jc w:val="center"/>
              <w:textAlignment w:val="center"/>
              <w:rPr>
                <w:rFonts w:ascii="仿宋" w:hAnsi="仿宋" w:eastAsia="仿宋" w:cs="仿宋"/>
                <w:b w:val="0"/>
                <w:bCs/>
                <w:color w:val="000000"/>
                <w:szCs w:val="21"/>
              </w:rPr>
            </w:pPr>
            <w:r>
              <w:rPr>
                <w:rFonts w:ascii="仿宋" w:hAnsi="仿宋" w:eastAsia="仿宋" w:cs="仿宋"/>
                <w:b w:val="0"/>
                <w:bCs/>
                <w:color w:val="000000"/>
                <w:szCs w:val="21"/>
              </w:rPr>
              <w:t>Catatan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63" w:hRule="atLeast"/>
        </w:trPr>
        <w:tc>
          <w:tcPr>
            <w:tcW w:w="476"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1</w:t>
            </w:r>
          </w:p>
        </w:tc>
        <w:tc>
          <w:tcPr>
            <w:tcW w:w="1202" w:type="dxa"/>
            <w:gridSpan w:val="2"/>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移动布控球4g监控摄影头</w:t>
            </w:r>
          </w:p>
        </w:tc>
        <w:tc>
          <w:tcPr>
            <w:tcW w:w="2080" w:type="dxa"/>
            <w:tcMar>
              <w:top w:w="9" w:type="dxa"/>
              <w:left w:w="9" w:type="dxa"/>
              <w:right w:w="9" w:type="dxa"/>
            </w:tcMar>
            <w:vAlign w:val="top"/>
          </w:tcPr>
          <w:p>
            <w:pPr>
              <w:keepNext w:val="0"/>
              <w:keepLines w:val="0"/>
              <w:widowControl/>
              <w:suppressLineNumbers w:val="0"/>
              <w:spacing w:after="200" w:afterAutospacing="0"/>
              <w:jc w:val="center"/>
              <w:textAlignment w:val="top"/>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类别：球机监控</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传感器类型：1/2.9" Progressive Scan CMOS</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信号系统：PAL</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供电方式：电池供电</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电池容量：3300mAh</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录像续航时间：室温 20℃，仅录像，不启用 4G、红外及图像降噪，续航时间 15 小时</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电池类型：锂电池</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配件：Type-0数据线*1、适配器*1、专用三脚架、便携箱</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日夜转换模式：IR自动切换，红外补光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焦距：3.9m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分辨率主码流:50HZ:25fps(1920x1080)子码流:50HZ:25fps(1280x720)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白平衡：自动1</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光学变倍：固定焦距</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水平旋转角度：0”~355°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垂直旋转角度：-2.5°~52.5°</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水平视场角：80°</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垂直视场角：44°</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近摄距：0.3m</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存储大小：512GB</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设备支持频段:FDD-LTE:B1、B3、B5、B8；TDD-LTE:B38、B39、B40、B41；WCDMA:B1、B8；TD-SCDMA:B34、B39；CDMA:BCO；GSM900、1800MHz</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电源供应：DC 5V</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WIFI：支持2.4GHz，支持802.11b/g/n/ac</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音频模式：内置麦克、扬声器</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以太网口：支持</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红外补光距离：10m 看清人体轮廓</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视频编码格式：H.264、H.265</w:t>
            </w:r>
          </w:p>
        </w:tc>
        <w:tc>
          <w:tcPr>
            <w:tcW w:w="610"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台</w:t>
            </w:r>
          </w:p>
        </w:tc>
        <w:tc>
          <w:tcPr>
            <w:tcW w:w="740" w:type="dxa"/>
            <w:tcMar>
              <w:top w:w="9" w:type="dxa"/>
              <w:left w:w="9" w:type="dxa"/>
              <w:right w:w="9" w:type="dxa"/>
            </w:tcMar>
            <w:vAlign w:val="center"/>
          </w:tcPr>
          <w:p>
            <w:pPr>
              <w:keepNext w:val="0"/>
              <w:keepLines w:val="0"/>
              <w:widowControl/>
              <w:suppressLineNumbers w:val="0"/>
              <w:jc w:val="center"/>
              <w:textAlignment w:val="center"/>
              <w:rPr>
                <w:rFonts w:ascii="仿宋" w:hAnsi="仿宋" w:eastAsia="仿宋" w:cs="仿宋"/>
                <w:color w:val="000000"/>
                <w:kern w:val="0"/>
                <w:szCs w:val="21"/>
                <w:lang w:bidi="ar"/>
              </w:rPr>
            </w:pPr>
            <w:r>
              <w:rPr>
                <w:rFonts w:hint="eastAsia" w:ascii="宋体" w:hAnsi="宋体" w:eastAsia="宋体" w:cs="宋体"/>
                <w:i w:val="0"/>
                <w:color w:val="000000"/>
                <w:kern w:val="0"/>
                <w:sz w:val="20"/>
                <w:szCs w:val="20"/>
                <w:u w:val="none"/>
                <w:lang w:val="en-US" w:eastAsia="zh-CN" w:bidi="ar"/>
              </w:rPr>
              <w:t>35</w:t>
            </w:r>
          </w:p>
        </w:tc>
        <w:tc>
          <w:tcPr>
            <w:tcW w:w="1350"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560" w:type="dxa"/>
            <w:tcMar>
              <w:top w:w="9" w:type="dxa"/>
              <w:left w:w="9" w:type="dxa"/>
              <w:right w:w="9" w:type="dxa"/>
            </w:tcMar>
            <w:vAlign w:val="center"/>
          </w:tcPr>
          <w:p>
            <w:pPr>
              <w:widowControl/>
              <w:jc w:val="center"/>
              <w:textAlignment w:val="center"/>
              <w:rPr>
                <w:rFonts w:ascii="仿宋" w:hAnsi="仿宋" w:eastAsia="仿宋" w:cs="仿宋"/>
                <w:color w:val="000000"/>
                <w:kern w:val="0"/>
                <w:szCs w:val="21"/>
                <w:lang w:bidi="ar"/>
              </w:rPr>
            </w:pPr>
          </w:p>
        </w:tc>
        <w:tc>
          <w:tcPr>
            <w:tcW w:w="1923" w:type="dxa"/>
            <w:tcMar>
              <w:top w:w="9" w:type="dxa"/>
              <w:left w:w="9" w:type="dxa"/>
              <w:right w:w="9" w:type="dxa"/>
            </w:tcMar>
            <w:vAlign w:val="center"/>
          </w:tcPr>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要求：户外施工平台接入无线带电池摄像带三脚架</w:t>
            </w:r>
          </w:p>
          <w:p>
            <w:pPr>
              <w:widowControl/>
              <w:jc w:val="center"/>
              <w:textAlignment w:val="center"/>
              <w:rPr>
                <w:rFonts w:hint="eastAsia" w:ascii="仿宋" w:hAnsi="仿宋" w:eastAsia="仿宋" w:cs="仿宋"/>
                <w:color w:val="000000"/>
                <w:kern w:val="0"/>
                <w:szCs w:val="21"/>
                <w:lang w:bidi="ar"/>
              </w:rPr>
            </w:pPr>
            <w:r>
              <w:rPr>
                <w:rFonts w:hint="eastAsia" w:ascii="仿宋" w:hAnsi="仿宋" w:eastAsia="仿宋" w:cs="仿宋"/>
                <w:color w:val="000000"/>
                <w:kern w:val="0"/>
                <w:szCs w:val="21"/>
                <w:lang w:bidi="ar"/>
              </w:rPr>
              <w:t>推荐品牌：海康威视、萤石、华为</w:t>
            </w:r>
          </w:p>
          <w:p>
            <w:pPr>
              <w:widowControl/>
              <w:jc w:val="center"/>
              <w:textAlignment w:val="center"/>
              <w:rPr>
                <w:rFonts w:ascii="仿宋" w:hAnsi="仿宋" w:eastAsia="仿宋" w:cs="仿宋"/>
                <w:color w:val="000000"/>
                <w:kern w:val="0"/>
                <w:szCs w:val="21"/>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6458" w:type="dxa"/>
            <w:gridSpan w:val="7"/>
            <w:tcMar>
              <w:top w:w="9" w:type="dxa"/>
              <w:left w:w="9" w:type="dxa"/>
              <w:right w:w="9" w:type="dxa"/>
            </w:tcMar>
            <w:vAlign w:val="center"/>
          </w:tcPr>
          <w:p>
            <w:pPr>
              <w:widowControl/>
              <w:adjustRightInd w:val="0"/>
              <w:snapToGrid w:val="0"/>
              <w:spacing w:line="240" w:lineRule="auto"/>
              <w:jc w:val="right"/>
              <w:textAlignment w:val="center"/>
              <w:rPr>
                <w:rFonts w:ascii="仿宋" w:hAnsi="仿宋" w:eastAsia="仿宋" w:cs="仿宋"/>
                <w:bCs/>
                <w:color w:val="000000"/>
                <w:kern w:val="0"/>
                <w:szCs w:val="21"/>
                <w:lang w:bidi="ar"/>
              </w:rPr>
            </w:pPr>
            <w:r>
              <w:rPr>
                <w:rStyle w:val="10"/>
                <w:rFonts w:hint="default" w:ascii="仿宋" w:hAnsi="仿宋" w:eastAsia="仿宋" w:cs="仿宋"/>
                <w:sz w:val="21"/>
                <w:szCs w:val="21"/>
              </w:rPr>
              <w:t>含税总价（</w:t>
            </w:r>
            <w:r>
              <w:rPr>
                <w:rStyle w:val="10"/>
                <w:rFonts w:hint="default" w:ascii="仿宋" w:hAnsi="仿宋" w:eastAsia="仿宋" w:cs="仿宋"/>
                <w:b w:val="0"/>
                <w:bCs/>
                <w:sz w:val="21"/>
                <w:szCs w:val="21"/>
                <w:lang w:bidi="ar"/>
              </w:rPr>
              <w:t>含</w:t>
            </w:r>
            <w:r>
              <w:rPr>
                <w:rFonts w:hint="eastAsia" w:ascii="仿宋" w:hAnsi="仿宋" w:eastAsia="仿宋" w:cs="仿宋"/>
                <w:bCs/>
                <w:color w:val="000000"/>
                <w:kern w:val="0"/>
                <w:szCs w:val="21"/>
                <w:lang w:bidi="ar"/>
              </w:rPr>
              <w:t>11%PPN税费）：</w:t>
            </w:r>
          </w:p>
          <w:p>
            <w:pPr>
              <w:widowControl/>
              <w:adjustRightInd w:val="0"/>
              <w:snapToGrid w:val="0"/>
              <w:spacing w:line="240" w:lineRule="auto"/>
              <w:jc w:val="right"/>
              <w:textAlignment w:val="center"/>
              <w:rPr>
                <w:rFonts w:ascii="仿宋" w:hAnsi="仿宋" w:eastAsia="仿宋" w:cs="仿宋"/>
                <w:bCs/>
                <w:color w:val="000000"/>
                <w:szCs w:val="21"/>
              </w:rPr>
            </w:pPr>
            <w:r>
              <w:rPr>
                <w:rFonts w:ascii="仿宋" w:hAnsi="仿宋" w:eastAsia="仿宋" w:cs="仿宋"/>
                <w:bCs/>
                <w:color w:val="000000"/>
                <w:szCs w:val="21"/>
              </w:rPr>
              <w:t>Harga Total (termasuk pajak PPN 11%):</w:t>
            </w:r>
          </w:p>
        </w:tc>
        <w:tc>
          <w:tcPr>
            <w:tcW w:w="3483" w:type="dxa"/>
            <w:gridSpan w:val="2"/>
            <w:tcMar>
              <w:top w:w="9" w:type="dxa"/>
              <w:left w:w="9" w:type="dxa"/>
              <w:right w:w="9" w:type="dxa"/>
            </w:tcMar>
            <w:vAlign w:val="center"/>
          </w:tcPr>
          <w:p>
            <w:pPr>
              <w:widowControl/>
              <w:adjustRightInd w:val="0"/>
              <w:snapToGrid w:val="0"/>
              <w:spacing w:line="240" w:lineRule="auto"/>
              <w:jc w:val="center"/>
              <w:rPr>
                <w:rFonts w:ascii="仿宋" w:hAnsi="仿宋" w:eastAsia="仿宋" w:cs="仿宋"/>
                <w:color w:val="000000"/>
                <w:szCs w:val="21"/>
              </w:rPr>
            </w:pP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eastAsia" w:ascii="仿宋" w:hAnsi="仿宋" w:eastAsia="仿宋" w:cs="仿宋"/>
                <w:b w:val="0"/>
                <w:bCs/>
                <w:sz w:val="21"/>
                <w:szCs w:val="21"/>
                <w:lang w:val="en-US" w:eastAsia="zh-CN" w:bidi="ar"/>
              </w:rPr>
              <w:t>此处填写</w:t>
            </w:r>
            <w:r>
              <w:rPr>
                <w:rStyle w:val="10"/>
                <w:rFonts w:hint="default" w:ascii="仿宋" w:hAnsi="仿宋" w:eastAsia="仿宋" w:cs="仿宋"/>
                <w:b w:val="0"/>
                <w:bCs/>
                <w:sz w:val="21"/>
                <w:szCs w:val="21"/>
                <w:lang w:bidi="ar"/>
              </w:rPr>
              <w:t>交货期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Silakan isi tanggal pengiriman di sini</w:t>
            </w:r>
          </w:p>
        </w:tc>
        <w:tc>
          <w:tcPr>
            <w:tcW w:w="213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color w:val="auto"/>
                <w:sz w:val="21"/>
                <w:szCs w:val="21"/>
                <w:lang w:bidi="ar"/>
              </w:rPr>
            </w:pPr>
            <w:r>
              <w:rPr>
                <w:rStyle w:val="10"/>
                <w:rFonts w:hint="eastAsia" w:ascii="仿宋" w:hAnsi="仿宋" w:eastAsia="仿宋" w:cs="仿宋"/>
                <w:b w:val="0"/>
                <w:bCs/>
                <w:color w:val="auto"/>
                <w:sz w:val="21"/>
                <w:szCs w:val="21"/>
                <w:lang w:val="en-US" w:eastAsia="zh-CN" w:bidi="ar"/>
              </w:rPr>
              <w:t>此处</w:t>
            </w:r>
            <w:r>
              <w:rPr>
                <w:rStyle w:val="10"/>
                <w:rFonts w:hint="default" w:ascii="仿宋" w:hAnsi="仿宋" w:eastAsia="仿宋" w:cs="仿宋"/>
                <w:b w:val="0"/>
                <w:bCs/>
                <w:color w:val="auto"/>
                <w:sz w:val="21"/>
                <w:szCs w:val="21"/>
                <w:lang w:bidi="ar"/>
              </w:rPr>
              <w:t>注明到货期</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Harap tunjukkan tanggal pengiriman di sini</w:t>
            </w:r>
          </w:p>
        </w:tc>
        <w:tc>
          <w:tcPr>
            <w:tcW w:w="1350"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供应商名称</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Nama Pemasok</w:t>
            </w:r>
          </w:p>
        </w:tc>
        <w:tc>
          <w:tcPr>
            <w:tcW w:w="4833" w:type="dxa"/>
            <w:gridSpan w:val="3"/>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1619" w:type="dxa"/>
            <w:gridSpan w:val="2"/>
            <w:tcMar>
              <w:top w:w="9" w:type="dxa"/>
              <w:left w:w="9" w:type="dxa"/>
              <w:right w:w="9" w:type="dxa"/>
            </w:tcMar>
            <w:vAlign w:val="center"/>
          </w:tcPr>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联系地址</w:t>
            </w:r>
          </w:p>
          <w:p>
            <w:pPr>
              <w:widowControl/>
              <w:adjustRightInd w:val="0"/>
              <w:snapToGrid w:val="0"/>
              <w:spacing w:line="240" w:lineRule="auto"/>
              <w:jc w:val="center"/>
              <w:textAlignment w:val="center"/>
              <w:rPr>
                <w:rStyle w:val="10"/>
                <w:rFonts w:hint="default" w:ascii="仿宋" w:hAnsi="仿宋" w:eastAsia="仿宋" w:cs="仿宋"/>
                <w:b w:val="0"/>
                <w:bCs/>
                <w:sz w:val="21"/>
                <w:szCs w:val="21"/>
                <w:lang w:bidi="ar"/>
              </w:rPr>
            </w:pPr>
            <w:r>
              <w:rPr>
                <w:rStyle w:val="10"/>
                <w:rFonts w:hint="default" w:ascii="仿宋" w:hAnsi="仿宋" w:eastAsia="仿宋" w:cs="仿宋"/>
                <w:b w:val="0"/>
                <w:bCs/>
                <w:sz w:val="21"/>
                <w:szCs w:val="21"/>
                <w:lang w:bidi="ar"/>
              </w:rPr>
              <w:t>Alamat Kontak</w:t>
            </w:r>
          </w:p>
        </w:tc>
        <w:tc>
          <w:tcPr>
            <w:tcW w:w="8322" w:type="dxa"/>
            <w:gridSpan w:val="7"/>
            <w:tcMar>
              <w:top w:w="9" w:type="dxa"/>
              <w:left w:w="9" w:type="dxa"/>
              <w:right w:w="9" w:type="dxa"/>
            </w:tcMar>
            <w:vAlign w:val="center"/>
          </w:tcPr>
          <w:p>
            <w:pPr>
              <w:widowControl/>
              <w:adjustRightInd w:val="0"/>
              <w:snapToGrid w:val="0"/>
              <w:spacing w:line="240" w:lineRule="auto"/>
              <w:jc w:val="center"/>
              <w:rPr>
                <w:rFonts w:ascii="仿宋" w:hAnsi="仿宋" w:eastAsia="仿宋" w:cs="仿宋"/>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397" w:hRule="atLeast"/>
        </w:trPr>
        <w:tc>
          <w:tcPr>
            <w:tcW w:w="9941" w:type="dxa"/>
            <w:gridSpan w:val="9"/>
            <w:tcMar>
              <w:top w:w="9" w:type="dxa"/>
              <w:left w:w="9" w:type="dxa"/>
              <w:right w:w="9" w:type="dxa"/>
            </w:tcMar>
          </w:tcPr>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              （签字）                联系方式：</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Penyedia Penawaran:  (Tanda Tangan)              Rincian Kontak:</w:t>
            </w:r>
          </w:p>
          <w:p>
            <w:pPr>
              <w:widowControl/>
              <w:adjustRightInd w:val="0"/>
              <w:snapToGrid w:val="0"/>
              <w:spacing w:line="240" w:lineRule="auto"/>
              <w:ind w:firstLine="4410" w:firstLineChars="2100"/>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报价单位：            （盖章）</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Organisasi Penawaran:            (Stempel)</w:t>
            </w: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p>
          <w:p>
            <w:pPr>
              <w:widowControl/>
              <w:adjustRightInd w:val="0"/>
              <w:snapToGrid w:val="0"/>
              <w:spacing w:line="240" w:lineRule="auto"/>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备注：1. 报价人应签字盖章扫描后上传到报价专用邮箱。</w:t>
            </w:r>
          </w:p>
          <w:p>
            <w:pPr>
              <w:pStyle w:val="13"/>
              <w:widowControl/>
              <w:numPr>
                <w:ilvl w:val="0"/>
                <w:numId w:val="3"/>
              </w:numPr>
              <w:adjustRightInd w:val="0"/>
              <w:snapToGrid w:val="0"/>
              <w:spacing w:line="240" w:lineRule="auto"/>
              <w:ind w:hanging="15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报价人应附上营业执照、税务登记证、法人身份证明文件扫描件。</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Catatan: 1. Penyedia penawaran wajib menandatangani dan menempelkan stempel, kemudian memindai dan mengunggah dokumen ke alamat email penawaran yang ditentukan.</w:t>
            </w:r>
          </w:p>
          <w:p>
            <w:pPr>
              <w:widowControl/>
              <w:adjustRightInd w:val="0"/>
              <w:snapToGrid w:val="0"/>
              <w:spacing w:line="240" w:lineRule="auto"/>
              <w:ind w:left="993" w:hanging="993"/>
              <w:jc w:val="left"/>
              <w:textAlignment w:val="top"/>
              <w:rPr>
                <w:rStyle w:val="6"/>
                <w:rFonts w:hint="default" w:ascii="仿宋" w:hAnsi="仿宋" w:eastAsia="仿宋" w:cs="仿宋"/>
                <w:b w:val="0"/>
                <w:bCs/>
                <w:sz w:val="21"/>
                <w:szCs w:val="21"/>
                <w:lang w:bidi="ar"/>
              </w:rPr>
            </w:pPr>
            <w:r>
              <w:rPr>
                <w:rStyle w:val="6"/>
                <w:rFonts w:hint="default" w:ascii="仿宋" w:hAnsi="仿宋" w:eastAsia="仿宋" w:cs="仿宋"/>
                <w:b w:val="0"/>
                <w:bCs/>
                <w:sz w:val="21"/>
                <w:szCs w:val="21"/>
                <w:lang w:bidi="ar"/>
              </w:rPr>
              <w:t xml:space="preserve">      2. Penyedia penawaran wajib melampirkan salinan yang telah dipindai dari izin usaha, sertifikat pendaftaran pajak, dan dokumen identitas wakil hukum.</w:t>
            </w:r>
          </w:p>
        </w:tc>
      </w:tr>
    </w:tbl>
    <w:p>
      <w:pPr>
        <w:rPr>
          <w:rFonts w:ascii="宋体" w:hAnsi="宋体" w:cs="宋体"/>
          <w:color w:val="000000"/>
          <w:kern w:val="0"/>
          <w:sz w:val="24"/>
          <w:lang w:bidi="ar"/>
        </w:rPr>
      </w:pPr>
    </w:p>
    <w:p/>
    <w:sectPr>
      <w:pgSz w:w="11906" w:h="16838"/>
      <w:pgMar w:top="907" w:right="85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3A73EE"/>
    <w:multiLevelType w:val="multilevel"/>
    <w:tmpl w:val="153A73EE"/>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D1E3208"/>
    <w:multiLevelType w:val="multilevel"/>
    <w:tmpl w:val="4D1E320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83FB25F"/>
    <w:multiLevelType w:val="singleLevel"/>
    <w:tmpl w:val="683FB25F"/>
    <w:lvl w:ilvl="0" w:tentative="0">
      <w:start w:val="4"/>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xMDGxMLI0MzIyNLQ0NzVR0lEKTi0uzszPAykwrAUAeCGWtCwAAAA="/>
  </w:docVars>
  <w:rsids>
    <w:rsidRoot w:val="25E02FB7"/>
    <w:rsid w:val="000B5FD3"/>
    <w:rsid w:val="002752BF"/>
    <w:rsid w:val="00843864"/>
    <w:rsid w:val="008D6C82"/>
    <w:rsid w:val="00CC18EC"/>
    <w:rsid w:val="0EBC0BA3"/>
    <w:rsid w:val="206A2373"/>
    <w:rsid w:val="25E02FB7"/>
    <w:rsid w:val="30236782"/>
    <w:rsid w:val="37E14762"/>
    <w:rsid w:val="3F1A65D4"/>
    <w:rsid w:val="43B6073B"/>
    <w:rsid w:val="49C15839"/>
    <w:rsid w:val="5B7B286E"/>
    <w:rsid w:val="60810D7D"/>
    <w:rsid w:val="6B4609D3"/>
    <w:rsid w:val="72C67B35"/>
    <w:rsid w:val="73801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Calibri" w:hAnsi="Calibri" w:eastAsia="宋体" w:cs="Times New Roman"/>
      <w:kern w:val="2"/>
      <w:sz w:val="21"/>
      <w:szCs w:val="24"/>
      <w:lang w:val="en-US" w:eastAsia="zh-CN" w:bidi="ar-SA"/>
    </w:rPr>
  </w:style>
  <w:style w:type="character" w:default="1" w:styleId="3">
    <w:name w:val="Default Paragraph Font"/>
    <w:unhideWhenUsed/>
    <w:uiPriority w:val="1"/>
  </w:style>
  <w:style w:type="table" w:default="1" w:styleId="2">
    <w:name w:val="Normal Table"/>
    <w:semiHidden/>
    <w:unhideWhenUsed/>
    <w:uiPriority w:val="99"/>
    <w:tblPr>
      <w:tblLayout w:type="fixed"/>
      <w:tblCellMar>
        <w:top w:w="0" w:type="dxa"/>
        <w:left w:w="108" w:type="dxa"/>
        <w:bottom w:w="0" w:type="dxa"/>
        <w:right w:w="108" w:type="dxa"/>
      </w:tblCellMar>
    </w:tblPr>
  </w:style>
  <w:style w:type="character" w:styleId="4">
    <w:name w:val="FollowedHyperlink"/>
    <w:basedOn w:val="3"/>
    <w:qFormat/>
    <w:uiPriority w:val="0"/>
    <w:rPr>
      <w:color w:val="954F72" w:themeColor="followedHyperlink"/>
      <w:u w:val="single"/>
      <w14:textFill>
        <w14:solidFill>
          <w14:schemeClr w14:val="folHlink"/>
        </w14:solidFill>
      </w14:textFill>
    </w:rPr>
  </w:style>
  <w:style w:type="character" w:styleId="5">
    <w:name w:val="Hyperlink"/>
    <w:basedOn w:val="3"/>
    <w:qFormat/>
    <w:uiPriority w:val="0"/>
    <w:rPr>
      <w:color w:val="0563C1" w:themeColor="hyperlink"/>
      <w:u w:val="single"/>
      <w14:textFill>
        <w14:solidFill>
          <w14:schemeClr w14:val="hlink"/>
        </w14:solidFill>
      </w14:textFill>
    </w:rPr>
  </w:style>
  <w:style w:type="character" w:customStyle="1" w:styleId="6">
    <w:name w:val="font41"/>
    <w:basedOn w:val="3"/>
    <w:qFormat/>
    <w:uiPriority w:val="0"/>
    <w:rPr>
      <w:rFonts w:hint="eastAsia" w:ascii="宋体" w:hAnsi="宋体" w:eastAsia="宋体" w:cs="宋体"/>
      <w:b/>
      <w:color w:val="000000"/>
      <w:sz w:val="24"/>
      <w:szCs w:val="24"/>
      <w:u w:val="none"/>
    </w:rPr>
  </w:style>
  <w:style w:type="paragraph" w:customStyle="1" w:styleId="7">
    <w:name w:val="引言二级条标题"/>
    <w:basedOn w:val="8"/>
    <w:next w:val="9"/>
    <w:qFormat/>
    <w:uiPriority w:val="0"/>
    <w:pPr>
      <w:tabs>
        <w:tab w:val="left" w:pos="900"/>
      </w:tabs>
      <w:ind w:left="0" w:firstLine="0"/>
    </w:pPr>
  </w:style>
  <w:style w:type="paragraph" w:customStyle="1" w:styleId="8">
    <w:name w:val="引言一级条标题"/>
    <w:basedOn w:val="1"/>
    <w:next w:val="9"/>
    <w:qFormat/>
    <w:uiPriority w:val="0"/>
    <w:pPr>
      <w:tabs>
        <w:tab w:val="left" w:pos="900"/>
      </w:tabs>
      <w:ind w:left="900" w:hanging="900"/>
    </w:pPr>
    <w:rPr>
      <w:rFonts w:ascii="Times New Roman" w:hAnsi="Times New Roman" w:eastAsia="黑体"/>
      <w:b/>
    </w:rPr>
  </w:style>
  <w:style w:type="paragraph" w:customStyle="1" w:styleId="9">
    <w:name w:val="段"/>
    <w:basedOn w:val="1"/>
    <w:qFormat/>
    <w:uiPriority w:val="0"/>
    <w:pPr>
      <w:ind w:firstLine="200"/>
    </w:pPr>
    <w:rPr>
      <w:rFonts w:ascii="宋体" w:hAnsi="宋体" w:cs="宋体"/>
      <w:szCs w:val="21"/>
    </w:rPr>
  </w:style>
  <w:style w:type="character" w:customStyle="1" w:styleId="10">
    <w:name w:val="font91"/>
    <w:basedOn w:val="3"/>
    <w:qFormat/>
    <w:uiPriority w:val="0"/>
    <w:rPr>
      <w:rFonts w:hint="eastAsia" w:ascii="微软雅黑" w:hAnsi="微软雅黑" w:eastAsia="微软雅黑" w:cs="微软雅黑"/>
      <w:b/>
      <w:color w:val="000000"/>
      <w:sz w:val="20"/>
      <w:szCs w:val="20"/>
      <w:u w:val="none"/>
    </w:rPr>
  </w:style>
  <w:style w:type="paragraph" w:customStyle="1" w:styleId="11">
    <w:name w:val="Revision"/>
    <w:hidden/>
    <w:unhideWhenUsed/>
    <w:qFormat/>
    <w:uiPriority w:val="99"/>
    <w:pPr>
      <w:spacing w:after="0" w:line="240" w:lineRule="auto"/>
    </w:pPr>
    <w:rPr>
      <w:rFonts w:ascii="Calibri" w:hAnsi="Calibri" w:eastAsia="宋体" w:cs="Times New Roman"/>
      <w:kern w:val="2"/>
      <w:sz w:val="21"/>
      <w:szCs w:val="24"/>
      <w:lang w:val="en-US" w:eastAsia="zh-CN" w:bidi="ar-SA"/>
    </w:rPr>
  </w:style>
  <w:style w:type="character" w:customStyle="1" w:styleId="12">
    <w:name w:val="Unresolved Mention"/>
    <w:basedOn w:val="3"/>
    <w:semiHidden/>
    <w:unhideWhenUsed/>
    <w:qFormat/>
    <w:uiPriority w:val="99"/>
    <w:rPr>
      <w:color w:val="605E5C"/>
      <w:shd w:val="clear" w:color="auto" w:fill="E1DFDD"/>
    </w:rPr>
  </w:style>
  <w:style w:type="paragraph" w:styleId="13">
    <w:name w:val="List Paragraph"/>
    <w:basedOn w:val="1"/>
    <w:unhideWhenUsed/>
    <w:qFormat/>
    <w:uiPriority w:val="99"/>
    <w:pPr>
      <w:ind w:left="720"/>
      <w:contextualSpacing/>
    </w:pPr>
  </w:style>
  <w:style w:type="character" w:customStyle="1" w:styleId="14">
    <w:name w:val="font11"/>
    <w:basedOn w:val="3"/>
    <w:uiPriority w:val="0"/>
    <w:rPr>
      <w:rFonts w:hint="eastAsia" w:ascii="宋体" w:hAnsi="宋体" w:eastAsia="宋体" w:cs="宋体"/>
      <w:b/>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中国华电集团公司</Company>
  <Pages>3</Pages>
  <Words>695</Words>
  <Characters>3963</Characters>
  <Lines>33</Lines>
  <Paragraphs>9</Paragraphs>
  <TotalTime>2</TotalTime>
  <ScaleCrop>false</ScaleCrop>
  <LinksUpToDate>false</LinksUpToDate>
  <CharactersWithSpaces>4649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2025-04-28T08:16:00Z</dcterms:created>
  <dc:creator>LJ</dc:creator>
  <cp:lastModifiedBy>yzj</cp:lastModifiedBy>
  <dcterms:modified xsi:type="dcterms:W3CDTF">2025-10-10T02:43:37Z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B46C16584C9241939D8A5B9D23EF6515</vt:lpwstr>
  </property>
</Properties>
</file>